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879E" w14:textId="7543583C" w:rsidR="00AF7BD8" w:rsidRDefault="00AF7BD8" w:rsidP="00AF7BD8">
      <w:pPr>
        <w:pStyle w:val="Title"/>
        <w:jc w:val="center"/>
        <w:rPr>
          <w:rFonts w:eastAsia="Times New Roman"/>
          <w:b/>
          <w:bCs/>
          <w:lang w:eastAsia="en-GB"/>
        </w:rPr>
      </w:pPr>
      <w:r w:rsidRPr="00AF7BD8">
        <w:rPr>
          <w:rFonts w:eastAsia="Times New Roman"/>
          <w:b/>
          <w:bCs/>
          <w:lang w:eastAsia="en-GB"/>
        </w:rPr>
        <w:t>Emiratisation LP</w:t>
      </w:r>
    </w:p>
    <w:p w14:paraId="4427069F" w14:textId="77777777" w:rsidR="00AF7BD8" w:rsidRPr="00AF7BD8" w:rsidRDefault="00AF7BD8" w:rsidP="00AF7BD8">
      <w:pPr>
        <w:rPr>
          <w:lang w:eastAsia="en-GB"/>
        </w:rPr>
      </w:pPr>
    </w:p>
    <w:p w14:paraId="5EEA0C8D" w14:textId="3C23AEA3"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t>Hero section</w:t>
      </w:r>
    </w:p>
    <w:p w14:paraId="48CF9563"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Emiratisation in 2026 Has Changed. Has Your Hiring Plan?</w:t>
      </w:r>
    </w:p>
    <w:p w14:paraId="17F01CCA"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Sub-headline:</w:t>
      </w:r>
      <w:r w:rsidRPr="00AF7BD8">
        <w:rPr>
          <w:rFonts w:ascii="Times New Roman" w:eastAsia="Times New Roman" w:hAnsi="Times New Roman" w:cs="Times New Roman"/>
          <w:kern w:val="0"/>
          <w:lang w:eastAsia="en-GB"/>
          <w14:ligatures w14:val="none"/>
        </w:rPr>
        <w:t xml:space="preserve"> NAFIS now runs to 2040, the salary floor sits at AED 6,000, and companies with 20 staff are in scope. We sat down with public-sector leader Huda Al Hashemi to explain what every employer in the UAE needs to do before the next deadline.</w:t>
      </w:r>
    </w:p>
    <w:p w14:paraId="78A7D371" w14:textId="77777777" w:rsid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Primary CTA button:</w:t>
      </w:r>
      <w:r w:rsidRPr="00AF7BD8">
        <w:rPr>
          <w:rFonts w:ascii="Times New Roman" w:eastAsia="Times New Roman" w:hAnsi="Times New Roman" w:cs="Times New Roman"/>
          <w:kern w:val="0"/>
          <w:lang w:eastAsia="en-GB"/>
          <w14:ligatures w14:val="none"/>
        </w:rPr>
        <w:t xml:space="preserve"> Book a free workforce advisory call </w:t>
      </w:r>
    </w:p>
    <w:p w14:paraId="718D1CC3" w14:textId="27155698"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Secondary CTA button:</w:t>
      </w:r>
      <w:r w:rsidRPr="00AF7BD8">
        <w:rPr>
          <w:rFonts w:ascii="Times New Roman" w:eastAsia="Times New Roman" w:hAnsi="Times New Roman" w:cs="Times New Roman"/>
          <w:kern w:val="0"/>
          <w:lang w:eastAsia="en-GB"/>
          <w14:ligatures w14:val="none"/>
        </w:rPr>
        <w:t xml:space="preserve"> Watch the conversation ↓</w:t>
      </w:r>
    </w:p>
    <w:p w14:paraId="4D956B8F"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6BAC2EB9">
          <v:rect id="_x0000_i1031" alt="" style="width:451.3pt;height:.05pt;mso-width-percent:0;mso-height-percent:0;mso-width-percent:0;mso-height-percent:0" o:hralign="center" o:hrstd="t" o:hr="t" fillcolor="#a0a0a0" stroked="f"/>
        </w:pict>
      </w:r>
    </w:p>
    <w:p w14:paraId="784C3D6A" w14:textId="77777777"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t>Intro block (above the video)</w:t>
      </w:r>
    </w:p>
    <w:p w14:paraId="1FDCFE00"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Most managers still treat Emiratisation as a hiring target to clear before year-end. That view is now a liability.</w:t>
      </w:r>
    </w:p>
    <w:p w14:paraId="7C090E74"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Over the past twelve months the framework has grown into a full system that ties together compliance, family benefits, pension contributions and workforce planning. The Ministry has added AI to its monitoring, the salary floor has moved, and smaller businesses that once sat outside the rules are now firmly inside them.</w:t>
      </w:r>
    </w:p>
    <w:p w14:paraId="027C6AC9"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We invited Huda Al Hashemi, an Emirati public-sector leader who works closely on private-sector talent, to walk through what actually changed and what it means for the people running UAE businesses. Watch the full conversation below, then talk to our team about where you stand.</w:t>
      </w:r>
    </w:p>
    <w:p w14:paraId="7A19510C"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7D7953DA">
          <v:rect id="_x0000_i1030" alt="" style="width:451.3pt;height:.05pt;mso-width-percent:0;mso-height-percent:0;mso-width-percent:0;mso-height-percent:0" o:hralign="center" o:hrstd="t" o:hr="t" fillcolor="#a0a0a0" stroked="f"/>
        </w:pict>
      </w:r>
    </w:p>
    <w:p w14:paraId="384723C3" w14:textId="77777777"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t>Video section</w:t>
      </w:r>
    </w:p>
    <w:p w14:paraId="1C33B78C"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Section heading:</w:t>
      </w:r>
      <w:r w:rsidRPr="00AF7BD8">
        <w:rPr>
          <w:rFonts w:ascii="Times New Roman" w:eastAsia="Times New Roman" w:hAnsi="Times New Roman" w:cs="Times New Roman"/>
          <w:kern w:val="0"/>
          <w:lang w:eastAsia="en-GB"/>
          <w14:ligatures w14:val="none"/>
        </w:rPr>
        <w:t xml:space="preserve"> Watch: The 2026 Emiratisation Briefing </w:t>
      </w:r>
      <w:r w:rsidRPr="00AF7BD8">
        <w:rPr>
          <w:rFonts w:ascii="Times New Roman" w:eastAsia="Times New Roman" w:hAnsi="Times New Roman" w:cs="Times New Roman"/>
          <w:b/>
          <w:bCs/>
          <w:kern w:val="0"/>
          <w:lang w:eastAsia="en-GB"/>
          <w14:ligatures w14:val="none"/>
        </w:rPr>
        <w:t>Caption under video:</w:t>
      </w:r>
      <w:r w:rsidRPr="00AF7BD8">
        <w:rPr>
          <w:rFonts w:ascii="Times New Roman" w:eastAsia="Times New Roman" w:hAnsi="Times New Roman" w:cs="Times New Roman"/>
          <w:kern w:val="0"/>
          <w:lang w:eastAsia="en-GB"/>
          <w14:ligatures w14:val="none"/>
        </w:rPr>
        <w:t xml:space="preserve"> A 20-minute conversation with Huda Al Hashemi on NAFIS, penalties, the new benefits package and the compliant way to hire Emirati talent at speed.</w:t>
      </w:r>
    </w:p>
    <w:p w14:paraId="0715492F"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Courier New" w:eastAsia="Times New Roman" w:hAnsi="Courier New" w:cs="Courier New"/>
          <w:kern w:val="0"/>
          <w:sz w:val="20"/>
          <w:szCs w:val="20"/>
          <w:lang w:eastAsia="en-GB"/>
          <w14:ligatures w14:val="none"/>
        </w:rPr>
        <w:t>[Embed podcast recording here]</w:t>
      </w:r>
    </w:p>
    <w:p w14:paraId="56A542F3"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6BCBB50C">
          <v:rect id="_x0000_i1029" alt="" style="width:451.3pt;height:.05pt;mso-width-percent:0;mso-height-percent:0;mso-width-percent:0;mso-height-percent:0" o:hralign="center" o:hrstd="t" o:hr="t" fillcolor="#a0a0a0" stroked="f"/>
        </w:pict>
      </w:r>
    </w:p>
    <w:p w14:paraId="73DFA5AC" w14:textId="77777777" w:rsidR="00AF7BD8" w:rsidRDefault="00AF7BD8">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1D064AEE" w14:textId="5967882A"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lastRenderedPageBreak/>
        <w:t>What you'll learn (bullet block beside or under the video)</w:t>
      </w:r>
    </w:p>
    <w:p w14:paraId="15756075" w14:textId="77777777" w:rsidR="00AF7BD8" w:rsidRPr="00AF7BD8" w:rsidRDefault="00AF7BD8" w:rsidP="00AF7B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Why NAFIS is now a national agenda item running to 2040, not a short-term scheme</w:t>
      </w:r>
    </w:p>
    <w:p w14:paraId="530233BB" w14:textId="77777777" w:rsidR="00AF7BD8" w:rsidRPr="00AF7BD8" w:rsidRDefault="00AF7BD8" w:rsidP="00AF7B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The two deadlines employers are working against: a 1% increase by end of June and another 1% before the end of 2026</w:t>
      </w:r>
    </w:p>
    <w:p w14:paraId="168774DD" w14:textId="77777777" w:rsidR="00AF7BD8" w:rsidRPr="00AF7BD8" w:rsidRDefault="00AF7BD8" w:rsidP="00AF7B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How the Ministry uses AI to spot fake Emiratisation, and why "on-paper" hires no longer go unnoticed</w:t>
      </w:r>
    </w:p>
    <w:p w14:paraId="659AF349" w14:textId="77777777" w:rsidR="00AF7BD8" w:rsidRPr="00AF7BD8" w:rsidRDefault="00AF7BD8" w:rsidP="00AF7B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What the new family benefits package changes for Emirati employees and their families</w:t>
      </w:r>
    </w:p>
    <w:p w14:paraId="04742FC9" w14:textId="77777777" w:rsidR="00AF7BD8" w:rsidRPr="00AF7BD8" w:rsidRDefault="00AF7BD8" w:rsidP="00AF7B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The penalties: AED 9,000 per month for every unfilled role, and fines from AED 100,000 to AED 500,000 for violations</w:t>
      </w:r>
    </w:p>
    <w:p w14:paraId="7859D396" w14:textId="77777777" w:rsidR="00AF7BD8" w:rsidRPr="00AF7BD8" w:rsidRDefault="00AF7BD8" w:rsidP="00AF7B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How the workforce-partner model lets you hire Emirati talent quickly while staying fully compliant</w:t>
      </w:r>
    </w:p>
    <w:p w14:paraId="291709B8"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2D03EB78">
          <v:rect id="_x0000_i1028" alt="" style="width:451.3pt;height:.05pt;mso-width-percent:0;mso-height-percent:0;mso-width-percent:0;mso-height-percent:0" o:hralign="center" o:hrstd="t" o:hr="t" fillcolor="#a0a0a0" stroked="f"/>
        </w:pict>
      </w:r>
    </w:p>
    <w:p w14:paraId="73DCA4CB" w14:textId="77777777"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t>Key facts block ("The numbers that matter")</w:t>
      </w:r>
    </w:p>
    <w:p w14:paraId="72AAEE7D"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Present this as a clean grid of stat cards. These pull straight from the conversation:</w:t>
      </w:r>
    </w:p>
    <w:tbl>
      <w:tblPr>
        <w:tblStyle w:val="TableGrid"/>
        <w:tblW w:w="0" w:type="auto"/>
        <w:tblLook w:val="04A0" w:firstRow="1" w:lastRow="0" w:firstColumn="1" w:lastColumn="0" w:noHBand="0" w:noVBand="1"/>
      </w:tblPr>
      <w:tblGrid>
        <w:gridCol w:w="2647"/>
        <w:gridCol w:w="6369"/>
      </w:tblGrid>
      <w:tr w:rsidR="00AF7BD8" w:rsidRPr="00AF7BD8" w14:paraId="0450F3FA" w14:textId="77777777" w:rsidTr="00AF7BD8">
        <w:tc>
          <w:tcPr>
            <w:tcW w:w="0" w:type="auto"/>
            <w:hideMark/>
          </w:tcPr>
          <w:p w14:paraId="228C1D16" w14:textId="77777777" w:rsidR="00AF7BD8" w:rsidRPr="00AF7BD8" w:rsidRDefault="00AF7BD8" w:rsidP="00AF7BD8">
            <w:pPr>
              <w:jc w:val="center"/>
              <w:rPr>
                <w:rFonts w:ascii="Times New Roman" w:eastAsia="Times New Roman" w:hAnsi="Times New Roman" w:cs="Times New Roman"/>
                <w:b/>
                <w:bCs/>
                <w:kern w:val="0"/>
                <w:lang w:eastAsia="en-GB"/>
                <w14:ligatures w14:val="none"/>
              </w:rPr>
            </w:pPr>
            <w:r w:rsidRPr="00AF7BD8">
              <w:rPr>
                <w:rFonts w:ascii="Times New Roman" w:eastAsia="Times New Roman" w:hAnsi="Times New Roman" w:cs="Times New Roman"/>
                <w:b/>
                <w:bCs/>
                <w:kern w:val="0"/>
                <w:lang w:eastAsia="en-GB"/>
                <w14:ligatures w14:val="none"/>
              </w:rPr>
              <w:t>Figure</w:t>
            </w:r>
          </w:p>
        </w:tc>
        <w:tc>
          <w:tcPr>
            <w:tcW w:w="0" w:type="auto"/>
            <w:hideMark/>
          </w:tcPr>
          <w:p w14:paraId="74448937" w14:textId="77777777" w:rsidR="00AF7BD8" w:rsidRPr="00AF7BD8" w:rsidRDefault="00AF7BD8" w:rsidP="00AF7BD8">
            <w:pPr>
              <w:jc w:val="center"/>
              <w:rPr>
                <w:rFonts w:ascii="Times New Roman" w:eastAsia="Times New Roman" w:hAnsi="Times New Roman" w:cs="Times New Roman"/>
                <w:b/>
                <w:bCs/>
                <w:kern w:val="0"/>
                <w:lang w:eastAsia="en-GB"/>
                <w14:ligatures w14:val="none"/>
              </w:rPr>
            </w:pPr>
            <w:r w:rsidRPr="00AF7BD8">
              <w:rPr>
                <w:rFonts w:ascii="Times New Roman" w:eastAsia="Times New Roman" w:hAnsi="Times New Roman" w:cs="Times New Roman"/>
                <w:b/>
                <w:bCs/>
                <w:kern w:val="0"/>
                <w:lang w:eastAsia="en-GB"/>
                <w14:ligatures w14:val="none"/>
              </w:rPr>
              <w:t>What it means</w:t>
            </w:r>
          </w:p>
        </w:tc>
      </w:tr>
      <w:tr w:rsidR="00AF7BD8" w:rsidRPr="00AF7BD8" w14:paraId="6C786A5B" w14:textId="77777777" w:rsidTr="00AF7BD8">
        <w:tc>
          <w:tcPr>
            <w:tcW w:w="0" w:type="auto"/>
            <w:hideMark/>
          </w:tcPr>
          <w:p w14:paraId="30AC6E00"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2040</w:t>
            </w:r>
          </w:p>
        </w:tc>
        <w:tc>
          <w:tcPr>
            <w:tcW w:w="0" w:type="auto"/>
            <w:hideMark/>
          </w:tcPr>
          <w:p w14:paraId="6204C7F8"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NAFIS is now part of the UAE's long-term national agenda, not a four or five-year programme</w:t>
            </w:r>
          </w:p>
        </w:tc>
      </w:tr>
      <w:tr w:rsidR="00AF7BD8" w:rsidRPr="00AF7BD8" w14:paraId="6C49287A" w14:textId="77777777" w:rsidTr="00AF7BD8">
        <w:tc>
          <w:tcPr>
            <w:tcW w:w="0" w:type="auto"/>
            <w:hideMark/>
          </w:tcPr>
          <w:p w14:paraId="62950929"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AED 6,000</w:t>
            </w:r>
          </w:p>
        </w:tc>
        <w:tc>
          <w:tcPr>
            <w:tcW w:w="0" w:type="auto"/>
            <w:hideMark/>
          </w:tcPr>
          <w:p w14:paraId="0A8D5D83"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The minimum monthly salary for Emiratis in the private sector</w:t>
            </w:r>
          </w:p>
        </w:tc>
      </w:tr>
      <w:tr w:rsidR="00AF7BD8" w:rsidRPr="00AF7BD8" w14:paraId="718D85FC" w14:textId="77777777" w:rsidTr="00AF7BD8">
        <w:tc>
          <w:tcPr>
            <w:tcW w:w="0" w:type="auto"/>
            <w:hideMark/>
          </w:tcPr>
          <w:p w14:paraId="4DA2D1DF"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20+ employees</w:t>
            </w:r>
          </w:p>
        </w:tc>
        <w:tc>
          <w:tcPr>
            <w:tcW w:w="0" w:type="auto"/>
            <w:hideMark/>
          </w:tcPr>
          <w:p w14:paraId="7A5A3418"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Companies of this size now carry Emiratisation obligations</w:t>
            </w:r>
          </w:p>
        </w:tc>
      </w:tr>
      <w:tr w:rsidR="00AF7BD8" w:rsidRPr="00AF7BD8" w14:paraId="2D21D49E" w14:textId="77777777" w:rsidTr="00AF7BD8">
        <w:tc>
          <w:tcPr>
            <w:tcW w:w="0" w:type="auto"/>
            <w:hideMark/>
          </w:tcPr>
          <w:p w14:paraId="5D5A0BC2"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+1% by June, +1% by end 2026</w:t>
            </w:r>
          </w:p>
        </w:tc>
        <w:tc>
          <w:tcPr>
            <w:tcW w:w="0" w:type="auto"/>
            <w:hideMark/>
          </w:tcPr>
          <w:p w14:paraId="6281EB04"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The two targets employers must plan for this year</w:t>
            </w:r>
          </w:p>
        </w:tc>
      </w:tr>
      <w:tr w:rsidR="00AF7BD8" w:rsidRPr="00AF7BD8" w14:paraId="622FA559" w14:textId="77777777" w:rsidTr="00AF7BD8">
        <w:tc>
          <w:tcPr>
            <w:tcW w:w="0" w:type="auto"/>
            <w:hideMark/>
          </w:tcPr>
          <w:p w14:paraId="05E674EA"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AED 9,000 / month</w:t>
            </w:r>
          </w:p>
        </w:tc>
        <w:tc>
          <w:tcPr>
            <w:tcW w:w="0" w:type="auto"/>
            <w:hideMark/>
          </w:tcPr>
          <w:p w14:paraId="751FDB5E"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The cost of leaving a single Emirati position unfilled (over AED 100,000 a year)</w:t>
            </w:r>
          </w:p>
        </w:tc>
      </w:tr>
      <w:tr w:rsidR="00AF7BD8" w:rsidRPr="00AF7BD8" w14:paraId="69BE303F" w14:textId="77777777" w:rsidTr="00AF7BD8">
        <w:tc>
          <w:tcPr>
            <w:tcW w:w="0" w:type="auto"/>
            <w:hideMark/>
          </w:tcPr>
          <w:p w14:paraId="58E73F71"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AED 100k–500k</w:t>
            </w:r>
          </w:p>
        </w:tc>
        <w:tc>
          <w:tcPr>
            <w:tcW w:w="0" w:type="auto"/>
            <w:hideMark/>
          </w:tcPr>
          <w:p w14:paraId="3A79B269"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The fine range for compliance violations such as fake Emiratisation</w:t>
            </w:r>
          </w:p>
        </w:tc>
      </w:tr>
      <w:tr w:rsidR="00AF7BD8" w:rsidRPr="00AF7BD8" w14:paraId="60FB90F0" w14:textId="77777777" w:rsidTr="00AF7BD8">
        <w:tc>
          <w:tcPr>
            <w:tcW w:w="0" w:type="auto"/>
            <w:hideMark/>
          </w:tcPr>
          <w:p w14:paraId="404DD361"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AED 3,000 / child</w:t>
            </w:r>
          </w:p>
        </w:tc>
        <w:tc>
          <w:tcPr>
            <w:tcW w:w="0" w:type="auto"/>
            <w:hideMark/>
          </w:tcPr>
          <w:p w14:paraId="04B2F8B3"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Monthly family support, now uncapped and extended to children of Emirati mothers</w:t>
            </w:r>
          </w:p>
        </w:tc>
      </w:tr>
      <w:tr w:rsidR="00AF7BD8" w:rsidRPr="00AF7BD8" w14:paraId="2A4A676C" w14:textId="77777777" w:rsidTr="00AF7BD8">
        <w:tc>
          <w:tcPr>
            <w:tcW w:w="0" w:type="auto"/>
            <w:hideMark/>
          </w:tcPr>
          <w:p w14:paraId="2DF443F2"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Up to 80%</w:t>
            </w:r>
          </w:p>
        </w:tc>
        <w:tc>
          <w:tcPr>
            <w:tcW w:w="0" w:type="auto"/>
            <w:hideMark/>
          </w:tcPr>
          <w:p w14:paraId="0EDF5EF4" w14:textId="77777777" w:rsidR="00AF7BD8" w:rsidRPr="00AF7BD8" w:rsidRDefault="00AF7BD8" w:rsidP="00AF7BD8">
            <w:pPr>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Discounts on selected Ministry fees for Emiratisation Partners Club members</w:t>
            </w:r>
          </w:p>
        </w:tc>
      </w:tr>
    </w:tbl>
    <w:p w14:paraId="036E573B"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457619E4">
          <v:rect id="_x0000_i1027" alt="" style="width:451.3pt;height:.05pt;mso-width-percent:0;mso-height-percent:0;mso-width-percent:0;mso-height-percent:0" o:hralign="center" o:hrstd="t" o:hr="t" fillcolor="#a0a0a0" stroked="f"/>
        </w:pict>
      </w:r>
    </w:p>
    <w:p w14:paraId="52F5BC0E" w14:textId="77777777" w:rsidR="00AF7BD8" w:rsidRDefault="00AF7BD8">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3B15205E" w14:textId="1550AC7C"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lastRenderedPageBreak/>
        <w:t>The compliant way to hire (TASC's angle)</w:t>
      </w:r>
    </w:p>
    <w:p w14:paraId="348776E3"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Many companies still believe they have to choose between hiring Emirati talent fast and hiring it properly. They don't.</w:t>
      </w:r>
    </w:p>
    <w:p w14:paraId="4BE8B9E8"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Working with a workforce partner lets you keep your focus on the business while the sourcing, NAFIS and pension registration, contracts and onboarding run through one provider. The Emirati employee holds a genuine role and draws a real monthly salary, so the arrangement sits fully within Ministry rules. What you gain is speed and a lighter load on your internal team.</w:t>
      </w:r>
    </w:p>
    <w:p w14:paraId="3A30D226"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kern w:val="0"/>
          <w:lang w:eastAsia="en-GB"/>
          <w14:ligatures w14:val="none"/>
        </w:rPr>
        <w:t>That is the model TASC has used to bring Emirati professionals into the private sector for years, alongside the work we do on the Emiratisation Summit, the Emiratisation Guidebook and career-guidance programmes with NAFIS and other national bodies.</w:t>
      </w:r>
    </w:p>
    <w:p w14:paraId="7DFABF9D"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CTA button:</w:t>
      </w:r>
      <w:r w:rsidRPr="00AF7BD8">
        <w:rPr>
          <w:rFonts w:ascii="Times New Roman" w:eastAsia="Times New Roman" w:hAnsi="Times New Roman" w:cs="Times New Roman"/>
          <w:kern w:val="0"/>
          <w:lang w:eastAsia="en-GB"/>
          <w14:ligatures w14:val="none"/>
        </w:rPr>
        <w:t xml:space="preserve"> Talk to our Emiratisation team</w:t>
      </w:r>
    </w:p>
    <w:p w14:paraId="1795D2A3"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75423F3D">
          <v:rect id="_x0000_i1026" alt="" style="width:451.3pt;height:.05pt;mso-width-percent:0;mso-height-percent:0;mso-width-percent:0;mso-height-percent:0" o:hralign="center" o:hrstd="t" o:hr="t" fillcolor="#a0a0a0" stroked="f"/>
        </w:pict>
      </w:r>
    </w:p>
    <w:p w14:paraId="69BE8091" w14:textId="77777777"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t>Closing CTA section</w:t>
      </w:r>
    </w:p>
    <w:p w14:paraId="7BC80A70" w14:textId="77777777" w:rsid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Heading:</w:t>
      </w:r>
      <w:r w:rsidRPr="00AF7BD8">
        <w:rPr>
          <w:rFonts w:ascii="Times New Roman" w:eastAsia="Times New Roman" w:hAnsi="Times New Roman" w:cs="Times New Roman"/>
          <w:kern w:val="0"/>
          <w:lang w:eastAsia="en-GB"/>
          <w14:ligatures w14:val="none"/>
        </w:rPr>
        <w:t xml:space="preserve"> Know where you stand before the deadline finds you </w:t>
      </w:r>
    </w:p>
    <w:p w14:paraId="33CC997A" w14:textId="77777777" w:rsid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Body:</w:t>
      </w:r>
      <w:r w:rsidRPr="00AF7BD8">
        <w:rPr>
          <w:rFonts w:ascii="Times New Roman" w:eastAsia="Times New Roman" w:hAnsi="Times New Roman" w:cs="Times New Roman"/>
          <w:kern w:val="0"/>
          <w:lang w:eastAsia="en-GB"/>
          <w14:ligatures w14:val="none"/>
        </w:rPr>
        <w:t xml:space="preserve"> The companies that handle this well are the ones planning now, not the ones rushing in November. Book a free workforce advisory call and we'll help you read your current position, map the targets that apply to your business, and lay out the most effective path to meet them. </w:t>
      </w:r>
    </w:p>
    <w:p w14:paraId="4C573436" w14:textId="44455B4E"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Button:</w:t>
      </w:r>
      <w:r w:rsidRPr="00AF7BD8">
        <w:rPr>
          <w:rFonts w:ascii="Times New Roman" w:eastAsia="Times New Roman" w:hAnsi="Times New Roman" w:cs="Times New Roman"/>
          <w:kern w:val="0"/>
          <w:lang w:eastAsia="en-GB"/>
          <w14:ligatures w14:val="none"/>
        </w:rPr>
        <w:t xml:space="preserve"> Book your free advisory call</w:t>
      </w:r>
    </w:p>
    <w:p w14:paraId="487AC6EC" w14:textId="77777777" w:rsidR="00AF7BD8" w:rsidRPr="00AF7BD8" w:rsidRDefault="004A20D5" w:rsidP="00AF7BD8">
      <w:pPr>
        <w:spacing w:after="0" w:line="240" w:lineRule="auto"/>
        <w:rPr>
          <w:rFonts w:ascii="Times New Roman" w:eastAsia="Times New Roman" w:hAnsi="Times New Roman" w:cs="Times New Roman"/>
          <w:kern w:val="0"/>
          <w:lang w:eastAsia="en-GB"/>
          <w14:ligatures w14:val="none"/>
        </w:rPr>
      </w:pPr>
      <w:r w:rsidRPr="004A20D5">
        <w:rPr>
          <w:rFonts w:ascii="Times New Roman" w:eastAsia="Times New Roman" w:hAnsi="Times New Roman" w:cs="Times New Roman"/>
          <w:noProof/>
          <w:kern w:val="0"/>
          <w:lang w:eastAsia="en-GB"/>
        </w:rPr>
        <w:pict w14:anchorId="460F5459">
          <v:rect id="_x0000_i1025" alt="" style="width:451.3pt;height:.05pt;mso-width-percent:0;mso-height-percent:0;mso-width-percent:0;mso-height-percent:0" o:hralign="center" o:hrstd="t" o:hr="t" fillcolor="#a0a0a0" stroked="f"/>
        </w:pict>
      </w:r>
    </w:p>
    <w:p w14:paraId="5196DB7F" w14:textId="77777777" w:rsidR="00AF7BD8" w:rsidRDefault="00AF7BD8">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22F1078D" w14:textId="4895CB05" w:rsidR="00AF7BD8" w:rsidRPr="00AF7BD8" w:rsidRDefault="00AF7BD8" w:rsidP="00AF7B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F7BD8">
        <w:rPr>
          <w:rFonts w:ascii="Times New Roman" w:eastAsia="Times New Roman" w:hAnsi="Times New Roman" w:cs="Times New Roman"/>
          <w:b/>
          <w:bCs/>
          <w:kern w:val="0"/>
          <w:sz w:val="27"/>
          <w:szCs w:val="27"/>
          <w:lang w:eastAsia="en-GB"/>
          <w14:ligatures w14:val="none"/>
        </w:rPr>
        <w:lastRenderedPageBreak/>
        <w:t xml:space="preserve">FAQ block </w:t>
      </w:r>
    </w:p>
    <w:p w14:paraId="13BB70A3"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What is fake Emiratisation?</w:t>
      </w:r>
      <w:r w:rsidRPr="00AF7BD8">
        <w:rPr>
          <w:rFonts w:ascii="Times New Roman" w:eastAsia="Times New Roman" w:hAnsi="Times New Roman" w:cs="Times New Roman"/>
          <w:kern w:val="0"/>
          <w:lang w:eastAsia="en-GB"/>
          <w14:ligatures w14:val="none"/>
        </w:rPr>
        <w:t xml:space="preserve"> It's when an Emirati employee exists only on paper, with no real role or responsibilities, purely to satisfy a quota. The Ministry now uses AI to detect these arrangements, and penalties run from AED 100,000 to AED 500,000 per violation.</w:t>
      </w:r>
    </w:p>
    <w:p w14:paraId="18DCCA79"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Do Emiratisation rules apply to small companies?</w:t>
      </w:r>
      <w:r w:rsidRPr="00AF7BD8">
        <w:rPr>
          <w:rFonts w:ascii="Times New Roman" w:eastAsia="Times New Roman" w:hAnsi="Times New Roman" w:cs="Times New Roman"/>
          <w:kern w:val="0"/>
          <w:lang w:eastAsia="en-GB"/>
          <w14:ligatures w14:val="none"/>
        </w:rPr>
        <w:t xml:space="preserve"> Yes. Businesses with 20 to 49 employees now have obligations and are expected to employ at least two Emirati nationals by the end of 2026.</w:t>
      </w:r>
    </w:p>
    <w:p w14:paraId="695052B4"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What does it cost to leave an Emirati role unfilled?</w:t>
      </w:r>
      <w:r w:rsidRPr="00AF7BD8">
        <w:rPr>
          <w:rFonts w:ascii="Times New Roman" w:eastAsia="Times New Roman" w:hAnsi="Times New Roman" w:cs="Times New Roman"/>
          <w:kern w:val="0"/>
          <w:lang w:eastAsia="en-GB"/>
          <w14:ligatures w14:val="none"/>
        </w:rPr>
        <w:t xml:space="preserve"> AED 9,000 per month for each unfilled position, which adds up to more than AED 100,000 over a year.</w:t>
      </w:r>
    </w:p>
    <w:p w14:paraId="4981BFEC"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Is hiring through a workforce partner compliant?</w:t>
      </w:r>
      <w:r w:rsidRPr="00AF7BD8">
        <w:rPr>
          <w:rFonts w:ascii="Times New Roman" w:eastAsia="Times New Roman" w:hAnsi="Times New Roman" w:cs="Times New Roman"/>
          <w:kern w:val="0"/>
          <w:lang w:eastAsia="en-GB"/>
          <w14:ligatures w14:val="none"/>
        </w:rPr>
        <w:t xml:space="preserve"> Yes, as long as the employee holds a legitimate role and receives a real monthly salary. The partner handles the administration; the employee does genuine work.</w:t>
      </w:r>
    </w:p>
    <w:p w14:paraId="11AC963B"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What's new in the NAFIS benefits package?</w:t>
      </w:r>
      <w:r w:rsidRPr="00AF7BD8">
        <w:rPr>
          <w:rFonts w:ascii="Times New Roman" w:eastAsia="Times New Roman" w:hAnsi="Times New Roman" w:cs="Times New Roman"/>
          <w:kern w:val="0"/>
          <w:lang w:eastAsia="en-GB"/>
          <w14:ligatures w14:val="none"/>
        </w:rPr>
        <w:t xml:space="preserve"> Family support is now uncapped rather than limited to four children, extended to the children of Emirati mothers, and AED 3,000 per child is paid monthly. Spouses of Emirati citizens working in the private sector are now included too.</w:t>
      </w:r>
    </w:p>
    <w:p w14:paraId="250C1294" w14:textId="77777777" w:rsidR="00AF7BD8" w:rsidRPr="00AF7BD8" w:rsidRDefault="00AF7BD8" w:rsidP="00AF7B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F7BD8">
        <w:rPr>
          <w:rFonts w:ascii="Times New Roman" w:eastAsia="Times New Roman" w:hAnsi="Times New Roman" w:cs="Times New Roman"/>
          <w:b/>
          <w:bCs/>
          <w:kern w:val="0"/>
          <w:lang w:eastAsia="en-GB"/>
          <w14:ligatures w14:val="none"/>
        </w:rPr>
        <w:t>What are the Emiratisation targets for 2026?</w:t>
      </w:r>
      <w:r w:rsidRPr="00AF7BD8">
        <w:rPr>
          <w:rFonts w:ascii="Times New Roman" w:eastAsia="Times New Roman" w:hAnsi="Times New Roman" w:cs="Times New Roman"/>
          <w:kern w:val="0"/>
          <w:lang w:eastAsia="en-GB"/>
          <w14:ligatures w14:val="none"/>
        </w:rPr>
        <w:t xml:space="preserve"> A 1% increase by the end of June and a further 1% before the end of 2026.</w:t>
      </w:r>
    </w:p>
    <w:p w14:paraId="639E03B4" w14:textId="6E643DCC" w:rsidR="00AC5DF3" w:rsidRPr="00AF7BD8" w:rsidRDefault="00AC5DF3" w:rsidP="00AF7BD8">
      <w:pPr>
        <w:spacing w:after="0" w:line="240" w:lineRule="auto"/>
        <w:rPr>
          <w:rFonts w:ascii="Times New Roman" w:eastAsia="Times New Roman" w:hAnsi="Times New Roman" w:cs="Times New Roman"/>
          <w:kern w:val="0"/>
          <w:lang w:eastAsia="en-GB"/>
          <w14:ligatures w14:val="none"/>
        </w:rPr>
      </w:pPr>
    </w:p>
    <w:sectPr w:rsidR="00AC5DF3" w:rsidRPr="00AF7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7946"/>
    <w:multiLevelType w:val="multilevel"/>
    <w:tmpl w:val="736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D20CE"/>
    <w:multiLevelType w:val="multilevel"/>
    <w:tmpl w:val="501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82C58"/>
    <w:multiLevelType w:val="multilevel"/>
    <w:tmpl w:val="EEAA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10550C"/>
    <w:multiLevelType w:val="multilevel"/>
    <w:tmpl w:val="D4D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561451">
    <w:abstractNumId w:val="2"/>
  </w:num>
  <w:num w:numId="2" w16cid:durableId="257060360">
    <w:abstractNumId w:val="3"/>
  </w:num>
  <w:num w:numId="3" w16cid:durableId="395781186">
    <w:abstractNumId w:val="0"/>
  </w:num>
  <w:num w:numId="4" w16cid:durableId="511649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D8"/>
    <w:rsid w:val="004A20D5"/>
    <w:rsid w:val="00570E08"/>
    <w:rsid w:val="008D0A7B"/>
    <w:rsid w:val="00A330A7"/>
    <w:rsid w:val="00AC5DF3"/>
    <w:rsid w:val="00AF7B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797F"/>
  <w15:chartTrackingRefBased/>
  <w15:docId w15:val="{F70D778A-00F5-E748-9906-1EE81AB7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7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7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7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7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D8"/>
    <w:rPr>
      <w:rFonts w:eastAsiaTheme="majorEastAsia" w:cstheme="majorBidi"/>
      <w:color w:val="272727" w:themeColor="text1" w:themeTint="D8"/>
    </w:rPr>
  </w:style>
  <w:style w:type="paragraph" w:styleId="Title">
    <w:name w:val="Title"/>
    <w:basedOn w:val="Normal"/>
    <w:next w:val="Normal"/>
    <w:link w:val="TitleChar"/>
    <w:uiPriority w:val="10"/>
    <w:qFormat/>
    <w:rsid w:val="00AF7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D8"/>
    <w:pPr>
      <w:spacing w:before="160"/>
      <w:jc w:val="center"/>
    </w:pPr>
    <w:rPr>
      <w:i/>
      <w:iCs/>
      <w:color w:val="404040" w:themeColor="text1" w:themeTint="BF"/>
    </w:rPr>
  </w:style>
  <w:style w:type="character" w:customStyle="1" w:styleId="QuoteChar">
    <w:name w:val="Quote Char"/>
    <w:basedOn w:val="DefaultParagraphFont"/>
    <w:link w:val="Quote"/>
    <w:uiPriority w:val="29"/>
    <w:rsid w:val="00AF7BD8"/>
    <w:rPr>
      <w:i/>
      <w:iCs/>
      <w:color w:val="404040" w:themeColor="text1" w:themeTint="BF"/>
    </w:rPr>
  </w:style>
  <w:style w:type="paragraph" w:styleId="ListParagraph">
    <w:name w:val="List Paragraph"/>
    <w:basedOn w:val="Normal"/>
    <w:uiPriority w:val="34"/>
    <w:qFormat/>
    <w:rsid w:val="00AF7BD8"/>
    <w:pPr>
      <w:ind w:left="720"/>
      <w:contextualSpacing/>
    </w:pPr>
  </w:style>
  <w:style w:type="character" w:styleId="IntenseEmphasis">
    <w:name w:val="Intense Emphasis"/>
    <w:basedOn w:val="DefaultParagraphFont"/>
    <w:uiPriority w:val="21"/>
    <w:qFormat/>
    <w:rsid w:val="00AF7BD8"/>
    <w:rPr>
      <w:i/>
      <w:iCs/>
      <w:color w:val="0F4761" w:themeColor="accent1" w:themeShade="BF"/>
    </w:rPr>
  </w:style>
  <w:style w:type="paragraph" w:styleId="IntenseQuote">
    <w:name w:val="Intense Quote"/>
    <w:basedOn w:val="Normal"/>
    <w:next w:val="Normal"/>
    <w:link w:val="IntenseQuoteChar"/>
    <w:uiPriority w:val="30"/>
    <w:qFormat/>
    <w:rsid w:val="00AF7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D8"/>
    <w:rPr>
      <w:i/>
      <w:iCs/>
      <w:color w:val="0F4761" w:themeColor="accent1" w:themeShade="BF"/>
    </w:rPr>
  </w:style>
  <w:style w:type="character" w:styleId="IntenseReference">
    <w:name w:val="Intense Reference"/>
    <w:basedOn w:val="DefaultParagraphFont"/>
    <w:uiPriority w:val="32"/>
    <w:qFormat/>
    <w:rsid w:val="00AF7BD8"/>
    <w:rPr>
      <w:b/>
      <w:bCs/>
      <w:smallCaps/>
      <w:color w:val="0F4761" w:themeColor="accent1" w:themeShade="BF"/>
      <w:spacing w:val="5"/>
    </w:rPr>
  </w:style>
  <w:style w:type="paragraph" w:styleId="NormalWeb">
    <w:name w:val="Normal (Web)"/>
    <w:basedOn w:val="Normal"/>
    <w:uiPriority w:val="99"/>
    <w:semiHidden/>
    <w:unhideWhenUsed/>
    <w:rsid w:val="00AF7B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F7BD8"/>
    <w:rPr>
      <w:b/>
      <w:bCs/>
    </w:rPr>
  </w:style>
  <w:style w:type="character" w:styleId="HTMLCode">
    <w:name w:val="HTML Code"/>
    <w:basedOn w:val="DefaultParagraphFont"/>
    <w:uiPriority w:val="99"/>
    <w:semiHidden/>
    <w:unhideWhenUsed/>
    <w:rsid w:val="00AF7BD8"/>
    <w:rPr>
      <w:rFonts w:ascii="Courier New" w:eastAsia="Times New Roman" w:hAnsi="Courier New" w:cs="Courier New"/>
      <w:sz w:val="20"/>
      <w:szCs w:val="20"/>
    </w:rPr>
  </w:style>
  <w:style w:type="table" w:styleId="TableGrid">
    <w:name w:val="Table Grid"/>
    <w:basedOn w:val="TableNormal"/>
    <w:uiPriority w:val="39"/>
    <w:rsid w:val="00AF7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893</Words>
  <Characters>4538</Characters>
  <Application>Microsoft Office Word</Application>
  <DocSecurity>0</DocSecurity>
  <Lines>103</Lines>
  <Paragraphs>61</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Sarwar Chishti</dc:creator>
  <cp:keywords/>
  <dc:description/>
  <cp:lastModifiedBy>Daniyal Sarwar Chishti</cp:lastModifiedBy>
  <cp:revision>1</cp:revision>
  <dcterms:created xsi:type="dcterms:W3CDTF">2026-06-08T08:59:00Z</dcterms:created>
  <dcterms:modified xsi:type="dcterms:W3CDTF">2026-06-08T09:01:00Z</dcterms:modified>
</cp:coreProperties>
</file>