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6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791"/>
        <w:gridCol w:w="2791"/>
        <w:gridCol w:w="2791"/>
        <w:gridCol w:w="2792"/>
      </w:tblGrid>
      <w:tr w:rsidR="003A331E" w:rsidRPr="003C19E3" w:rsidTr="003A331E"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Клиническая картина опухолей головного мозга</w:t>
            </w:r>
            <w:r w:rsidRPr="003C19E3">
              <w:rPr>
                <w:rFonts w:cstheme="minorHAnsi"/>
                <w:sz w:val="10"/>
                <w:szCs w:val="10"/>
              </w:rPr>
              <w:t xml:space="preserve"> складывается из нескольких групп симптомов: 1) общемозговые; 2) очаговые; 3) симптомы «по соседству»; 4) симптомы «на отдалении». Кроме того, значительная группа симптомов (головная боль, головокружение, рвота и др.) Очаговые (первичные) симптомы обусловлены непосредственным воздействием (сдавлением или разрушением) опухоли на ткань мозга. Причиной появления симптомов «по соседству» становится дисфункция близко расположенных структур мозга вследствие ограниченного отека, местных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дисциркуляторных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расстройств, воспалительно-интоксикационных процессов. Симптомы «на отдалении» обычно появляются при дислокации, вклинении и компрессии определенных структур (наиболее часты височно-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тенториальное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 аксиальное затылочное вклинения). Общемозговые симптомы индуцируются диффузным отеком, внутричерепной гипертензией,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генерализованными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нарушениями гемодинамики.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Головная боль</w:t>
            </w:r>
            <w:r w:rsidRPr="003C19E3">
              <w:rPr>
                <w:rFonts w:cstheme="minorHAnsi"/>
                <w:sz w:val="10"/>
                <w:szCs w:val="10"/>
              </w:rPr>
              <w:t xml:space="preserve"> – один из наиболее частых симптомов опухоли головного мозга. Боль может носить местный характер (раздражение рецепторов твердой мозговой оболочки и корешков черепных нервов, местные изменения в костях черепа) и диффузный (повышение внутричерепного давления и растяжение твердой мозговой оболочки).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Рвота</w:t>
            </w:r>
            <w:r w:rsidRPr="003C19E3">
              <w:rPr>
                <w:rFonts w:cstheme="minorHAnsi"/>
                <w:sz w:val="10"/>
                <w:szCs w:val="10"/>
              </w:rPr>
              <w:t xml:space="preserve"> – также частый симптом опухоли. Обычно возникает по утрам натощак, неожиданно, как правило, без предшествующих тошноты, отрыжки, болей в животе, вне связи с приемом пищи, нередко при перемене положения головы, на высоте головной боли. При раздражении дна IV желудочка может выступать в роли очагового симптома. В этих условиях ей нередко сопутствует икота. Более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выражена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на начальных этапах болезни, особенно при опухолях задней черепной ямки.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 xml:space="preserve">Головокружение </w:t>
            </w:r>
            <w:r w:rsidRPr="003C19E3">
              <w:rPr>
                <w:rFonts w:cstheme="minorHAnsi"/>
                <w:sz w:val="10"/>
                <w:szCs w:val="10"/>
              </w:rPr>
              <w:t>(системное и несистемное) встречается почти в половине наблюдений. Чаще возникает приступообразно, сочетается с головной болью, рвотой, вегетативно-сосудистыми реакциями, сопровождается чувством страха («синдром гибели мозга»).</w:t>
            </w:r>
          </w:p>
        </w:tc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Изменения на глазном дне</w:t>
            </w:r>
            <w:r w:rsidRPr="003C19E3">
              <w:rPr>
                <w:rFonts w:cstheme="minorHAnsi"/>
                <w:sz w:val="10"/>
                <w:szCs w:val="10"/>
              </w:rPr>
              <w:t xml:space="preserve">. Наиболее частый вариант – застойный диск зрительного нерва. Степень выраженности отека диска определяется темпом нарастания внутричерепного давления. Острота зрения, в отличие от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нейропатии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зрительного нерва, в первое время сохранена. В дальнейшем сначала появляются транзиторные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амблиопии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–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обнубиляции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(кратковременное снижение зрения при физических нагрузках, поворотах головы и быстрое восстановление), позже – стойкое снижение зрения.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 xml:space="preserve">При синдроме </w:t>
            </w:r>
            <w:proofErr w:type="spellStart"/>
            <w:r w:rsidRPr="003C19E3">
              <w:rPr>
                <w:rFonts w:cstheme="minorHAnsi"/>
                <w:b/>
                <w:bCs/>
                <w:sz w:val="10"/>
                <w:szCs w:val="10"/>
              </w:rPr>
              <w:t>Фостера</w:t>
            </w:r>
            <w:proofErr w:type="spellEnd"/>
            <w:r w:rsidRPr="003C19E3">
              <w:rPr>
                <w:rFonts w:cstheme="minorHAnsi"/>
                <w:b/>
                <w:bCs/>
                <w:sz w:val="10"/>
                <w:szCs w:val="10"/>
              </w:rPr>
              <w:t xml:space="preserve"> Кеннеди</w:t>
            </w:r>
            <w:r w:rsidRPr="003C19E3">
              <w:rPr>
                <w:rFonts w:cstheme="minorHAnsi"/>
                <w:sz w:val="10"/>
                <w:szCs w:val="10"/>
              </w:rPr>
              <w:t xml:space="preserve"> на одном глазу определяется первичная атрофия зрительного нерва (вследствие непосредственного давления опухоли лобной доли на нерв), а на другом – застойный диск. Психические расстройства постепенно обнаруживаются практически у всех больных. </w:t>
            </w:r>
          </w:p>
          <w:p w:rsidR="003A331E" w:rsidRPr="003C19E3" w:rsidRDefault="003A331E" w:rsidP="003A331E">
            <w:pPr>
              <w:rPr>
                <w:rFonts w:cstheme="minorHAnsi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По мере прогрессирования роста опухоли нарушаются память, мышление, восприятие, способность сосредотачиваться. Нарушения сознания постепенно прогрессируют. Расстройства сознания носят как непродуктивный (оглушение, сопор, кома), так и продуктивный характер (бред, галлюцинации, сумеречные состояния). Иногда психические расстройства могут иметь топико-диагностическое значение («лобная» психика, ирреальность окружающего мира или галлюцинации височного генеза, амнезия,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аспонтанность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 акинезия при патологии мозолистого тела).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Эпилептический синдром</w:t>
            </w:r>
            <w:r w:rsidRPr="003C19E3">
              <w:rPr>
                <w:rFonts w:cstheme="minorHAnsi"/>
                <w:sz w:val="10"/>
                <w:szCs w:val="10"/>
              </w:rPr>
              <w:t xml:space="preserve"> Эпилептические припадки более свойственны начальным стадиям опухолей, их характер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весьма полиморфный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. Эпилептические припадки опухолевого генеза, в отличие от пароксизмов другой природы, обычно сопровождаются очаговыми симптомами, которые вначале носят преходящий характер, постепенно становясь постоянными.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Оболочечные симптомы</w:t>
            </w:r>
            <w:r w:rsidRPr="003C19E3">
              <w:rPr>
                <w:rFonts w:cstheme="minorHAnsi"/>
                <w:sz w:val="10"/>
                <w:szCs w:val="10"/>
              </w:rPr>
              <w:t xml:space="preserve"> чаще обнаруживаются при метастазах и особенно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диффузном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карциноматозе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оболочек. Их появление обычно обусловлено внутричерепной гипертензией,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пролабированием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миндалин мозжечка в большое затылочное отверстие</w:t>
            </w:r>
          </w:p>
        </w:tc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  <w:b/>
                <w:bCs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Опухоли спинного мозга по локализации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1интрамедуллярные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2экстрамедуллярные: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эпидуральные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субдуральные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эписубдуральные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эпидурально-экстравертебральные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(типа «песочных часов»)</w:t>
            </w:r>
          </w:p>
          <w:p w:rsidR="003A331E" w:rsidRPr="003C19E3" w:rsidRDefault="003A331E" w:rsidP="003A331E">
            <w:pPr>
              <w:rPr>
                <w:rFonts w:cstheme="minorHAnsi"/>
                <w:b/>
                <w:bCs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Классификация по происхождению: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1Первичные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:А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страцитома,Олигодендроглинома,эпендиома,иобластома,медулобластома,менингиома,невринома,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 xml:space="preserve">аденома </w:t>
            </w:r>
            <w:proofErr w:type="spellStart"/>
            <w:r w:rsidRPr="003C19E3">
              <w:rPr>
                <w:rFonts w:cstheme="minorHAnsi"/>
                <w:b/>
                <w:bCs/>
                <w:sz w:val="10"/>
                <w:szCs w:val="10"/>
              </w:rPr>
              <w:t>гипофиза</w:t>
            </w:r>
            <w:r w:rsidRPr="003C19E3">
              <w:rPr>
                <w:rFonts w:cstheme="minorHAnsi"/>
                <w:sz w:val="10"/>
                <w:szCs w:val="10"/>
              </w:rPr>
              <w:t>:пролактинома,кортикотропинома,соматотропинома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.</w:t>
            </w:r>
          </w:p>
          <w:p w:rsidR="003A331E" w:rsidRPr="003C19E3" w:rsidRDefault="003A331E" w:rsidP="003A331E">
            <w:pPr>
              <w:rPr>
                <w:rFonts w:cstheme="minorHAnsi"/>
              </w:rPr>
            </w:pPr>
            <w:r w:rsidRPr="003C19E3">
              <w:rPr>
                <w:rFonts w:cstheme="minorHAnsi"/>
                <w:sz w:val="10"/>
                <w:szCs w:val="10"/>
              </w:rPr>
              <w:t>2.Вторичные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:м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етастатические,бронхопульмональный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рак,рак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молочной железы.</w:t>
            </w:r>
          </w:p>
          <w:p w:rsidR="003A331E" w:rsidRPr="003C19E3" w:rsidRDefault="003A331E" w:rsidP="003A331E">
            <w:pPr>
              <w:rPr>
                <w:rFonts w:cstheme="minorHAnsi"/>
                <w:b/>
                <w:bCs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 xml:space="preserve">Классификация опухолей головного мозга </w:t>
            </w:r>
            <w:proofErr w:type="spellStart"/>
            <w:r w:rsidRPr="003C19E3">
              <w:rPr>
                <w:rFonts w:cstheme="minorHAnsi"/>
                <w:b/>
                <w:bCs/>
                <w:sz w:val="10"/>
                <w:szCs w:val="10"/>
              </w:rPr>
              <w:t>топогрофо</w:t>
            </w:r>
            <w:proofErr w:type="spellEnd"/>
            <w:r w:rsidRPr="003C19E3">
              <w:rPr>
                <w:rFonts w:cstheme="minorHAnsi"/>
                <w:b/>
                <w:bCs/>
                <w:sz w:val="10"/>
                <w:szCs w:val="10"/>
              </w:rPr>
              <w:t>-анатомическая по Макарову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1.Интрацелебеллярные\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Интрацеребральные</w:t>
            </w:r>
            <w:proofErr w:type="spellEnd"/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2.Экстрацеребральные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3.Супратентареальные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-о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пухоли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желудочков,больших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полушарий,гипофизов</w:t>
            </w:r>
            <w:proofErr w:type="spellEnd"/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4Субтенториальные-опухоли ствола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мозга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,м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осто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-мозжечкового угла,4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желудочка,мозжечка</w:t>
            </w:r>
            <w:proofErr w:type="spellEnd"/>
          </w:p>
          <w:p w:rsidR="003A331E" w:rsidRPr="003C19E3" w:rsidRDefault="003A331E" w:rsidP="003A331E">
            <w:pPr>
              <w:rPr>
                <w:rFonts w:cstheme="minorHAnsi"/>
              </w:rPr>
            </w:pPr>
          </w:p>
        </w:tc>
        <w:tc>
          <w:tcPr>
            <w:tcW w:w="2792" w:type="dxa"/>
          </w:tcPr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.: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Acetazolamidi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250 mg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D.t.d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 № 10 in tab.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t>S.: Внутрь, по 1 таблетке утром, независимо от приема пищи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: "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Furosemid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" 0,04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D.t.d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 № 50 in tab.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S: Внутрь по 1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тaблетке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 утром, натощак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proofErr w:type="gram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.:</w:t>
            </w:r>
            <w:proofErr w:type="gram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Dexamethasoni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0,0005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  <w:t>D. t. d. № 30 in tab.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t>S.: По 1 табл. 1 раз в день, внутрь, во время или после еды (желательно в ранние утренние часы)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.: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Sol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.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Manniti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 15% 500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ml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br/>
              <w:t>D. S. Вводить внутривенно по 0,5 - 1,5г/кг массы тела больного.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proofErr w:type="gram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.:</w:t>
            </w:r>
            <w:proofErr w:type="gram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Diazepami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0,005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D.t.d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 № 20 in tab.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t>S.: По 1 таб. 2 раза в день внутрь, независимо от приема пищи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 "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Depakine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chrono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" 300 mg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D.t.d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 xml:space="preserve">. № 100 in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tabl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t>.</w:t>
            </w:r>
            <w:r w:rsidRPr="003C19E3">
              <w:rPr>
                <w:rFonts w:cstheme="minorHAnsi"/>
                <w:color w:val="3C4043"/>
                <w:sz w:val="10"/>
                <w:szCs w:val="10"/>
                <w:lang w:val="en-US"/>
              </w:rPr>
              <w:br/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t>S. По 1 таблетке 2 раза в день</w:t>
            </w:r>
          </w:p>
          <w:p w:rsidR="003C19E3" w:rsidRPr="003C19E3" w:rsidRDefault="003C19E3" w:rsidP="003C19E3">
            <w:pPr>
              <w:rPr>
                <w:rFonts w:cstheme="minorHAnsi"/>
                <w:color w:val="3C4043"/>
                <w:sz w:val="10"/>
                <w:szCs w:val="10"/>
              </w:rPr>
            </w:pP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Rp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.: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Tab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. </w:t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Carbamazepini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 xml:space="preserve"> 0,2</w:t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br/>
            </w:r>
            <w:proofErr w:type="spellStart"/>
            <w:r w:rsidRPr="003C19E3">
              <w:rPr>
                <w:rFonts w:cstheme="minorHAnsi"/>
                <w:color w:val="3C4043"/>
                <w:sz w:val="10"/>
                <w:szCs w:val="10"/>
              </w:rPr>
              <w:t>D.t.d</w:t>
            </w:r>
            <w:proofErr w:type="spellEnd"/>
            <w:r w:rsidRPr="003C19E3">
              <w:rPr>
                <w:rFonts w:cstheme="minorHAnsi"/>
                <w:color w:val="3C4043"/>
                <w:sz w:val="10"/>
                <w:szCs w:val="10"/>
              </w:rPr>
              <w:t>. №50</w:t>
            </w:r>
            <w:r w:rsidRPr="003C19E3">
              <w:rPr>
                <w:rFonts w:cstheme="minorHAnsi"/>
                <w:color w:val="3C4043"/>
                <w:sz w:val="10"/>
                <w:szCs w:val="10"/>
              </w:rPr>
              <w:br/>
              <w:t>S. Внутрь, по 1/2 таблетки 3 раза в день, независимо от приема пищи</w:t>
            </w:r>
          </w:p>
          <w:p w:rsidR="003A331E" w:rsidRPr="003C19E3" w:rsidRDefault="003A331E" w:rsidP="003A331E">
            <w:pPr>
              <w:rPr>
                <w:rFonts w:cstheme="minorHAnsi"/>
              </w:rPr>
            </w:pPr>
          </w:p>
        </w:tc>
      </w:tr>
      <w:tr w:rsidR="003A331E" w:rsidRPr="003C19E3" w:rsidTr="003A331E"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Общая симптоматология опухолей спинного мозга</w:t>
            </w:r>
            <w:r w:rsidRPr="003C19E3">
              <w:rPr>
                <w:rFonts w:cstheme="minorHAnsi"/>
                <w:sz w:val="10"/>
                <w:szCs w:val="10"/>
              </w:rPr>
              <w:t xml:space="preserve">: 1. Синдром поперечного поражения спинного мозга (двигательные и чувствительные расстройства проводникового характера, нарушение функций тазовых органов). 2. Механическая блокада субарахноидального пространства. 3.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Белково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-клеточная диссоциация в спинномозговой жидкости. 4.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 xml:space="preserve">Симптом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ликворного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толчка (усиление корешковых болей при проведении пробы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Квекенштедта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. 5.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Симптом вклинивания (нарастание проводниковых расстройств после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люмбальной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пункции). 6. Симптом корешковых болей положения (стоя боли менее выражены, чем лежа). 7. Симптом остистого отростка (при перкуссии позвонка возникают сегментарные или проводниковые боли и (или) парестезии). 8. Изменения позвонков (разрушение структуры позвонка, симптом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Эльсберга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– Дайка).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Частная симптоматология опухолей</w:t>
            </w:r>
            <w:r w:rsidRPr="003C19E3">
              <w:rPr>
                <w:rFonts w:cstheme="minorHAnsi"/>
                <w:sz w:val="10"/>
                <w:szCs w:val="10"/>
              </w:rPr>
              <w:t xml:space="preserve"> включает соответствующие уровню поражения корешковые боли и парестезии, двигательные и чувствительные нарушения сегментарно-корешкового характера.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Интрамедуллярные опухоли.</w:t>
            </w:r>
            <w:r w:rsidRPr="003C19E3">
              <w:rPr>
                <w:rFonts w:cstheme="minorHAnsi"/>
                <w:sz w:val="10"/>
                <w:szCs w:val="10"/>
              </w:rPr>
              <w:t xml:space="preserve"> Протекают в две стадии: сегментарных расстройств и присоединения проводниковых расстройств.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Сегментарная стадия дебютирует в двух вариантах: 1) сирингомиелитическом (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диссоциированные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сегментарные нарушения чувствительности – при поражении задних рогов); 2)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полиомиелитическом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(вялые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миотомные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парезы – при поражении передних рогов).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С течением времени при прогрессирующем росте опухоли присоединяются проводниковые расстройства – двигательные и чувствительные (нисходящего типа с непостоянством верхнего уровня), а также нарушение тазовых функций. Спинномозговая жидкость на первых этапах остается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интактной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. Корешковые боли, симптомы вклинивания 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ликворного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толчка, изменения на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спондилограммах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нехарактерны</w:t>
            </w:r>
          </w:p>
          <w:p w:rsidR="003A331E" w:rsidRPr="003C19E3" w:rsidRDefault="003A331E" w:rsidP="003A331E">
            <w:pPr>
              <w:rPr>
                <w:rFonts w:cstheme="minorHAnsi"/>
              </w:rPr>
            </w:pPr>
          </w:p>
        </w:tc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Экстрамедуллярные опухоли</w:t>
            </w:r>
            <w:r w:rsidRPr="003C19E3">
              <w:rPr>
                <w:rFonts w:cstheme="minorHAnsi"/>
                <w:sz w:val="10"/>
                <w:szCs w:val="10"/>
              </w:rPr>
              <w:t xml:space="preserve">. В типичных случаях можно проследить три последовательные стадии: 1) 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невралгическая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– боли по ходу того корешка, который оказывается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компремирован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опухолью; 2)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броун-секаровская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(поражение половины поперечника спинного мозга); 3)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параплегическая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(поперечное поражение спинного мозга). Симптомы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ликворного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толчка, вклинивания, корешковых болей положения, остистого отростка, изменения в позвонках определяются преимущественно при экстрамедуллярных опухолях.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3C19E3">
              <w:rPr>
                <w:rFonts w:cstheme="minorHAnsi"/>
                <w:b/>
                <w:bCs/>
                <w:sz w:val="10"/>
                <w:szCs w:val="10"/>
              </w:rPr>
              <w:t>Д</w:t>
            </w:r>
            <w:r w:rsidRPr="003C19E3">
              <w:rPr>
                <w:rFonts w:cstheme="minorHAnsi"/>
                <w:b/>
                <w:bCs/>
                <w:sz w:val="10"/>
                <w:szCs w:val="10"/>
              </w:rPr>
              <w:t>иагностика</w:t>
            </w:r>
            <w:r w:rsidRPr="003C19E3">
              <w:rPr>
                <w:rFonts w:cstheme="minorHAnsi"/>
                <w:sz w:val="10"/>
                <w:szCs w:val="10"/>
              </w:rPr>
              <w:t>Тщательное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клиническое обследование: а) неврологическое; б) офтальмологическое (глазное дно, поля зрения, острота зрения); в) оториноларингологическое (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кохлеовестибулярные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функции, вкус, обоняние).</w:t>
            </w:r>
            <w:proofErr w:type="gramEnd"/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- Краниография в двух проекциях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– Электроэнцефалография. Фокальные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медленноволновые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или ирритативные феномены.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–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Эхоэнцефалоскопия</w:t>
            </w:r>
            <w:proofErr w:type="spellEnd"/>
            <w:proofErr w:type="gramStart"/>
            <w:r w:rsidRPr="003C19E3">
              <w:rPr>
                <w:rFonts w:cstheme="minorHAnsi"/>
                <w:sz w:val="10"/>
                <w:szCs w:val="10"/>
              </w:rPr>
              <w:t xml:space="preserve"> (-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графия). Смещение М-эхо объемным образованием.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–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Люмбальная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пункция (при застойных дисках зрительных нервов и (или) смещении М-эхо – только в нейрохирургическом отделении).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Белково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-клеточная диссоциация,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ксантохромия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, блок субарахноидального пространства спинного мозга при проведении ликвородинамических проб.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– Компьютерная томография, магнитно-резонансная томография.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 – Церебральная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ангиография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.О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АК,БИОХИМИЯ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КРОВИ,онкомаркеры,биопсия</w:t>
            </w:r>
            <w:proofErr w:type="spellEnd"/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</w:rPr>
              <w:t>Лечение</w:t>
            </w:r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Хирургические методы: полное или частичное удаление, паллиативное вмешательство с целью декомпрессии. Шунтирование при нарушении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ликвородинамики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. 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Лучевая терапия: а) радиотерапевтические методы (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рентген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–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гамматерапия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, облучение пучком протонов и др.); б) радиохирургические методы (имплантация твердых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фармпрепаратов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(иттрия, золота) в кисту опухоли).</w:t>
            </w:r>
          </w:p>
          <w:p w:rsidR="003A331E" w:rsidRPr="003C19E3" w:rsidRDefault="003A331E" w:rsidP="003A331E">
            <w:pPr>
              <w:rPr>
                <w:rFonts w:cstheme="minorHAnsi"/>
              </w:rPr>
            </w:pPr>
          </w:p>
        </w:tc>
        <w:tc>
          <w:tcPr>
            <w:tcW w:w="2791" w:type="dxa"/>
          </w:tcPr>
          <w:p w:rsidR="003A331E" w:rsidRPr="003C19E3" w:rsidRDefault="003A331E" w:rsidP="003A331E">
            <w:pPr>
              <w:rPr>
                <w:rFonts w:cstheme="minorHAnsi"/>
                <w:b/>
                <w:bCs/>
                <w:sz w:val="10"/>
                <w:szCs w:val="10"/>
                <w:lang w:eastAsia="ru-RU"/>
              </w:rPr>
            </w:pPr>
            <w:r w:rsidRPr="003C19E3">
              <w:rPr>
                <w:rFonts w:cstheme="minorHAnsi"/>
                <w:b/>
                <w:bCs/>
                <w:sz w:val="10"/>
                <w:szCs w:val="10"/>
                <w:lang w:eastAsia="ru-RU"/>
              </w:rPr>
              <w:t xml:space="preserve">Абсолютные противопоказания к </w:t>
            </w:r>
            <w:proofErr w:type="spellStart"/>
            <w:r w:rsidRPr="003C19E3">
              <w:rPr>
                <w:rFonts w:cstheme="minorHAnsi"/>
                <w:b/>
                <w:bCs/>
                <w:sz w:val="10"/>
                <w:szCs w:val="10"/>
                <w:lang w:eastAsia="ru-RU"/>
              </w:rPr>
              <w:t>люмбальной</w:t>
            </w:r>
            <w:proofErr w:type="spellEnd"/>
            <w:r w:rsidRPr="003C19E3">
              <w:rPr>
                <w:rFonts w:cstheme="minorHAnsi"/>
                <w:b/>
                <w:bCs/>
                <w:sz w:val="10"/>
                <w:szCs w:val="10"/>
                <w:lang w:eastAsia="ru-RU"/>
              </w:rPr>
              <w:t xml:space="preserve"> пункции:</w:t>
            </w:r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•Наличие объемного внутричерепного образования: опухоль головного мозга, гематома, абсцесс мозга, напряженная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ликворная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киста и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т.д.•Окклюзия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(закупорка)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ликворопроводящих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путей.•Внутричерепная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гипертензия.•Поперечная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или аксиальная дислокация (смещение) головного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мозга.•Отек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головного мозга.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  <w:lang w:eastAsia="ru-RU"/>
              </w:rPr>
            </w:pPr>
            <w:proofErr w:type="gramStart"/>
            <w:r w:rsidRPr="003C19E3">
              <w:rPr>
                <w:rFonts w:cstheme="minorHAnsi"/>
                <w:b/>
                <w:bCs/>
                <w:sz w:val="10"/>
                <w:szCs w:val="10"/>
                <w:lang w:eastAsia="ru-RU"/>
              </w:rPr>
              <w:t>Абсолютные показания:</w:t>
            </w:r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•инфекционные заболевания центральной нервной системы (энцефалиты, менингиты и другие);•злокачественные новообразования в области оболочек и структур мозга;•диагностика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ликвореи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(истечения спинномозговой жидкости) путем введения в спинномозговой </w:t>
            </w:r>
            <w:proofErr w:type="spellStart"/>
            <w:r w:rsidRPr="003C19E3">
              <w:rPr>
                <w:rFonts w:cstheme="minorHAnsi"/>
                <w:sz w:val="10"/>
                <w:szCs w:val="10"/>
                <w:lang w:eastAsia="ru-RU"/>
              </w:rPr>
              <w:t>каналрентгеноконтрастных</w:t>
            </w:r>
            <w:proofErr w:type="spellEnd"/>
            <w:r w:rsidRPr="003C19E3">
              <w:rPr>
                <w:rFonts w:cstheme="minorHAnsi"/>
                <w:sz w:val="10"/>
                <w:szCs w:val="10"/>
                <w:lang w:eastAsia="ru-RU"/>
              </w:rPr>
              <w:t xml:space="preserve"> веществ или красителей;•кровоизлияние под паутинную оболочку мозга.</w:t>
            </w:r>
            <w:proofErr w:type="gramEnd"/>
          </w:p>
          <w:p w:rsidR="003A331E" w:rsidRPr="003C19E3" w:rsidRDefault="003A331E" w:rsidP="003A331E">
            <w:pPr>
              <w:rPr>
                <w:rFonts w:cstheme="minorHAnsi"/>
                <w:b/>
                <w:sz w:val="10"/>
                <w:szCs w:val="10"/>
              </w:rPr>
            </w:pPr>
            <w:r w:rsidRPr="003C19E3">
              <w:rPr>
                <w:rFonts w:cstheme="minorHAnsi"/>
                <w:b/>
                <w:sz w:val="10"/>
                <w:szCs w:val="10"/>
              </w:rPr>
              <w:t>Показания для диагностики глазного дна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•</w:t>
            </w:r>
            <w:r w:rsidRPr="003C19E3">
              <w:rPr>
                <w:rFonts w:cstheme="minorHAnsi"/>
                <w:sz w:val="10"/>
                <w:szCs w:val="10"/>
              </w:rPr>
              <w:t xml:space="preserve">Потеря способности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цветоразличения;ухудшение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качества зрения – нечеткость контуров рассматриваемых предметов снижение зрительной остроты, «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ломанные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»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изображения;периодически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повторяющиеся эпизоды головных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болей;травмы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головы и глазного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яблока;прием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некоторых фармакологических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препаратов;беременность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у женщин с патологией зрения (состояние сетчатки накладывает отпечаток на особенности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родоразрешения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);стойкое повышение внутриглазного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давления;снижение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прозрачности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хрусталика;аномалии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рефракции;сахарный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диабет;артериальная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гипертензия;атеросклероз;опухоли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r w:rsidRPr="003C19E3">
              <w:rPr>
                <w:rFonts w:cstheme="minorHAnsi"/>
                <w:sz w:val="10"/>
                <w:szCs w:val="10"/>
              </w:rPr>
              <w:t xml:space="preserve">ГМ </w:t>
            </w:r>
            <w:r w:rsidRPr="003C19E3">
              <w:rPr>
                <w:rFonts w:cstheme="minorHAnsi"/>
                <w:sz w:val="10"/>
                <w:szCs w:val="10"/>
              </w:rPr>
              <w:t xml:space="preserve">;нарушение мозгового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м</w:t>
            </w:r>
            <w:r w:rsidRPr="003C19E3">
              <w:rPr>
                <w:rFonts w:cstheme="minorHAnsi"/>
                <w:sz w:val="10"/>
                <w:szCs w:val="10"/>
              </w:rPr>
              <w:t>ровообращения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;а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утоиммунные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заболевания;наследственные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патологии сетчатой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оболочки;рождение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ребенка раньше 37 недель (у недоношенных младенцев повышен </w:t>
            </w:r>
            <w:r w:rsidRPr="003C19E3">
              <w:rPr>
                <w:rFonts w:cstheme="minorHAnsi"/>
                <w:sz w:val="10"/>
                <w:szCs w:val="10"/>
              </w:rPr>
              <w:t xml:space="preserve">риск неонатальной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ретинопатии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).</w:t>
            </w:r>
            <w:r w:rsidRPr="003C19E3">
              <w:rPr>
                <w:rFonts w:cstheme="minorHAnsi"/>
                <w:b/>
                <w:sz w:val="10"/>
                <w:szCs w:val="10"/>
              </w:rPr>
              <w:t>ПРОТИВОПОКАЗАНИЯ:</w:t>
            </w:r>
            <w:r w:rsidRPr="003C19E3">
              <w:rPr>
                <w:rFonts w:cstheme="minorHAnsi"/>
                <w:sz w:val="10"/>
                <w:szCs w:val="10"/>
              </w:rPr>
              <w:t xml:space="preserve"> Наличие воспаления или инфекции в переднем отрезке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глаза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;С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ветобоязнь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, повышенное слезоотделение. Так как это существенно затрудняет проведение обследования, а также не дать точного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результата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;З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апрещение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использования медикаментов, применяемых для расширения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зрачка;Закрытоугольная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глаукома;Наличие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заболеваний сердечно-сосудистой системы, исключающих использование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адреномиметиков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2792" w:type="dxa"/>
          </w:tcPr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sz w:val="10"/>
                <w:szCs w:val="10"/>
              </w:rPr>
              <w:t>П</w:t>
            </w:r>
            <w:r w:rsidRPr="003C19E3">
              <w:rPr>
                <w:rFonts w:cstheme="minorHAnsi"/>
                <w:b/>
                <w:sz w:val="10"/>
                <w:szCs w:val="10"/>
              </w:rPr>
              <w:t>оказаниями к ангиографии</w:t>
            </w:r>
            <w:r w:rsidRPr="003C19E3">
              <w:rPr>
                <w:rFonts w:cstheme="minorHAnsi"/>
                <w:sz w:val="10"/>
                <w:szCs w:val="10"/>
              </w:rPr>
              <w:t xml:space="preserve"> сосудов </w:t>
            </w:r>
            <w:r w:rsidRPr="003C19E3">
              <w:rPr>
                <w:rFonts w:cstheme="minorHAnsi"/>
                <w:sz w:val="10"/>
                <w:szCs w:val="10"/>
              </w:rPr>
              <w:t>ГМ</w:t>
            </w:r>
            <w:r w:rsidRPr="003C19E3">
              <w:rPr>
                <w:rFonts w:cstheme="minorHAnsi"/>
                <w:sz w:val="10"/>
                <w:szCs w:val="10"/>
              </w:rPr>
              <w:t>: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sz w:val="10"/>
                <w:szCs w:val="10"/>
              </w:rPr>
              <w:t>А</w:t>
            </w:r>
            <w:r w:rsidRPr="003C19E3">
              <w:rPr>
                <w:rFonts w:cstheme="minorHAnsi"/>
                <w:sz w:val="10"/>
                <w:szCs w:val="10"/>
              </w:rPr>
              <w:t xml:space="preserve">невризма. Данная патология </w:t>
            </w:r>
            <w:bookmarkStart w:id="0" w:name="_GoBack"/>
            <w:bookmarkEnd w:id="0"/>
            <w:r w:rsidRPr="003C19E3">
              <w:rPr>
                <w:rFonts w:cstheme="minorHAnsi"/>
                <w:sz w:val="10"/>
                <w:szCs w:val="10"/>
              </w:rPr>
              <w:t xml:space="preserve">опасна тем, что может стать причиной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инсульта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А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нгиома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. Исследование позволяет обнаружить сосудистые опухоли, которые отличаются сплетением сосудов и губчатыми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полостями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И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шемический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инсульт. Исследование проводится с целью определения необходимости в растворении тромба при закупорке артерии более чем на 95 %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 xml:space="preserve">Геморрагический инсульт. Во время диагностики специалисты выявляют источник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кровоизлияния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Г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ематома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. Ангиография сосудов головы проводится для определения размеров гематомы и места ее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расположения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О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пухоль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. Во время исследования можно определить размер образования и его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характер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Ч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ерепно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-мозговая травма. Исследование позволяет выявить последствия такой травмы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ab/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Сосудистая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мальформация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. Диагностика определяет место патологии и источник кровотечения</w:t>
            </w:r>
          </w:p>
          <w:p w:rsidR="003A331E" w:rsidRPr="003C19E3" w:rsidRDefault="003A331E" w:rsidP="003A331E">
            <w:pPr>
              <w:rPr>
                <w:rFonts w:cstheme="minorHAnsi"/>
                <w:sz w:val="10"/>
                <w:szCs w:val="10"/>
              </w:rPr>
            </w:pPr>
            <w:r w:rsidRPr="003C19E3">
              <w:rPr>
                <w:rFonts w:cstheme="minorHAnsi"/>
                <w:b/>
                <w:sz w:val="10"/>
                <w:szCs w:val="10"/>
              </w:rPr>
              <w:t>Противопоказания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r w:rsidRPr="003C19E3">
              <w:rPr>
                <w:rFonts w:cstheme="minorHAnsi"/>
                <w:sz w:val="10"/>
                <w:szCs w:val="10"/>
              </w:rPr>
              <w:t>:</w:t>
            </w:r>
            <w:proofErr w:type="gramEnd"/>
          </w:p>
          <w:p w:rsidR="003A331E" w:rsidRPr="003C19E3" w:rsidRDefault="003A331E" w:rsidP="003A331E">
            <w:pPr>
              <w:rPr>
                <w:rFonts w:cstheme="minorHAnsi"/>
              </w:rPr>
            </w:pPr>
            <w:r w:rsidRPr="003C19E3">
              <w:rPr>
                <w:rFonts w:cstheme="minorHAnsi"/>
                <w:sz w:val="10"/>
                <w:szCs w:val="10"/>
              </w:rPr>
              <w:t xml:space="preserve">Острые инфекции 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воспаления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Психические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заболевания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ab/>
              <w:t xml:space="preserve">Почечную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недостаточность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Нарушения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свертываемости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крови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Беременность</w:t>
            </w:r>
            <w:r w:rsidRPr="003C19E3">
              <w:rPr>
                <w:rFonts w:cstheme="minorHAnsi"/>
                <w:sz w:val="10"/>
                <w:szCs w:val="10"/>
              </w:rPr>
              <w:t>,</w:t>
            </w:r>
            <w:r w:rsidRPr="003C19E3">
              <w:rPr>
                <w:rFonts w:cstheme="minorHAnsi"/>
                <w:sz w:val="10"/>
                <w:szCs w:val="10"/>
              </w:rPr>
              <w:t>Печеночную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3C19E3">
              <w:rPr>
                <w:rFonts w:cstheme="minorHAnsi"/>
                <w:sz w:val="10"/>
                <w:szCs w:val="10"/>
              </w:rPr>
              <w:t>недостаточность</w:t>
            </w:r>
            <w:proofErr w:type="gramStart"/>
            <w:r w:rsidRPr="003C19E3">
              <w:rPr>
                <w:rFonts w:cstheme="minorHAnsi"/>
                <w:sz w:val="10"/>
                <w:szCs w:val="10"/>
              </w:rPr>
              <w:t>.Т</w:t>
            </w:r>
            <w:proofErr w:type="gramEnd"/>
            <w:r w:rsidRPr="003C19E3">
              <w:rPr>
                <w:rFonts w:cstheme="minorHAnsi"/>
                <w:sz w:val="10"/>
                <w:szCs w:val="10"/>
              </w:rPr>
              <w:t>ромбофлебит</w:t>
            </w:r>
            <w:proofErr w:type="spellEnd"/>
            <w:r w:rsidRPr="003C19E3">
              <w:rPr>
                <w:rFonts w:cstheme="minorHAnsi"/>
                <w:sz w:val="10"/>
                <w:szCs w:val="10"/>
              </w:rPr>
              <w:t>. Аллергию. Сердечную недостаточность</w:t>
            </w:r>
          </w:p>
        </w:tc>
      </w:tr>
    </w:tbl>
    <w:p w:rsidR="00764EB1" w:rsidRPr="003C19E3" w:rsidRDefault="00764EB1" w:rsidP="003A331E">
      <w:pPr>
        <w:ind w:left="-1134" w:firstLine="1134"/>
        <w:rPr>
          <w:rFonts w:cstheme="minorHAnsi"/>
        </w:rPr>
      </w:pPr>
    </w:p>
    <w:sectPr w:rsidR="00764EB1" w:rsidRPr="003C1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CC"/>
    <w:rsid w:val="003A331E"/>
    <w:rsid w:val="003C19E3"/>
    <w:rsid w:val="00764EB1"/>
    <w:rsid w:val="00E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GulMed</dc:creator>
  <cp:lastModifiedBy>GulMed</cp:lastModifiedBy>
  <cp:revision>2</cp:revision>
  <dcterms:created xsi:type="dcterms:W3CDTF">2023-04-04T21:07:00Z</dcterms:created>
  <dcterms:modified xsi:type="dcterms:W3CDTF">2023-04-04T21:07:00Z</dcterms:modified>
</cp:coreProperties>
</file>