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right"/>
      </w:pPr>
      <w:r>
        <w:rPr>
          <w:b w:val="0"/>
          <w:color w:val="6A7887"/>
          <w:sz w:val="21"/>
        </w:rPr>
        <w:t>6 July 2026</w:t>
      </w:r>
    </w:p>
    <w:p>
      <w:pPr>
        <w:spacing w:before="0" w:after="240"/>
      </w:pPr>
      <w:r>
        <w:rPr>
          <w:b w:val="0"/>
          <w:sz w:val="22"/>
        </w:rPr>
        <w:t>To Whom It May Concern,</w:t>
      </w:r>
    </w:p>
    <w:p>
      <w:pPr>
        <w:spacing w:after="220"/>
      </w:pPr>
      <w:r>
        <w:t xml:space="preserve">This letter confirms that </w:t>
      </w:r>
      <w:r>
        <w:rPr>
          <w:b/>
        </w:rPr>
        <w:t>TechPoint Mobile Solutions Limited</w:t>
      </w:r>
      <w:r>
        <w:t>, a corporation incorporated under the Business Corporations Act (Ontario) on 7 May 2026 under Ontario Corporation Number 1001599745, is establishing a neighbourhood technology retail and service store in Mississauga, Ontario.</w:t>
      </w:r>
    </w:p>
    <w:p>
      <w:pPr>
        <w:spacing w:before="0" w:after="220"/>
      </w:pPr>
      <w:r>
        <w:rPr>
          <w:b w:val="0"/>
          <w:sz w:val="22"/>
        </w:rPr>
        <w:t>Our business provides mobile device sales, accessories, prepaid SIM and eSIM activation, and everyday technical support to local Canadian consumers. We are committed to operating a fully compliant Canadian small business that supports local employment, digital access, and community-level economic activity.</w:t>
      </w:r>
    </w:p>
    <w:p>
      <w:pPr>
        <w:spacing w:before="0" w:after="220"/>
      </w:pPr>
      <w:r>
        <w:rPr>
          <w:b w:val="0"/>
          <w:sz w:val="22"/>
        </w:rPr>
        <w:t>Please do not hesitate to contact us should you require any further information regarding our operations, services, or business plans.</w:t>
      </w:r>
    </w:p>
    <w:p>
      <w:pPr>
        <w:spacing w:before="360" w:after="0"/>
      </w:pPr>
      <w:r>
        <w:rPr>
          <w:b w:val="0"/>
          <w:sz w:val="22"/>
        </w:rPr>
        <w:t>Sincerely,</w:t>
      </w:r>
    </w:p>
    <w:p>
      <w:pPr>
        <w:spacing w:before="600" w:after="0"/>
      </w:pPr>
      <w:r>
        <w:rPr>
          <w:b/>
          <w:color w:val="0A2540"/>
          <w:sz w:val="22"/>
        </w:rPr>
        <w:t>Syed Ijaz Hussain Shah</w:t>
      </w:r>
    </w:p>
    <w:p>
      <w:pPr>
        <w:spacing w:before="0" w:after="0"/>
      </w:pPr>
      <w:r>
        <w:rPr>
          <w:b w:val="0"/>
          <w:color w:val="6A7887"/>
          <w:sz w:val="21"/>
        </w:rPr>
        <w:t>Founder &amp; Chief Executive Officer</w:t>
      </w:r>
    </w:p>
    <w:sectPr w:rsidR="00FC693F" w:rsidRPr="0006063C" w:rsidSect="00034616">
      <w:headerReference w:type="default" r:id="rId9"/>
      <w:pgSz w:w="12240" w:h="15840"/>
      <w:pgMar w:top="2592" w:right="1152" w:bottom="1440" w:left="11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sz w:val="2"/>
      </w:rPr>
      <w:drawing xmlns:a="http://schemas.openxmlformats.org/drawingml/2006/main" xmlns:pic="http://schemas.openxmlformats.org/drawingml/2006/picture"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77" name="LetterheadBackground"/>
          <wp:cNvGraphicFramePr/>
          <a:graphic>
            <a:graphicData uri="http://schemas.openxmlformats.org/drawingml/2006/picture">
              <pic:pic>
                <pic:nvPicPr>
                  <pic:cNvPr id="77" name="Letterhead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Segoe UI" w:hAnsi="Segoe UI"/>
      <w:color w:val="2A36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