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E05315" w14:paraId="76BF94D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A6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6F7B4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30"/>
                <w:szCs w:val="30"/>
              </w:rPr>
              <w:t>VISA INC.</w:t>
            </w:r>
          </w:p>
          <w:p w14:paraId="7609816A" w14:textId="77777777" w:rsidR="00E05315" w:rsidRDefault="00000000">
            <w:r>
              <w:rPr>
                <w:rFonts w:ascii="Arial" w:eastAsia="Arial" w:hAnsi="Arial" w:cs="Arial"/>
                <w:color w:val="AACCEE"/>
                <w:sz w:val="17"/>
                <w:szCs w:val="17"/>
              </w:rPr>
              <w:t>NYSE: V  |  Financials — Payment Technology</w:t>
            </w:r>
          </w:p>
          <w:p w14:paraId="65B6B538" w14:textId="2C0E4DE0" w:rsidR="00E05315" w:rsidRDefault="00000000">
            <w:r>
              <w:rPr>
                <w:rFonts w:ascii="Arial" w:eastAsia="Arial" w:hAnsi="Arial" w:cs="Arial"/>
                <w:i/>
                <w:iCs/>
                <w:color w:val="AACCEE"/>
                <w:sz w:val="16"/>
                <w:szCs w:val="16"/>
              </w:rPr>
              <w:t xml:space="preserve">March 22, 2026  |  Analyst: </w:t>
            </w:r>
            <w:r w:rsidR="00F81929">
              <w:rPr>
                <w:rFonts w:ascii="Arial" w:eastAsia="Arial" w:hAnsi="Arial" w:cs="Arial"/>
                <w:i/>
                <w:iCs/>
                <w:color w:val="AACCEE"/>
                <w:sz w:val="16"/>
                <w:szCs w:val="16"/>
              </w:rPr>
              <w:t>Tasriful Kabir</w:t>
            </w:r>
          </w:p>
        </w:tc>
        <w:tc>
          <w:tcPr>
            <w:tcW w:w="4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3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530CF9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44"/>
                <w:szCs w:val="44"/>
              </w:rPr>
              <w:t>BUY</w:t>
            </w:r>
          </w:p>
          <w:p w14:paraId="662567F3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color w:val="CCFFCC"/>
                <w:sz w:val="17"/>
                <w:szCs w:val="17"/>
              </w:rPr>
              <w:t>Current: $301.62   |   Target: $358</w:t>
            </w:r>
          </w:p>
          <w:p w14:paraId="4411B7A9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Implied Upside: +18.7%</w:t>
            </w:r>
          </w:p>
        </w:tc>
      </w:tr>
    </w:tbl>
    <w:p w14:paraId="2EBD58F7" w14:textId="77777777" w:rsidR="00E05315" w:rsidRDefault="00E05315">
      <w:pPr>
        <w:spacing w:before="30"/>
      </w:pPr>
    </w:p>
    <w:p w14:paraId="310ACE61" w14:textId="77777777" w:rsidR="00E05315" w:rsidRDefault="00000000">
      <w:pPr>
        <w:spacing w:before="80" w:after="30"/>
      </w:pPr>
      <w:r>
        <w:rPr>
          <w:rFonts w:ascii="Arial" w:eastAsia="Arial" w:hAnsi="Arial" w:cs="Arial"/>
          <w:b/>
          <w:bCs/>
          <w:caps/>
          <w:color w:val="1B3A6B"/>
          <w:sz w:val="17"/>
          <w:szCs w:val="17"/>
        </w:rPr>
        <w:t>The Idea</w:t>
      </w:r>
    </w:p>
    <w:p w14:paraId="069C2021" w14:textId="77777777" w:rsidR="00E05315" w:rsidRDefault="00E05315">
      <w:pPr>
        <w:pBdr>
          <w:bottom w:val="single" w:sz="6" w:space="1" w:color="C9A227"/>
        </w:pBdr>
        <w:spacing w:before="40" w:after="40"/>
      </w:pPr>
    </w:p>
    <w:p w14:paraId="2E895101" w14:textId="77777777" w:rsidR="00E05315" w:rsidRDefault="00000000">
      <w:pPr>
        <w:spacing w:before="30" w:after="30"/>
        <w:jc w:val="both"/>
      </w:pPr>
      <w:r>
        <w:rPr>
          <w:rFonts w:ascii="Arial" w:eastAsia="Arial" w:hAnsi="Arial" w:cs="Arial"/>
          <w:sz w:val="16"/>
          <w:szCs w:val="16"/>
        </w:rPr>
        <w:t xml:space="preserve">The market is mispricing Visa because it is treating regulatory noise on interchange fees as an existential threat, while missing that Visa is quietly transforming into a commerce infrastructure company. </w:t>
      </w:r>
      <w:r>
        <w:rPr>
          <w:rFonts w:ascii="Arial" w:eastAsia="Arial" w:hAnsi="Arial" w:cs="Arial"/>
          <w:b/>
          <w:bCs/>
          <w:sz w:val="16"/>
          <w:szCs w:val="16"/>
        </w:rPr>
        <w:t>Value-Added Services grew 28% YoY in Q1 FY2026 and Visa Direct processed 12.5 billion transactions in 2025 — eightfold growth since 2019.</w:t>
      </w:r>
      <w:r>
        <w:rPr>
          <w:rFonts w:ascii="Arial" w:eastAsia="Arial" w:hAnsi="Arial" w:cs="Arial"/>
          <w:sz w:val="16"/>
          <w:szCs w:val="16"/>
        </w:rPr>
        <w:t xml:space="preserve"> The toll-road is becoming a platform. At 28.3x TTM earnings — 16% below Visa's own 10-year average P/E of 33.6x and at a discount to peer Mastercard (31.1x) — this mispricing creates a compelling entry point with ~19% upside to a conservative base case target of $358.</w:t>
      </w:r>
    </w:p>
    <w:p w14:paraId="64F563FC" w14:textId="77777777" w:rsidR="00E05315" w:rsidRDefault="00E05315">
      <w:pPr>
        <w:spacing w:before="20"/>
      </w:pPr>
    </w:p>
    <w:p w14:paraId="3509A578" w14:textId="77777777" w:rsidR="00E05315" w:rsidRDefault="00000000">
      <w:pPr>
        <w:spacing w:before="80" w:after="30"/>
      </w:pPr>
      <w:r>
        <w:rPr>
          <w:rFonts w:ascii="Arial" w:eastAsia="Arial" w:hAnsi="Arial" w:cs="Arial"/>
          <w:b/>
          <w:bCs/>
          <w:caps/>
          <w:color w:val="1B3A6B"/>
          <w:sz w:val="17"/>
          <w:szCs w:val="17"/>
        </w:rPr>
        <w:t>Business in Plain English</w:t>
      </w:r>
    </w:p>
    <w:p w14:paraId="4E1DCE26" w14:textId="77777777" w:rsidR="00E05315" w:rsidRDefault="00E05315">
      <w:pPr>
        <w:pBdr>
          <w:bottom w:val="single" w:sz="6" w:space="1" w:color="C9A227"/>
        </w:pBdr>
        <w:spacing w:before="40" w:after="40"/>
      </w:pPr>
    </w:p>
    <w:p w14:paraId="687A74AC" w14:textId="77777777" w:rsidR="00E05315" w:rsidRDefault="00000000">
      <w:pPr>
        <w:spacing w:before="30" w:after="30"/>
        <w:jc w:val="both"/>
      </w:pPr>
      <w:r>
        <w:rPr>
          <w:rFonts w:ascii="Arial" w:eastAsia="Arial" w:hAnsi="Arial" w:cs="Arial"/>
          <w:sz w:val="16"/>
          <w:szCs w:val="16"/>
        </w:rPr>
        <w:t>Visa operates the world's largest digital payments network across 200+ countries — but it does not lend money or carry credit risk. Think of Visa as a toll-road operator: every time a consumer swipes, taps, or clicks to pay, Visa collects a small network service fee from the bank that issued the card. Three revenue engines drive the business: service fees (volume-based), data processing fees (transaction-based), and international transaction fees (cross-border spend). A fourth engine — Value-Added Services (VAS) including tokenization, fraud analytics, and real-time payments — is now growing at twice the rate of the core business, reshaping Visa's long-term revenue mix.</w:t>
      </w:r>
    </w:p>
    <w:p w14:paraId="3CDAE7C4" w14:textId="77777777" w:rsidR="00E05315" w:rsidRDefault="00E05315">
      <w:pPr>
        <w:spacing w:before="20"/>
      </w:pPr>
    </w:p>
    <w:p w14:paraId="34FA18A7" w14:textId="77777777" w:rsidR="00E05315" w:rsidRDefault="00000000">
      <w:pPr>
        <w:spacing w:before="80" w:after="30"/>
      </w:pPr>
      <w:r>
        <w:rPr>
          <w:rFonts w:ascii="Arial" w:eastAsia="Arial" w:hAnsi="Arial" w:cs="Arial"/>
          <w:b/>
          <w:bCs/>
          <w:caps/>
          <w:color w:val="1B3A6B"/>
          <w:sz w:val="17"/>
          <w:szCs w:val="17"/>
        </w:rPr>
        <w:t>Key Metrics Snapshot</w:t>
      </w:r>
    </w:p>
    <w:p w14:paraId="79909F53" w14:textId="77777777" w:rsidR="00E05315" w:rsidRDefault="00E05315">
      <w:pPr>
        <w:pBdr>
          <w:bottom w:val="single" w:sz="6" w:space="1" w:color="C9A227"/>
        </w:pBdr>
        <w:spacing w:before="40" w:after="40"/>
      </w:pPr>
    </w:p>
    <w:p w14:paraId="3C3D1921" w14:textId="77777777" w:rsidR="00E05315" w:rsidRDefault="00E05315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05315" w14:paraId="2166B2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F9E913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6"/>
                <w:szCs w:val="16"/>
              </w:rPr>
              <w:t>Current Price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F2877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$301.62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70174C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6"/>
                <w:szCs w:val="16"/>
              </w:rPr>
              <w:t>P/E (TTM)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3AB60D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28.3x</w:t>
            </w:r>
          </w:p>
        </w:tc>
      </w:tr>
      <w:tr w:rsidR="00E05315" w14:paraId="34B106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D588FA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6"/>
                <w:szCs w:val="16"/>
              </w:rPr>
              <w:t>Target Price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F4E4F1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$358.00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FFD0A2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6"/>
                <w:szCs w:val="16"/>
              </w:rPr>
              <w:t>Hist. Avg P/E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F3C3F3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33.6x</w:t>
            </w:r>
          </w:p>
        </w:tc>
      </w:tr>
      <w:tr w:rsidR="00E05315" w14:paraId="54F901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5C42C0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6"/>
                <w:szCs w:val="16"/>
              </w:rPr>
              <w:t>TTM EPS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797B2C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$10.66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76FC08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6"/>
                <w:szCs w:val="16"/>
              </w:rPr>
              <w:t>MA P/E (peer)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AFAFD3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31.1x</w:t>
            </w:r>
          </w:p>
        </w:tc>
      </w:tr>
      <w:tr w:rsidR="00E05315" w14:paraId="31F2FF4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3C408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6"/>
                <w:szCs w:val="16"/>
              </w:rPr>
              <w:t>FY2025 Revenue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7457AC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$40.0B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44990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6"/>
                <w:szCs w:val="16"/>
              </w:rPr>
              <w:t>Net Margin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6D841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~50%</w:t>
            </w:r>
          </w:p>
        </w:tc>
      </w:tr>
      <w:tr w:rsidR="00E05315" w14:paraId="7949FF9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37C2BF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6"/>
                <w:szCs w:val="16"/>
              </w:rPr>
              <w:t>Rev Growth YoY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E8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36FA92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+15% (Q1 FY26)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77D12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6"/>
                <w:szCs w:val="16"/>
              </w:rPr>
              <w:t>ROE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5E0B3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~54%</w:t>
            </w:r>
          </w:p>
        </w:tc>
      </w:tr>
      <w:tr w:rsidR="00E05315" w14:paraId="19D8F4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DFA936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6"/>
                <w:szCs w:val="16"/>
              </w:rPr>
              <w:t>VAS Growth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B569B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+28% YoY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E657EB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1B3A6B"/>
                <w:sz w:val="16"/>
                <w:szCs w:val="16"/>
              </w:rPr>
              <w:t>Market Share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C7A385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61%</w:t>
            </w:r>
          </w:p>
        </w:tc>
      </w:tr>
    </w:tbl>
    <w:p w14:paraId="3320A5F5" w14:textId="77777777" w:rsidR="00E05315" w:rsidRDefault="00E05315">
      <w:pPr>
        <w:spacing w:before="30"/>
      </w:pPr>
    </w:p>
    <w:p w14:paraId="068B7123" w14:textId="77777777" w:rsidR="00E05315" w:rsidRDefault="00000000">
      <w:pPr>
        <w:spacing w:before="80" w:after="30"/>
      </w:pPr>
      <w:r>
        <w:rPr>
          <w:rFonts w:ascii="Arial" w:eastAsia="Arial" w:hAnsi="Arial" w:cs="Arial"/>
          <w:b/>
          <w:bCs/>
          <w:caps/>
          <w:color w:val="1B3A6B"/>
          <w:sz w:val="17"/>
          <w:szCs w:val="17"/>
        </w:rPr>
        <w:t>3 Reasons to Own</w:t>
      </w:r>
    </w:p>
    <w:p w14:paraId="2E8009FB" w14:textId="77777777" w:rsidR="00E05315" w:rsidRDefault="00E05315">
      <w:pPr>
        <w:pBdr>
          <w:bottom w:val="single" w:sz="6" w:space="1" w:color="C9A227"/>
        </w:pBdr>
        <w:spacing w:before="40" w:after="40"/>
      </w:pPr>
    </w:p>
    <w:p w14:paraId="010BB9DB" w14:textId="77777777" w:rsidR="00E05315" w:rsidRDefault="00E05315">
      <w:pPr>
        <w:spacing w:before="20"/>
      </w:pPr>
    </w:p>
    <w:p w14:paraId="39E5A79A" w14:textId="77777777" w:rsidR="00E05315" w:rsidRDefault="00000000">
      <w:pPr>
        <w:spacing w:before="30" w:after="20"/>
      </w:pPr>
      <w:r>
        <w:rPr>
          <w:rFonts w:ascii="Arial" w:eastAsia="Arial" w:hAnsi="Arial" w:cs="Arial"/>
          <w:b/>
          <w:bCs/>
          <w:color w:val="1B3A6B"/>
          <w:sz w:val="16"/>
          <w:szCs w:val="16"/>
        </w:rPr>
        <w:t>1.  The discount is manufactured by a misunderstood risk</w:t>
      </w:r>
    </w:p>
    <w:p w14:paraId="3A5B9CC2" w14:textId="77777777" w:rsidR="00E05315" w:rsidRDefault="00000000">
      <w:pPr>
        <w:spacing w:after="30"/>
        <w:ind w:left="320"/>
        <w:jc w:val="both"/>
      </w:pPr>
      <w:r>
        <w:rPr>
          <w:rFonts w:ascii="Arial" w:eastAsia="Arial" w:hAnsi="Arial" w:cs="Arial"/>
          <w:sz w:val="16"/>
          <w:szCs w:val="16"/>
        </w:rPr>
        <w:t xml:space="preserve">The bear case rests on interchange fee regulation. But Visa does not set or collect interchange fees — issuing banks do. Visa earns a structurally insulated network service fee. The market is penalizing Visa for a risk it does not directly bear. </w:t>
      </w:r>
      <w:r>
        <w:rPr>
          <w:rFonts w:ascii="Arial" w:eastAsia="Arial" w:hAnsi="Arial" w:cs="Arial"/>
          <w:b/>
          <w:bCs/>
          <w:sz w:val="16"/>
          <w:szCs w:val="16"/>
        </w:rPr>
        <w:t>Supporting data: Current P/E 28.3x vs. 10-year historical average 33.6x — a 16% discount with no fundamental justification.</w:t>
      </w:r>
    </w:p>
    <w:p w14:paraId="67998D4D" w14:textId="77777777" w:rsidR="00E05315" w:rsidRDefault="00000000">
      <w:pPr>
        <w:spacing w:before="30" w:after="20"/>
      </w:pPr>
      <w:r>
        <w:rPr>
          <w:rFonts w:ascii="Arial" w:eastAsia="Arial" w:hAnsi="Arial" w:cs="Arial"/>
          <w:b/>
          <w:bCs/>
          <w:color w:val="1B3A6B"/>
          <w:sz w:val="16"/>
          <w:szCs w:val="16"/>
        </w:rPr>
        <w:t>2.  The real story is a platform transformation the market has not priced</w:t>
      </w:r>
    </w:p>
    <w:p w14:paraId="08CEA01D" w14:textId="77777777" w:rsidR="00E05315" w:rsidRDefault="00000000">
      <w:pPr>
        <w:spacing w:after="30"/>
        <w:ind w:left="320"/>
        <w:jc w:val="both"/>
      </w:pPr>
      <w:r>
        <w:rPr>
          <w:rFonts w:ascii="Arial" w:eastAsia="Arial" w:hAnsi="Arial" w:cs="Arial"/>
          <w:sz w:val="16"/>
          <w:szCs w:val="16"/>
        </w:rPr>
        <w:t xml:space="preserve">Everyone knows Visa as a card network. What the market is slow to price is that Value-Added Services — tokenization, fraud tools, data analytics, cross-border capabilities — now represent nearly one-third of quarterly revenue and are growing at twice the rate of the core business. This is software-like, high-margin revenue layered on top of the network moat — making Visa harder, not easier, to disrupt. </w:t>
      </w:r>
      <w:r>
        <w:rPr>
          <w:rFonts w:ascii="Arial" w:eastAsia="Arial" w:hAnsi="Arial" w:cs="Arial"/>
          <w:b/>
          <w:bCs/>
          <w:sz w:val="16"/>
          <w:szCs w:val="16"/>
        </w:rPr>
        <w:t>Supporting data: VAS revenue $3.8B in Q1 FY2026, +28% YoY vs. overall revenue growth of +15%.</w:t>
      </w:r>
    </w:p>
    <w:p w14:paraId="79E1238A" w14:textId="77777777" w:rsidR="00E05315" w:rsidRDefault="00000000">
      <w:pPr>
        <w:spacing w:before="30" w:after="20"/>
      </w:pPr>
      <w:r>
        <w:rPr>
          <w:rFonts w:ascii="Arial" w:eastAsia="Arial" w:hAnsi="Arial" w:cs="Arial"/>
          <w:b/>
          <w:bCs/>
          <w:color w:val="1B3A6B"/>
          <w:sz w:val="16"/>
          <w:szCs w:val="16"/>
        </w:rPr>
        <w:t>3.  The next growth curve is beginning, not ending</w:t>
      </w:r>
    </w:p>
    <w:p w14:paraId="4D1D6F60" w14:textId="77777777" w:rsidR="00E05315" w:rsidRDefault="00000000">
      <w:pPr>
        <w:spacing w:after="30"/>
        <w:ind w:left="320"/>
        <w:jc w:val="both"/>
      </w:pPr>
      <w:r>
        <w:rPr>
          <w:rFonts w:ascii="Arial" w:eastAsia="Arial" w:hAnsi="Arial" w:cs="Arial"/>
          <w:sz w:val="16"/>
          <w:szCs w:val="16"/>
        </w:rPr>
        <w:t xml:space="preserve">Bears argue fintech and alternative rails are eating Visa's lunch. The data disagrees. Visa Direct processed 12.5 billion transactions in 2025 — eightfold growth since 2019. The GENIUS Act stablecoin framework in 2026 opens a new cross-border payments runway where Visa's rails are already positioned. Visa is not defending a shrinking market — it is expanding into a larger one. </w:t>
      </w:r>
      <w:r>
        <w:rPr>
          <w:rFonts w:ascii="Arial" w:eastAsia="Arial" w:hAnsi="Arial" w:cs="Arial"/>
          <w:b/>
          <w:bCs/>
          <w:sz w:val="16"/>
          <w:szCs w:val="16"/>
        </w:rPr>
        <w:t>Supporting data: Visa holds 61% market share of digital payments; Visa Direct 12.5B transactions, 8x growth since 2019.</w:t>
      </w:r>
    </w:p>
    <w:p w14:paraId="7D4694A8" w14:textId="77777777" w:rsidR="00E05315" w:rsidRDefault="00000000">
      <w:pPr>
        <w:spacing w:before="80" w:after="30"/>
      </w:pPr>
      <w:r>
        <w:rPr>
          <w:rFonts w:ascii="Arial" w:eastAsia="Arial" w:hAnsi="Arial" w:cs="Arial"/>
          <w:b/>
          <w:bCs/>
          <w:caps/>
          <w:color w:val="1B3A6B"/>
          <w:sz w:val="17"/>
          <w:szCs w:val="17"/>
        </w:rPr>
        <w:t>Valuation</w:t>
      </w:r>
    </w:p>
    <w:p w14:paraId="17C1E89F" w14:textId="77777777" w:rsidR="00E05315" w:rsidRDefault="00E05315">
      <w:pPr>
        <w:pBdr>
          <w:bottom w:val="single" w:sz="6" w:space="1" w:color="C9A227"/>
        </w:pBdr>
        <w:spacing w:before="40" w:after="40"/>
      </w:pPr>
    </w:p>
    <w:p w14:paraId="0505CB58" w14:textId="77777777" w:rsidR="00E05315" w:rsidRDefault="00E05315">
      <w:pPr>
        <w:spacing w:before="10"/>
      </w:pPr>
    </w:p>
    <w:p w14:paraId="4A56AF8E" w14:textId="77777777" w:rsidR="00E05315" w:rsidRDefault="00000000">
      <w:pPr>
        <w:spacing w:before="20" w:after="20"/>
        <w:jc w:val="both"/>
      </w:pPr>
      <w:r>
        <w:rPr>
          <w:rFonts w:ascii="Arial" w:eastAsia="Arial" w:hAnsi="Arial" w:cs="Arial"/>
          <w:sz w:val="16"/>
          <w:szCs w:val="16"/>
        </w:rPr>
        <w:t>Base case uses mean-reversion to Visa's own 10-year historical average P/E of 33.6x applied to TTM EPS of $10.66, implying $358 — conservative as it assumes zero earnings growth. Bull case (38x) reflects full VAS platform re-rating. Bear case assumes regulatory compression to 25x.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700"/>
        <w:gridCol w:w="2200"/>
        <w:gridCol w:w="1860"/>
        <w:gridCol w:w="1600"/>
      </w:tblGrid>
      <w:tr w:rsidR="00E05315" w14:paraId="20F82A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99CA73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Scenario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8A53F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EPS (TTM)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E84B4F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Target Multiple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9E056A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Implied Price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42AD1E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Upside</w:t>
            </w:r>
          </w:p>
        </w:tc>
      </w:tr>
      <w:tr w:rsidR="00E05315" w14:paraId="6EDBB4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797E43" w14:textId="77777777" w:rsidR="00E05315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Bear Case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EDC634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$10.66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D98816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25.0x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46B3F9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$266.50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73143A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color w:val="B22222"/>
                <w:sz w:val="16"/>
                <w:szCs w:val="16"/>
              </w:rPr>
              <w:t>-11.6%</w:t>
            </w:r>
          </w:p>
        </w:tc>
      </w:tr>
      <w:tr w:rsidR="00E05315" w14:paraId="14C4BE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6DFF7" w14:textId="77777777" w:rsidR="00E05315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Base Case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EB037D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$10.66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F19686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33.6x (hist. avg)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284A6E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$358.18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BC16D5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7A3C"/>
                <w:sz w:val="16"/>
                <w:szCs w:val="16"/>
              </w:rPr>
              <w:t>+18.7%</w:t>
            </w:r>
          </w:p>
        </w:tc>
      </w:tr>
      <w:tr w:rsidR="00E05315" w14:paraId="5F6E37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BB5F0" w14:textId="77777777" w:rsidR="00E05315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Bull Case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3FA162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$10.66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1F2DB5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38.0x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292B08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$404.08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4A72C" w14:textId="77777777" w:rsidR="00E05315" w:rsidRDefault="00000000">
            <w:pPr>
              <w:jc w:val="center"/>
            </w:pPr>
            <w:r>
              <w:rPr>
                <w:rFonts w:ascii="Arial" w:eastAsia="Arial" w:hAnsi="Arial" w:cs="Arial"/>
                <w:color w:val="1A7A3C"/>
                <w:sz w:val="16"/>
                <w:szCs w:val="16"/>
              </w:rPr>
              <w:t>+34.0%</w:t>
            </w:r>
          </w:p>
        </w:tc>
      </w:tr>
    </w:tbl>
    <w:p w14:paraId="22652D96" w14:textId="77777777" w:rsidR="00E05315" w:rsidRDefault="00E05315">
      <w:pPr>
        <w:spacing w:before="30"/>
      </w:pPr>
    </w:p>
    <w:p w14:paraId="1E9291D6" w14:textId="77777777" w:rsidR="00E05315" w:rsidRDefault="00000000">
      <w:pPr>
        <w:spacing w:before="80" w:after="30"/>
      </w:pPr>
      <w:r>
        <w:rPr>
          <w:rFonts w:ascii="Arial" w:eastAsia="Arial" w:hAnsi="Arial" w:cs="Arial"/>
          <w:b/>
          <w:bCs/>
          <w:caps/>
          <w:color w:val="1B3A6B"/>
          <w:sz w:val="17"/>
          <w:szCs w:val="17"/>
        </w:rPr>
        <w:t>Key Risks &amp; Catalyst</w:t>
      </w:r>
    </w:p>
    <w:p w14:paraId="77F17703" w14:textId="77777777" w:rsidR="00E05315" w:rsidRDefault="00E05315">
      <w:pPr>
        <w:pBdr>
          <w:bottom w:val="single" w:sz="6" w:space="1" w:color="C9A227"/>
        </w:pBdr>
        <w:spacing w:before="40" w:after="40"/>
      </w:pPr>
    </w:p>
    <w:p w14:paraId="056F97BE" w14:textId="77777777" w:rsidR="00E05315" w:rsidRDefault="00E05315">
      <w:pPr>
        <w:spacing w:before="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05315" w14:paraId="1C2F787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D0BD9" w14:textId="77777777" w:rsidR="00E05315" w:rsidRDefault="00000000">
            <w:r>
              <w:rPr>
                <w:rFonts w:ascii="Arial" w:eastAsia="Arial" w:hAnsi="Arial" w:cs="Arial"/>
                <w:b/>
                <w:bCs/>
                <w:caps/>
                <w:color w:val="B22222"/>
                <w:sz w:val="17"/>
                <w:szCs w:val="17"/>
              </w:rPr>
              <w:lastRenderedPageBreak/>
              <w:t>KEY RISKS</w:t>
            </w:r>
          </w:p>
          <w:p w14:paraId="665C43AB" w14:textId="77777777" w:rsidR="00E05315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rFonts w:ascii="Arial" w:eastAsia="Arial" w:hAnsi="Arial" w:cs="Arial"/>
                <w:sz w:val="16"/>
                <w:szCs w:val="16"/>
              </w:rPr>
              <w:t>Credit Card Competition Act (CCCA) — if passed, forces routing competition on Visa's rails, compressing network fees.</w:t>
            </w:r>
          </w:p>
          <w:p w14:paraId="7C9CEE07" w14:textId="77777777" w:rsidR="00E05315" w:rsidRDefault="00000000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eastAsia="Arial" w:hAnsi="Arial" w:cs="Arial"/>
                <w:sz w:val="16"/>
                <w:szCs w:val="16"/>
              </w:rPr>
              <w:t>Account-to-account (A2A) payments and open banking (Section 1033) eroding card-based transactions at the margin.</w:t>
            </w:r>
          </w:p>
          <w:p w14:paraId="2B648CDD" w14:textId="77777777" w:rsidR="00E05315" w:rsidRDefault="00000000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eastAsia="Arial" w:hAnsi="Arial" w:cs="Arial"/>
                <w:sz w:val="16"/>
                <w:szCs w:val="16"/>
              </w:rPr>
              <w:t>Macro slowdown reducing global payment volumes — Visa's revenue is directly tied to consumer and cross-border spending.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CB999" w14:textId="77777777" w:rsidR="00E05315" w:rsidRDefault="00000000">
            <w:r>
              <w:rPr>
                <w:rFonts w:ascii="Arial" w:eastAsia="Arial" w:hAnsi="Arial" w:cs="Arial"/>
                <w:b/>
                <w:bCs/>
                <w:caps/>
                <w:color w:val="1A7A3C"/>
                <w:sz w:val="17"/>
                <w:szCs w:val="17"/>
              </w:rPr>
              <w:t>CATALYST (6–12 MONTHS)</w:t>
            </w:r>
          </w:p>
          <w:p w14:paraId="0AE90F15" w14:textId="77777777" w:rsidR="00E05315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rFonts w:ascii="Arial" w:eastAsia="Arial" w:hAnsi="Arial" w:cs="Arial"/>
                <w:sz w:val="16"/>
                <w:szCs w:val="16"/>
              </w:rPr>
              <w:t>GENIUS Act stablecoin regulatory framework positions Visa to accelerate cross-border payment rails into 2026 — a new revenue stream not in current consensus estimates.</w:t>
            </w:r>
          </w:p>
          <w:p w14:paraId="29F44CB5" w14:textId="77777777" w:rsidR="00E05315" w:rsidRDefault="00000000">
            <w:pPr>
              <w:pStyle w:val="ListParagraph"/>
              <w:numPr>
                <w:ilvl w:val="0"/>
                <w:numId w:val="2"/>
              </w:numPr>
              <w:spacing w:before="40"/>
            </w:pPr>
            <w:r>
              <w:rPr>
                <w:rFonts w:ascii="Arial" w:eastAsia="Arial" w:hAnsi="Arial" w:cs="Arial"/>
                <w:sz w:val="16"/>
                <w:szCs w:val="16"/>
              </w:rPr>
              <w:t>Value-Added Services approaching 50% of total revenue — if hit in FY2026, reframes Visa as a commerce infrastructure platform, justifying a re-rating toward 33–38x.</w:t>
            </w:r>
          </w:p>
        </w:tc>
      </w:tr>
    </w:tbl>
    <w:p w14:paraId="642C8C32" w14:textId="77777777" w:rsidR="00E05315" w:rsidRDefault="00E05315">
      <w:pPr>
        <w:spacing w:before="30"/>
      </w:pPr>
    </w:p>
    <w:p w14:paraId="1C0B51C1" w14:textId="77777777" w:rsidR="00E05315" w:rsidRDefault="00E05315">
      <w:pPr>
        <w:pBdr>
          <w:bottom w:val="single" w:sz="4" w:space="1" w:color="CCCCCC"/>
        </w:pBdr>
        <w:spacing w:before="40" w:after="40"/>
      </w:pPr>
    </w:p>
    <w:p w14:paraId="794C08B1" w14:textId="77777777" w:rsidR="00E05315" w:rsidRDefault="00000000">
      <w:pPr>
        <w:spacing w:before="40"/>
        <w:jc w:val="center"/>
      </w:pPr>
      <w:r>
        <w:rPr>
          <w:rFonts w:ascii="Arial" w:eastAsia="Arial" w:hAnsi="Arial" w:cs="Arial"/>
          <w:i/>
          <w:iCs/>
          <w:color w:val="888888"/>
          <w:sz w:val="13"/>
          <w:szCs w:val="13"/>
        </w:rPr>
        <w:t>This memo is for educational and portfolio demonstration purposes only. Not investment advice. All data sourced from public filings, Yahoo Finance, and MacroTrends as of March 2026.</w:t>
      </w:r>
    </w:p>
    <w:sectPr w:rsidR="00E05315">
      <w:pgSz w:w="12240" w:h="15840"/>
      <w:pgMar w:top="480" w:right="640" w:bottom="480" w:left="6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A071C"/>
    <w:multiLevelType w:val="hybridMultilevel"/>
    <w:tmpl w:val="C4104A86"/>
    <w:lvl w:ilvl="0" w:tplc="8D16154E">
      <w:start w:val="1"/>
      <w:numFmt w:val="bullet"/>
      <w:lvlText w:val="●"/>
      <w:lvlJc w:val="left"/>
      <w:pPr>
        <w:ind w:left="720" w:hanging="360"/>
      </w:pPr>
    </w:lvl>
    <w:lvl w:ilvl="1" w:tplc="A3602976">
      <w:start w:val="1"/>
      <w:numFmt w:val="bullet"/>
      <w:lvlText w:val="○"/>
      <w:lvlJc w:val="left"/>
      <w:pPr>
        <w:ind w:left="1440" w:hanging="360"/>
      </w:pPr>
    </w:lvl>
    <w:lvl w:ilvl="2" w:tplc="E22C5C8A">
      <w:start w:val="1"/>
      <w:numFmt w:val="bullet"/>
      <w:lvlText w:val="■"/>
      <w:lvlJc w:val="left"/>
      <w:pPr>
        <w:ind w:left="2160" w:hanging="360"/>
      </w:pPr>
    </w:lvl>
    <w:lvl w:ilvl="3" w:tplc="756ADA16">
      <w:start w:val="1"/>
      <w:numFmt w:val="bullet"/>
      <w:lvlText w:val="●"/>
      <w:lvlJc w:val="left"/>
      <w:pPr>
        <w:ind w:left="2880" w:hanging="360"/>
      </w:pPr>
    </w:lvl>
    <w:lvl w:ilvl="4" w:tplc="1F8C950A">
      <w:start w:val="1"/>
      <w:numFmt w:val="bullet"/>
      <w:lvlText w:val="○"/>
      <w:lvlJc w:val="left"/>
      <w:pPr>
        <w:ind w:left="3600" w:hanging="360"/>
      </w:pPr>
    </w:lvl>
    <w:lvl w:ilvl="5" w:tplc="4C1066A8">
      <w:start w:val="1"/>
      <w:numFmt w:val="bullet"/>
      <w:lvlText w:val="■"/>
      <w:lvlJc w:val="left"/>
      <w:pPr>
        <w:ind w:left="4320" w:hanging="360"/>
      </w:pPr>
    </w:lvl>
    <w:lvl w:ilvl="6" w:tplc="A5F65498">
      <w:start w:val="1"/>
      <w:numFmt w:val="bullet"/>
      <w:lvlText w:val="●"/>
      <w:lvlJc w:val="left"/>
      <w:pPr>
        <w:ind w:left="5040" w:hanging="360"/>
      </w:pPr>
    </w:lvl>
    <w:lvl w:ilvl="7" w:tplc="A810EB82">
      <w:start w:val="1"/>
      <w:numFmt w:val="bullet"/>
      <w:lvlText w:val="●"/>
      <w:lvlJc w:val="left"/>
      <w:pPr>
        <w:ind w:left="5760" w:hanging="360"/>
      </w:pPr>
    </w:lvl>
    <w:lvl w:ilvl="8" w:tplc="7CFE97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DA57C4"/>
    <w:multiLevelType w:val="hybridMultilevel"/>
    <w:tmpl w:val="9474A13A"/>
    <w:lvl w:ilvl="0" w:tplc="D470666A">
      <w:start w:val="1"/>
      <w:numFmt w:val="bullet"/>
      <w:lvlText w:val="•"/>
      <w:lvlJc w:val="left"/>
      <w:pPr>
        <w:ind w:left="400" w:hanging="280"/>
      </w:pPr>
    </w:lvl>
    <w:lvl w:ilvl="1" w:tplc="823493FC">
      <w:numFmt w:val="decimal"/>
      <w:lvlText w:val=""/>
      <w:lvlJc w:val="left"/>
    </w:lvl>
    <w:lvl w:ilvl="2" w:tplc="BA281628">
      <w:numFmt w:val="decimal"/>
      <w:lvlText w:val=""/>
      <w:lvlJc w:val="left"/>
    </w:lvl>
    <w:lvl w:ilvl="3" w:tplc="7D163A3C">
      <w:numFmt w:val="decimal"/>
      <w:lvlText w:val=""/>
      <w:lvlJc w:val="left"/>
    </w:lvl>
    <w:lvl w:ilvl="4" w:tplc="7D4C3EDC">
      <w:numFmt w:val="decimal"/>
      <w:lvlText w:val=""/>
      <w:lvlJc w:val="left"/>
    </w:lvl>
    <w:lvl w:ilvl="5" w:tplc="E2324BC8">
      <w:numFmt w:val="decimal"/>
      <w:lvlText w:val=""/>
      <w:lvlJc w:val="left"/>
    </w:lvl>
    <w:lvl w:ilvl="6" w:tplc="D018E9B0">
      <w:numFmt w:val="decimal"/>
      <w:lvlText w:val=""/>
      <w:lvlJc w:val="left"/>
    </w:lvl>
    <w:lvl w:ilvl="7" w:tplc="922C482A">
      <w:numFmt w:val="decimal"/>
      <w:lvlText w:val=""/>
      <w:lvlJc w:val="left"/>
    </w:lvl>
    <w:lvl w:ilvl="8" w:tplc="D4C8A660">
      <w:numFmt w:val="decimal"/>
      <w:lvlText w:val=""/>
      <w:lvlJc w:val="left"/>
    </w:lvl>
  </w:abstractNum>
  <w:num w:numId="1" w16cid:durableId="1547837202">
    <w:abstractNumId w:val="0"/>
    <w:lvlOverride w:ilvl="0">
      <w:startOverride w:val="1"/>
    </w:lvlOverride>
  </w:num>
  <w:num w:numId="2" w16cid:durableId="49403434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315"/>
    <w:rsid w:val="00823EA6"/>
    <w:rsid w:val="00E05315"/>
    <w:rsid w:val="00F81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D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3277A8"/>
  <w15:docId w15:val="{3C15FB20-AD11-3B48-B95D-43B3FFE1E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BD" w:eastAsia="en-GB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728</Words>
  <Characters>3998</Characters>
  <Application>Microsoft Office Word</Application>
  <DocSecurity>0</DocSecurity>
  <Lines>121</Lines>
  <Paragraphs>85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Tasriful Kabir</cp:lastModifiedBy>
  <cp:revision>2</cp:revision>
  <dcterms:created xsi:type="dcterms:W3CDTF">2026-03-22T15:47:00Z</dcterms:created>
  <dcterms:modified xsi:type="dcterms:W3CDTF">2026-03-22T15:51:00Z</dcterms:modified>
</cp:coreProperties>
</file>