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61AFA" w14:textId="4D6FA804" w:rsidR="00442C7B" w:rsidRPr="00E3795F" w:rsidRDefault="00000000" w:rsidP="00C533DE">
      <w:pPr>
        <w:spacing w:before="68" w:after="12"/>
        <w:rPr>
          <w:b/>
        </w:rPr>
      </w:pPr>
      <w:r w:rsidRPr="00E3795F">
        <w:rPr>
          <w:b/>
        </w:rPr>
        <w:t>FE-582: Foundations of Financial Data Science</w:t>
      </w:r>
    </w:p>
    <w:p w14:paraId="28B5ABE2" w14:textId="575E5297" w:rsidR="00442C7B" w:rsidRPr="00E3795F" w:rsidRDefault="004A4E4B" w:rsidP="004A4E4B">
      <w:pPr>
        <w:pStyle w:val="BodyText"/>
      </w:pPr>
      <w:r>
        <w:tab/>
      </w:r>
      <w:r>
        <w:tab/>
      </w:r>
      <w:r>
        <w:tab/>
      </w:r>
      <w:r w:rsidR="002E194F" w:rsidRPr="00E3795F">
        <w:rPr>
          <w:noProof/>
        </w:rPr>
        <mc:AlternateContent>
          <mc:Choice Requires="wps">
            <w:drawing>
              <wp:anchor distT="0" distB="0" distL="114300" distR="114300" simplePos="0" relativeHeight="487531008" behindDoc="1" locked="0" layoutInCell="1" allowOverlap="1" wp14:anchorId="70712240" wp14:editId="4C518290">
                <wp:simplePos x="0" y="0"/>
                <wp:positionH relativeFrom="page">
                  <wp:posOffset>850900</wp:posOffset>
                </wp:positionH>
                <wp:positionV relativeFrom="paragraph">
                  <wp:posOffset>26670</wp:posOffset>
                </wp:positionV>
                <wp:extent cx="6003290" cy="187960"/>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329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C8BB" w14:textId="2E7FC781" w:rsidR="00442C7B" w:rsidRDefault="00000000">
                            <w:pPr>
                              <w:spacing w:line="246" w:lineRule="exact"/>
                              <w:rPr>
                                <w:b/>
                              </w:rPr>
                            </w:pPr>
                            <w:r>
                              <w:rPr>
                                <w:b/>
                              </w:rPr>
                              <w:t>Group</w:t>
                            </w:r>
                            <w:r>
                              <w:rPr>
                                <w:b/>
                                <w:spacing w:val="-7"/>
                              </w:rPr>
                              <w:t xml:space="preserve"> </w:t>
                            </w:r>
                            <w:r>
                              <w:rPr>
                                <w:b/>
                              </w:rPr>
                              <w:t>9:</w:t>
                            </w:r>
                            <w:r>
                              <w:rPr>
                                <w:b/>
                                <w:spacing w:val="-6"/>
                              </w:rPr>
                              <w:t xml:space="preserve"> </w:t>
                            </w:r>
                            <w:r w:rsidR="00C533DE">
                              <w:rPr>
                                <w:color w:val="000000"/>
                              </w:rPr>
                              <w:t>Tashveen Kaur, Abhinav Ganguly</w:t>
                            </w:r>
                            <w:r w:rsidR="004A4E4B">
                              <w:rPr>
                                <w:color w:val="000000"/>
                              </w:rPr>
                              <w:t xml:space="preserve">, Clinton </w:t>
                            </w:r>
                            <w:proofErr w:type="spellStart"/>
                            <w:r w:rsidR="004A4E4B" w:rsidRPr="004A4E4B">
                              <w:rPr>
                                <w:color w:val="000000"/>
                              </w:rPr>
                              <w:t>Nwokike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712240" id="_x0000_t202" coordsize="21600,21600" o:spt="202" path="m,l,21600r21600,l21600,xe">
                <v:stroke joinstyle="miter"/>
                <v:path gradientshapeok="t" o:connecttype="rect"/>
              </v:shapetype>
              <v:shape id="Text Box 5" o:spid="_x0000_s1026" type="#_x0000_t202" style="position:absolute;margin-left:67pt;margin-top:2.1pt;width:472.7pt;height:14.8pt;z-index:-1578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" filled="f" stroked="f">
                <v:textbox inset="0,0,0,0">
                  <w:txbxContent>
                    <w:p w14:paraId="405FC8BB" w14:textId="2E7FC781" w:rsidR="00442C7B" w:rsidRDefault="00000000">
                      <w:pPr>
                        <w:spacing w:line="246" w:lineRule="exact"/>
                        <w:rPr>
                          <w:b/>
                        </w:rPr>
                      </w:pPr>
                      <w:r>
                        <w:rPr>
                          <w:b/>
                        </w:rPr>
                        <w:t>Group</w:t>
                      </w:r>
                      <w:r>
                        <w:rPr>
                          <w:b/>
                          <w:spacing w:val="-7"/>
                        </w:rPr>
                        <w:t xml:space="preserve"> </w:t>
                      </w:r>
                      <w:r>
                        <w:rPr>
                          <w:b/>
                        </w:rPr>
                        <w:t>9:</w:t>
                      </w:r>
                      <w:r>
                        <w:rPr>
                          <w:b/>
                          <w:spacing w:val="-6"/>
                        </w:rPr>
                        <w:t xml:space="preserve"> </w:t>
                      </w:r>
                      <w:r w:rsidR="00C533DE">
                        <w:rPr>
                          <w:color w:val="000000"/>
                        </w:rPr>
                        <w:t>Tashveen Kaur, Abhinav Ganguly</w:t>
                      </w:r>
                      <w:r w:rsidR="004A4E4B">
                        <w:rPr>
                          <w:color w:val="000000"/>
                        </w:rPr>
                        <w:t xml:space="preserve">, Clinton </w:t>
                      </w:r>
                      <w:proofErr w:type="spellStart"/>
                      <w:r w:rsidR="004A4E4B" w:rsidRPr="004A4E4B">
                        <w:rPr>
                          <w:color w:val="000000"/>
                        </w:rPr>
                        <w:t>Nwokike</w:t>
                      </w:r>
                      <w:proofErr w:type="spellEnd"/>
                    </w:p>
                  </w:txbxContent>
                </v:textbox>
                <w10:wrap anchorx="page"/>
              </v:shape>
            </w:pict>
          </mc:Fallback>
        </mc:AlternateContent>
      </w:r>
      <w:r w:rsidR="00C533DE" w:rsidRPr="00E3795F">
        <w:t xml:space="preserve">  </w:t>
      </w:r>
    </w:p>
    <w:p w14:paraId="5C8FC661" w14:textId="77777777" w:rsidR="00442C7B" w:rsidRPr="00E3795F" w:rsidRDefault="00442C7B" w:rsidP="00C533DE">
      <w:pPr>
        <w:jc w:val="center"/>
        <w:rPr>
          <w:sz w:val="20"/>
        </w:rPr>
        <w:sectPr w:rsidR="00442C7B" w:rsidRPr="00E3795F">
          <w:type w:val="continuous"/>
          <w:pgSz w:w="12240" w:h="15840"/>
          <w:pgMar w:top="340" w:right="1280" w:bottom="280" w:left="1340" w:header="720" w:footer="720" w:gutter="0"/>
          <w:cols w:space="720"/>
        </w:sectPr>
      </w:pPr>
    </w:p>
    <w:p w14:paraId="12BA69CF" w14:textId="77777777" w:rsidR="00442C7B" w:rsidRPr="00E3795F" w:rsidRDefault="00442C7B" w:rsidP="00C533DE">
      <w:pPr>
        <w:pStyle w:val="BodyText"/>
        <w:jc w:val="center"/>
        <w:rPr>
          <w:b/>
          <w:sz w:val="26"/>
        </w:rPr>
      </w:pPr>
    </w:p>
    <w:p w14:paraId="1479D343" w14:textId="77777777" w:rsidR="00442C7B" w:rsidRPr="00E3795F" w:rsidRDefault="00442C7B" w:rsidP="00C533DE">
      <w:pPr>
        <w:pStyle w:val="BodyText"/>
        <w:spacing w:before="5"/>
        <w:jc w:val="center"/>
        <w:rPr>
          <w:b/>
          <w:sz w:val="35"/>
        </w:rPr>
      </w:pPr>
    </w:p>
    <w:p w14:paraId="20AA797F" w14:textId="77777777" w:rsidR="00442C7B" w:rsidRPr="00E3795F" w:rsidRDefault="00000000" w:rsidP="00C533DE">
      <w:pPr>
        <w:pStyle w:val="Heading1"/>
        <w:jc w:val="center"/>
      </w:pPr>
      <w:r w:rsidRPr="00E3795F">
        <w:rPr>
          <w:color w:val="2C3A45"/>
        </w:rPr>
        <w:t>Project Overview:</w:t>
      </w:r>
    </w:p>
    <w:p w14:paraId="78E52BCB" w14:textId="026240C0" w:rsidR="00442C7B" w:rsidRPr="00E3795F" w:rsidRDefault="00000000" w:rsidP="00C533DE">
      <w:pPr>
        <w:spacing w:before="5" w:line="285" w:lineRule="auto"/>
        <w:ind w:left="355" w:right="147" w:hanging="255"/>
        <w:jc w:val="center"/>
        <w:sectPr w:rsidR="00442C7B" w:rsidRPr="00E3795F">
          <w:type w:val="continuous"/>
          <w:pgSz w:w="12240" w:h="15840"/>
          <w:pgMar w:top="340" w:right="1280" w:bottom="280" w:left="1340" w:header="720" w:footer="720" w:gutter="0"/>
          <w:cols w:num="2" w:space="720" w:equalWidth="0">
            <w:col w:w="2168" w:space="5167"/>
            <w:col w:w="2285"/>
          </w:cols>
        </w:sectPr>
      </w:pPr>
      <w:r w:rsidRPr="00E3795F">
        <w:br w:type="column"/>
      </w:r>
      <w:r w:rsidRPr="00E3795F">
        <w:rPr>
          <w:b/>
        </w:rPr>
        <w:t xml:space="preserve">Project Description </w:t>
      </w:r>
      <w:r w:rsidR="00C533DE" w:rsidRPr="00E3795F">
        <w:rPr>
          <w:color w:val="000000"/>
        </w:rPr>
        <w:t>March 21, 2023</w:t>
      </w:r>
    </w:p>
    <w:p w14:paraId="0ACDF3A6" w14:textId="77777777" w:rsidR="00442C7B" w:rsidRPr="00E3795F" w:rsidRDefault="00000000">
      <w:pPr>
        <w:pStyle w:val="BodyText"/>
        <w:spacing w:before="54" w:line="288" w:lineRule="auto"/>
        <w:ind w:left="100" w:right="240"/>
      </w:pPr>
      <w:r w:rsidRPr="00E3795F">
        <w:rPr>
          <w:color w:val="2C3A45"/>
        </w:rPr>
        <w:t>The objective of the project is to analyze financial market data by applying data collection, data preparation, feature extraction, data cleaning, analytical processing and algorithms. Data clustering, data classification, outlier analysis, and data mining techniques may be implemented. The data can be obtained from the financial markets (stocks, financial statements, etc.) or from text data sources (twitter, news, etc.). You may implement new methods and argue the advantage of them over traditional methods.</w:t>
      </w:r>
    </w:p>
    <w:p w14:paraId="1A08E62C" w14:textId="77777777" w:rsidR="00442C7B" w:rsidRPr="00E3795F" w:rsidRDefault="00442C7B">
      <w:pPr>
        <w:pStyle w:val="BodyText"/>
        <w:rPr>
          <w:sz w:val="28"/>
        </w:rPr>
      </w:pPr>
    </w:p>
    <w:p w14:paraId="6272E8AB" w14:textId="77777777" w:rsidR="00442C7B" w:rsidRPr="00E3795F" w:rsidRDefault="00000000">
      <w:pPr>
        <w:pStyle w:val="Heading1"/>
        <w:jc w:val="both"/>
      </w:pPr>
      <w:r w:rsidRPr="00E3795F">
        <w:rPr>
          <w:color w:val="2C3A45"/>
        </w:rPr>
        <w:t>Problem Statement:</w:t>
      </w:r>
    </w:p>
    <w:p w14:paraId="6D54DB49" w14:textId="29ACADBB" w:rsidR="00442C7B" w:rsidRPr="00E3795F" w:rsidRDefault="00000000">
      <w:pPr>
        <w:pStyle w:val="BodyText"/>
        <w:spacing w:before="54" w:line="288" w:lineRule="auto"/>
        <w:ind w:left="100" w:right="806"/>
        <w:jc w:val="both"/>
      </w:pPr>
      <w:r w:rsidRPr="00E3795F">
        <w:rPr>
          <w:color w:val="2C3A45"/>
        </w:rPr>
        <w:t xml:space="preserve">Can we predict </w:t>
      </w:r>
      <w:r w:rsidR="00C533DE" w:rsidRPr="00E3795F">
        <w:rPr>
          <w:color w:val="000000"/>
        </w:rPr>
        <w:t>bankruptcy using Machine Learning?</w:t>
      </w:r>
    </w:p>
    <w:p w14:paraId="6B6D6053" w14:textId="77777777" w:rsidR="00442C7B" w:rsidRPr="00E3795F" w:rsidRDefault="00442C7B">
      <w:pPr>
        <w:pStyle w:val="BodyText"/>
        <w:spacing w:before="3"/>
        <w:rPr>
          <w:sz w:val="28"/>
        </w:rPr>
      </w:pPr>
    </w:p>
    <w:p w14:paraId="5E154411" w14:textId="77777777" w:rsidR="00442C7B" w:rsidRPr="00E3795F" w:rsidRDefault="00000000">
      <w:pPr>
        <w:pStyle w:val="Heading1"/>
      </w:pPr>
      <w:r w:rsidRPr="00E3795F">
        <w:rPr>
          <w:color w:val="2C3A45"/>
        </w:rPr>
        <w:t>Background:</w:t>
      </w:r>
    </w:p>
    <w:p w14:paraId="4DAFBFEE" w14:textId="77777777" w:rsidR="00C533DE" w:rsidRPr="00E3795F" w:rsidRDefault="00C533DE" w:rsidP="00C533DE">
      <w:pPr>
        <w:widowControl/>
        <w:autoSpaceDE/>
        <w:autoSpaceDN/>
        <w:rPr>
          <w:rFonts w:eastAsia="Times New Roman"/>
          <w:color w:val="000000"/>
          <w:sz w:val="24"/>
          <w:szCs w:val="24"/>
        </w:rPr>
      </w:pPr>
      <w:r w:rsidRPr="00E3795F">
        <w:rPr>
          <w:rFonts w:eastAsia="Times New Roman"/>
          <w:color w:val="000000"/>
          <w:sz w:val="24"/>
          <w:szCs w:val="24"/>
        </w:rPr>
        <w:t xml:space="preserve"> </w:t>
      </w:r>
    </w:p>
    <w:p w14:paraId="70CE82AF" w14:textId="084EE9F4" w:rsidR="00C533DE" w:rsidRPr="00E3795F" w:rsidRDefault="00C533DE" w:rsidP="00C533DE">
      <w:pPr>
        <w:widowControl/>
        <w:autoSpaceDE/>
        <w:autoSpaceDN/>
        <w:rPr>
          <w:rFonts w:eastAsia="Times New Roman"/>
          <w:color w:val="000000"/>
          <w:sz w:val="24"/>
          <w:szCs w:val="24"/>
        </w:rPr>
      </w:pPr>
      <w:r w:rsidRPr="00C533DE">
        <w:rPr>
          <w:rFonts w:eastAsia="Times New Roman"/>
          <w:color w:val="000000"/>
          <w:sz w:val="24"/>
          <w:szCs w:val="24"/>
        </w:rPr>
        <w:t xml:space="preserve">One of the primary objectives </w:t>
      </w:r>
      <w:r w:rsidR="00562E70" w:rsidRPr="00E3795F">
        <w:rPr>
          <w:rFonts w:eastAsia="Times New Roman"/>
          <w:color w:val="000000"/>
          <w:sz w:val="24"/>
          <w:szCs w:val="24"/>
        </w:rPr>
        <w:t>of</w:t>
      </w:r>
      <w:r w:rsidRPr="00C533DE">
        <w:rPr>
          <w:rFonts w:eastAsia="Times New Roman"/>
          <w:color w:val="000000"/>
          <w:sz w:val="24"/>
          <w:szCs w:val="24"/>
        </w:rPr>
        <w:t xml:space="preserve"> credit risk assessment is predicting business insolvency. Particularly since the financial crisis of 2007–2008, it has elevated in importance for </w:t>
      </w:r>
      <w:r w:rsidR="00562E70" w:rsidRPr="00E3795F">
        <w:rPr>
          <w:rFonts w:eastAsia="Times New Roman"/>
          <w:color w:val="000000"/>
          <w:sz w:val="24"/>
          <w:szCs w:val="24"/>
        </w:rPr>
        <w:t>most</w:t>
      </w:r>
      <w:r w:rsidRPr="00C533DE">
        <w:rPr>
          <w:rFonts w:eastAsia="Times New Roman"/>
          <w:color w:val="000000"/>
          <w:sz w:val="24"/>
          <w:szCs w:val="24"/>
        </w:rPr>
        <w:t xml:space="preserve"> financial institutions, professionals, and scholars.</w:t>
      </w:r>
    </w:p>
    <w:p w14:paraId="2D2FD117" w14:textId="1E752172" w:rsidR="00562E70" w:rsidRPr="00E3795F" w:rsidRDefault="00562E70" w:rsidP="00C533DE">
      <w:pPr>
        <w:widowControl/>
        <w:autoSpaceDE/>
        <w:autoSpaceDN/>
        <w:rPr>
          <w:rFonts w:eastAsia="Times New Roman"/>
          <w:color w:val="000000"/>
          <w:sz w:val="24"/>
          <w:szCs w:val="24"/>
        </w:rPr>
      </w:pPr>
    </w:p>
    <w:p w14:paraId="2ECB2BE3" w14:textId="77777777" w:rsidR="00562E70" w:rsidRPr="00E3795F" w:rsidRDefault="00562E70" w:rsidP="00562E70">
      <w:pPr>
        <w:widowControl/>
        <w:autoSpaceDE/>
        <w:autoSpaceDN/>
        <w:rPr>
          <w:rFonts w:eastAsia="Times New Roman"/>
          <w:sz w:val="24"/>
          <w:szCs w:val="24"/>
        </w:rPr>
      </w:pPr>
      <w:r w:rsidRPr="00E3795F">
        <w:rPr>
          <w:rFonts w:eastAsia="Times New Roman"/>
          <w:sz w:val="24"/>
          <w:szCs w:val="24"/>
        </w:rPr>
        <w:t>Bankruptcy or corporate failure can hurt both the individual company and the global economy. Business practitioners, investors, governments, and academic academics have long sought techniques to identify the risk of business failure in order to reduce the economic losses associated with bankruptcies.</w:t>
      </w:r>
    </w:p>
    <w:p w14:paraId="435F5EF5" w14:textId="77777777" w:rsidR="00562E70" w:rsidRPr="00E3795F" w:rsidRDefault="00562E70" w:rsidP="00562E70">
      <w:pPr>
        <w:widowControl/>
        <w:autoSpaceDE/>
        <w:autoSpaceDN/>
        <w:rPr>
          <w:rFonts w:eastAsia="Times New Roman"/>
          <w:sz w:val="24"/>
          <w:szCs w:val="24"/>
        </w:rPr>
      </w:pPr>
    </w:p>
    <w:p w14:paraId="0E90CDD6" w14:textId="3CCABF63" w:rsidR="00562E70" w:rsidRPr="00C533DE" w:rsidRDefault="00562E70" w:rsidP="00562E70">
      <w:pPr>
        <w:widowControl/>
        <w:autoSpaceDE/>
        <w:autoSpaceDN/>
        <w:rPr>
          <w:rFonts w:eastAsia="Times New Roman"/>
          <w:sz w:val="24"/>
          <w:szCs w:val="24"/>
        </w:rPr>
      </w:pPr>
      <w:r w:rsidRPr="00E3795F">
        <w:rPr>
          <w:rFonts w:eastAsia="Times New Roman"/>
          <w:sz w:val="24"/>
          <w:szCs w:val="24"/>
        </w:rPr>
        <w:t>To summarize, forecasting insolvency is an important task for many financial institutions. The purpose is to forecast the likelihood of a corporation going bankrupt. Effective prediction models are required by financial institutions in order to make suitable lending decisions.</w:t>
      </w:r>
    </w:p>
    <w:p w14:paraId="3D785B50" w14:textId="77777777" w:rsidR="00C533DE" w:rsidRPr="00C533DE" w:rsidRDefault="00C533DE" w:rsidP="00C533DE">
      <w:pPr>
        <w:widowControl/>
        <w:autoSpaceDE/>
        <w:autoSpaceDN/>
        <w:rPr>
          <w:rFonts w:eastAsia="Times New Roman"/>
          <w:sz w:val="24"/>
          <w:szCs w:val="24"/>
        </w:rPr>
      </w:pPr>
    </w:p>
    <w:p w14:paraId="4D53E54D" w14:textId="31329B10" w:rsidR="00C533DE" w:rsidRPr="00E3795F" w:rsidRDefault="00C533DE" w:rsidP="00C533DE">
      <w:pPr>
        <w:widowControl/>
        <w:autoSpaceDE/>
        <w:autoSpaceDN/>
        <w:rPr>
          <w:rFonts w:eastAsia="Times New Roman"/>
          <w:color w:val="000000"/>
          <w:sz w:val="24"/>
          <w:szCs w:val="24"/>
        </w:rPr>
      </w:pPr>
      <w:r w:rsidRPr="00E3795F">
        <w:rPr>
          <w:rFonts w:eastAsia="Times New Roman"/>
          <w:color w:val="000000"/>
          <w:sz w:val="24"/>
          <w:szCs w:val="24"/>
        </w:rPr>
        <w:t xml:space="preserve"> Several</w:t>
      </w:r>
      <w:r w:rsidRPr="00C533DE">
        <w:rPr>
          <w:rFonts w:eastAsia="Times New Roman"/>
          <w:color w:val="000000"/>
          <w:sz w:val="24"/>
          <w:szCs w:val="24"/>
        </w:rPr>
        <w:t xml:space="preserve"> models for predicting bankruptcy were able to be developed thanks to recent</w:t>
      </w:r>
      <w:r w:rsidRPr="00E3795F">
        <w:rPr>
          <w:rFonts w:eastAsia="Times New Roman"/>
          <w:color w:val="000000"/>
          <w:sz w:val="24"/>
          <w:szCs w:val="24"/>
        </w:rPr>
        <w:t xml:space="preserve"> </w:t>
      </w:r>
      <w:r w:rsidRPr="00C533DE">
        <w:rPr>
          <w:rFonts w:eastAsia="Times New Roman"/>
          <w:color w:val="000000"/>
          <w:sz w:val="24"/>
          <w:szCs w:val="24"/>
        </w:rPr>
        <w:t xml:space="preserve">developments in machine learning (ML). </w:t>
      </w:r>
    </w:p>
    <w:p w14:paraId="7D7379AB" w14:textId="520F928D" w:rsidR="00C533DE" w:rsidRPr="00E3795F" w:rsidRDefault="00C533DE" w:rsidP="00C533DE">
      <w:pPr>
        <w:widowControl/>
        <w:autoSpaceDE/>
        <w:autoSpaceDN/>
        <w:rPr>
          <w:rFonts w:eastAsia="Times New Roman"/>
          <w:color w:val="000000"/>
          <w:sz w:val="24"/>
          <w:szCs w:val="24"/>
        </w:rPr>
      </w:pPr>
    </w:p>
    <w:p w14:paraId="3A7607C2" w14:textId="708677F0" w:rsidR="00C533DE" w:rsidRPr="00E3795F" w:rsidRDefault="00C533DE" w:rsidP="00C533DE">
      <w:pPr>
        <w:widowControl/>
        <w:autoSpaceDE/>
        <w:autoSpaceDN/>
        <w:rPr>
          <w:rFonts w:eastAsia="Times New Roman"/>
          <w:color w:val="000000"/>
          <w:sz w:val="24"/>
          <w:szCs w:val="24"/>
        </w:rPr>
      </w:pPr>
      <w:r w:rsidRPr="00E3795F">
        <w:rPr>
          <w:rFonts w:eastAsia="Times New Roman"/>
          <w:color w:val="000000"/>
          <w:sz w:val="24"/>
          <w:szCs w:val="24"/>
        </w:rPr>
        <w:t xml:space="preserve">A recent glance </w:t>
      </w:r>
      <w:r w:rsidR="00562E70" w:rsidRPr="00E3795F">
        <w:rPr>
          <w:rFonts w:eastAsia="Times New Roman"/>
          <w:color w:val="000000"/>
          <w:sz w:val="24"/>
          <w:szCs w:val="24"/>
        </w:rPr>
        <w:t>at these bankruptcy activities is the bankruptcy of Silicon Valley Bank recently and Signature Banks. These recent bank failures led us to solve the issue that was in the mind of various investors about the prediction of these banks and companies and to create a model that could accurately predict the failure.</w:t>
      </w:r>
    </w:p>
    <w:p w14:paraId="54AE7119" w14:textId="77777777" w:rsidR="00C533DE" w:rsidRPr="00C533DE" w:rsidRDefault="00C533DE" w:rsidP="00C533DE">
      <w:pPr>
        <w:widowControl/>
        <w:autoSpaceDE/>
        <w:autoSpaceDN/>
        <w:rPr>
          <w:rFonts w:eastAsia="Times New Roman"/>
          <w:sz w:val="24"/>
          <w:szCs w:val="24"/>
        </w:rPr>
      </w:pPr>
    </w:p>
    <w:p w14:paraId="08379D6C" w14:textId="77777777" w:rsidR="00442C7B" w:rsidRPr="00E3795F" w:rsidRDefault="00442C7B">
      <w:pPr>
        <w:pStyle w:val="BodyText"/>
        <w:rPr>
          <w:sz w:val="28"/>
        </w:rPr>
      </w:pPr>
    </w:p>
    <w:p w14:paraId="589EFBBE" w14:textId="77777777" w:rsidR="00442C7B" w:rsidRPr="00E3795F" w:rsidRDefault="00000000">
      <w:pPr>
        <w:pStyle w:val="Heading1"/>
        <w:spacing w:before="1"/>
      </w:pPr>
      <w:r w:rsidRPr="00E3795F">
        <w:rPr>
          <w:color w:val="2C3A45"/>
        </w:rPr>
        <w:t>Our Approach:</w:t>
      </w:r>
    </w:p>
    <w:p w14:paraId="5847815F" w14:textId="02BABBB4" w:rsidR="00442C7B" w:rsidRPr="00E3795F" w:rsidRDefault="00562E70" w:rsidP="009437B6">
      <w:pPr>
        <w:pStyle w:val="NormalWeb"/>
        <w:rPr>
          <w:rFonts w:ascii="Arial" w:hAnsi="Arial" w:cs="Arial"/>
        </w:rPr>
        <w:sectPr w:rsidR="00442C7B" w:rsidRPr="00E3795F">
          <w:type w:val="continuous"/>
          <w:pgSz w:w="12240" w:h="15840"/>
          <w:pgMar w:top="340" w:right="1280" w:bottom="280" w:left="1340" w:header="720" w:footer="720" w:gutter="0"/>
          <w:cols w:space="720"/>
        </w:sectPr>
      </w:pPr>
      <w:r w:rsidRPr="00E3795F">
        <w:rPr>
          <w:rFonts w:ascii="Arial" w:hAnsi="Arial" w:cs="Arial"/>
        </w:rPr>
        <w:t xml:space="preserve">Let's try to predict whether a given company will go </w:t>
      </w:r>
      <w:r w:rsidRPr="00E3795F">
        <w:rPr>
          <w:rStyle w:val="Strong"/>
          <w:rFonts w:ascii="Arial" w:hAnsi="Arial" w:cs="Arial"/>
        </w:rPr>
        <w:t>bankrupt</w:t>
      </w:r>
      <w:r w:rsidRPr="00E3795F">
        <w:rPr>
          <w:rFonts w:ascii="Arial" w:hAnsi="Arial" w:cs="Arial"/>
        </w:rPr>
        <w:t xml:space="preserve"> or not. We will use a variety of classification models to make our predictions. The data set we have chosen uses various ratios like (ROA, Gross Margin, Operating Profit, </w:t>
      </w:r>
      <w:proofErr w:type="gramStart"/>
      <w:r w:rsidRPr="00E3795F">
        <w:rPr>
          <w:rFonts w:ascii="Arial" w:hAnsi="Arial" w:cs="Arial"/>
        </w:rPr>
        <w:t>etc.)and</w:t>
      </w:r>
      <w:proofErr w:type="gramEnd"/>
      <w:r w:rsidRPr="00E3795F">
        <w:rPr>
          <w:rFonts w:ascii="Arial" w:hAnsi="Arial" w:cs="Arial"/>
        </w:rPr>
        <w:t xml:space="preserve"> other quantitative metrics like ( Net Income or Equity to Liability ) that are used as variables</w:t>
      </w:r>
      <w:r w:rsidR="009437B6" w:rsidRPr="00E3795F">
        <w:rPr>
          <w:rFonts w:ascii="Arial" w:hAnsi="Arial" w:cs="Arial"/>
        </w:rPr>
        <w:t>. We will utilize different models to test our approach.</w:t>
      </w:r>
    </w:p>
    <w:p w14:paraId="2F52E580" w14:textId="77777777" w:rsidR="00442C7B" w:rsidRPr="00E3795F" w:rsidRDefault="00442C7B">
      <w:pPr>
        <w:pStyle w:val="BodyText"/>
        <w:spacing w:before="5"/>
        <w:rPr>
          <w:sz w:val="33"/>
        </w:rPr>
      </w:pPr>
    </w:p>
    <w:p w14:paraId="1A3B28A2" w14:textId="77777777" w:rsidR="00442C7B" w:rsidRPr="00E3795F" w:rsidRDefault="00000000">
      <w:pPr>
        <w:pStyle w:val="Heading1"/>
      </w:pPr>
      <w:r w:rsidRPr="00E3795F">
        <w:rPr>
          <w:color w:val="2C3A45"/>
        </w:rPr>
        <w:t>Data:</w:t>
      </w:r>
    </w:p>
    <w:p w14:paraId="632A9874" w14:textId="29B8C9ED" w:rsidR="009437B6" w:rsidRPr="00E3795F" w:rsidRDefault="009437B6" w:rsidP="009437B6">
      <w:pPr>
        <w:pStyle w:val="BodyText"/>
        <w:spacing w:before="54" w:line="288" w:lineRule="auto"/>
        <w:ind w:left="100" w:right="175"/>
      </w:pPr>
      <w:r w:rsidRPr="00E3795F">
        <w:rPr>
          <w:shd w:val="clear" w:color="auto" w:fill="F7F7F8"/>
        </w:rPr>
        <w:t xml:space="preserve">The data was collected from the Taiwan Economic Journal from 1999 to 2009. Bankrupt companies were identified based on the business regulations of the Taiwan Stock Exchange. </w:t>
      </w:r>
    </w:p>
    <w:p w14:paraId="29E3C6FC" w14:textId="4E8728CF" w:rsidR="009437B6" w:rsidRPr="00E3795F" w:rsidRDefault="009437B6" w:rsidP="009437B6">
      <w:pPr>
        <w:pStyle w:val="BodyText"/>
        <w:spacing w:before="54" w:line="288" w:lineRule="auto"/>
        <w:ind w:left="100" w:right="175"/>
        <w:rPr>
          <w:color w:val="2C3A45"/>
        </w:rPr>
      </w:pPr>
      <w:r w:rsidRPr="00E3795F">
        <w:rPr>
          <w:color w:val="2C3A45"/>
        </w:rPr>
        <w:t xml:space="preserve">Source - </w:t>
      </w:r>
      <w:r w:rsidRPr="00E3795F">
        <w:t xml:space="preserve">Deron Liang and </w:t>
      </w:r>
      <w:proofErr w:type="spellStart"/>
      <w:r w:rsidRPr="00E3795F">
        <w:t>Chih</w:t>
      </w:r>
      <w:proofErr w:type="spellEnd"/>
      <w:r w:rsidRPr="00E3795F">
        <w:t xml:space="preserve">-Fong Tsai, </w:t>
      </w:r>
      <w:proofErr w:type="spellStart"/>
      <w:r w:rsidRPr="00E3795F">
        <w:t>deronliang</w:t>
      </w:r>
      <w:proofErr w:type="spellEnd"/>
      <w:r w:rsidRPr="00E3795F">
        <w:t xml:space="preserve"> '@' gmail.com; </w:t>
      </w:r>
      <w:proofErr w:type="spellStart"/>
      <w:r w:rsidRPr="00E3795F">
        <w:t>cftsai</w:t>
      </w:r>
      <w:proofErr w:type="spellEnd"/>
      <w:r w:rsidRPr="00E3795F">
        <w:t xml:space="preserve"> '@' mgt.ncu.edu.tw, National Central University, Taiwan</w:t>
      </w:r>
      <w:r w:rsidRPr="00E3795F">
        <w:br/>
        <w:t xml:space="preserve">The data was obtained from UCI Machine Learning Repository: </w:t>
      </w:r>
      <w:hyperlink r:id="rId5" w:tgtFrame="_blank" w:history="1">
        <w:r w:rsidRPr="00E3795F">
          <w:rPr>
            <w:rStyle w:val="Hyperlink"/>
          </w:rPr>
          <w:t>https://archive.ics.uci.edu/ml/datasets/Taiwanese+Bankruptcy+Prediction</w:t>
        </w:r>
      </w:hyperlink>
    </w:p>
    <w:p w14:paraId="7968C114" w14:textId="1354BA05" w:rsidR="009437B6" w:rsidRPr="009437B6" w:rsidRDefault="009437B6" w:rsidP="009437B6">
      <w:pPr>
        <w:widowControl/>
        <w:autoSpaceDE/>
        <w:autoSpaceDN/>
        <w:spacing w:before="100" w:beforeAutospacing="1" w:after="100" w:afterAutospacing="1"/>
        <w:rPr>
          <w:rFonts w:eastAsia="Times New Roman"/>
          <w:sz w:val="24"/>
          <w:szCs w:val="24"/>
        </w:rPr>
      </w:pPr>
      <w:r w:rsidRPr="009437B6">
        <w:rPr>
          <w:rFonts w:eastAsia="Times New Roman"/>
          <w:b/>
          <w:bCs/>
          <w:sz w:val="24"/>
          <w:szCs w:val="24"/>
        </w:rPr>
        <w:t>Data Volume</w:t>
      </w:r>
      <w:r w:rsidRPr="009437B6">
        <w:rPr>
          <w:rFonts w:eastAsia="Times New Roman"/>
          <w:sz w:val="24"/>
          <w:szCs w:val="24"/>
        </w:rPr>
        <w:t>:</w:t>
      </w:r>
    </w:p>
    <w:p w14:paraId="42C4108E" w14:textId="77777777" w:rsidR="009437B6" w:rsidRPr="009437B6" w:rsidRDefault="009437B6" w:rsidP="009437B6">
      <w:pPr>
        <w:widowControl/>
        <w:numPr>
          <w:ilvl w:val="0"/>
          <w:numId w:val="4"/>
        </w:numPr>
        <w:autoSpaceDE/>
        <w:autoSpaceDN/>
        <w:spacing w:before="100" w:beforeAutospacing="1" w:after="100" w:afterAutospacing="1"/>
        <w:rPr>
          <w:rFonts w:eastAsia="Times New Roman"/>
          <w:sz w:val="24"/>
          <w:szCs w:val="24"/>
        </w:rPr>
      </w:pPr>
      <w:r w:rsidRPr="009437B6">
        <w:rPr>
          <w:rFonts w:eastAsia="Times New Roman"/>
          <w:sz w:val="24"/>
          <w:szCs w:val="24"/>
        </w:rPr>
        <w:t xml:space="preserve">Time Period: 1999–2009 </w:t>
      </w:r>
    </w:p>
    <w:p w14:paraId="76BBEDD3" w14:textId="77777777" w:rsidR="009437B6" w:rsidRPr="009437B6" w:rsidRDefault="009437B6" w:rsidP="009437B6">
      <w:pPr>
        <w:widowControl/>
        <w:autoSpaceDE/>
        <w:autoSpaceDN/>
        <w:spacing w:before="100" w:beforeAutospacing="1" w:after="100" w:afterAutospacing="1"/>
        <w:rPr>
          <w:rFonts w:eastAsia="Times New Roman"/>
          <w:sz w:val="24"/>
          <w:szCs w:val="24"/>
        </w:rPr>
      </w:pPr>
      <w:r w:rsidRPr="009437B6">
        <w:rPr>
          <w:rFonts w:eastAsia="Times New Roman"/>
          <w:b/>
          <w:bCs/>
          <w:sz w:val="24"/>
          <w:szCs w:val="24"/>
        </w:rPr>
        <w:t>2. Data Variety</w:t>
      </w:r>
      <w:r w:rsidRPr="009437B6">
        <w:rPr>
          <w:rFonts w:eastAsia="Times New Roman"/>
          <w:sz w:val="24"/>
          <w:szCs w:val="24"/>
        </w:rPr>
        <w:t xml:space="preserve">: </w:t>
      </w:r>
    </w:p>
    <w:p w14:paraId="229FBA7B" w14:textId="02756DF2" w:rsidR="009437B6" w:rsidRPr="009437B6" w:rsidRDefault="009437B6" w:rsidP="009437B6">
      <w:pPr>
        <w:widowControl/>
        <w:numPr>
          <w:ilvl w:val="0"/>
          <w:numId w:val="5"/>
        </w:numPr>
        <w:autoSpaceDE/>
        <w:autoSpaceDN/>
        <w:spacing w:before="100" w:beforeAutospacing="1" w:after="100" w:afterAutospacing="1"/>
        <w:rPr>
          <w:rFonts w:eastAsia="Times New Roman"/>
          <w:sz w:val="24"/>
          <w:szCs w:val="24"/>
        </w:rPr>
      </w:pPr>
      <w:r w:rsidRPr="009437B6">
        <w:rPr>
          <w:rFonts w:eastAsia="Times New Roman"/>
          <w:sz w:val="24"/>
          <w:szCs w:val="24"/>
        </w:rPr>
        <w:t xml:space="preserve">Across </w:t>
      </w:r>
      <w:r w:rsidR="00E3795F" w:rsidRPr="00E3795F">
        <w:rPr>
          <w:rFonts w:eastAsia="Times New Roman"/>
          <w:sz w:val="24"/>
          <w:szCs w:val="24"/>
        </w:rPr>
        <w:t>different</w:t>
      </w:r>
      <w:r w:rsidRPr="009437B6">
        <w:rPr>
          <w:rFonts w:eastAsia="Times New Roman"/>
          <w:sz w:val="24"/>
          <w:szCs w:val="24"/>
        </w:rPr>
        <w:t xml:space="preserve"> industries (electronic manufacturing, retail, shipping, tourism...)</w:t>
      </w:r>
    </w:p>
    <w:p w14:paraId="64C1B9DA" w14:textId="77777777" w:rsidR="009437B6" w:rsidRPr="009437B6" w:rsidRDefault="009437B6" w:rsidP="009437B6">
      <w:pPr>
        <w:widowControl/>
        <w:numPr>
          <w:ilvl w:val="0"/>
          <w:numId w:val="5"/>
        </w:numPr>
        <w:autoSpaceDE/>
        <w:autoSpaceDN/>
        <w:spacing w:before="100" w:beforeAutospacing="1" w:after="100" w:afterAutospacing="1"/>
        <w:rPr>
          <w:rFonts w:eastAsia="Times New Roman"/>
          <w:sz w:val="24"/>
          <w:szCs w:val="24"/>
        </w:rPr>
      </w:pPr>
      <w:r w:rsidRPr="009437B6">
        <w:rPr>
          <w:rFonts w:eastAsia="Times New Roman"/>
          <w:sz w:val="24"/>
          <w:szCs w:val="24"/>
        </w:rPr>
        <w:t xml:space="preserve">Each industry has sufficient </w:t>
      </w:r>
      <w:proofErr w:type="gramStart"/>
      <w:r w:rsidRPr="009437B6">
        <w:rPr>
          <w:rFonts w:eastAsia="Times New Roman"/>
          <w:sz w:val="24"/>
          <w:szCs w:val="24"/>
        </w:rPr>
        <w:t>amount</w:t>
      </w:r>
      <w:proofErr w:type="gramEnd"/>
      <w:r w:rsidRPr="009437B6">
        <w:rPr>
          <w:rFonts w:eastAsia="Times New Roman"/>
          <w:sz w:val="24"/>
          <w:szCs w:val="24"/>
        </w:rPr>
        <w:t xml:space="preserve"> of companies in the similar size in order to do the comparison</w:t>
      </w:r>
    </w:p>
    <w:p w14:paraId="7703D0BC" w14:textId="77777777" w:rsidR="009437B6" w:rsidRPr="009437B6" w:rsidRDefault="009437B6" w:rsidP="009437B6">
      <w:pPr>
        <w:widowControl/>
        <w:numPr>
          <w:ilvl w:val="0"/>
          <w:numId w:val="5"/>
        </w:numPr>
        <w:autoSpaceDE/>
        <w:autoSpaceDN/>
        <w:spacing w:before="100" w:beforeAutospacing="1" w:after="100" w:afterAutospacing="1"/>
        <w:rPr>
          <w:rFonts w:eastAsia="Times New Roman"/>
          <w:sz w:val="24"/>
          <w:szCs w:val="24"/>
        </w:rPr>
      </w:pPr>
      <w:r w:rsidRPr="009437B6">
        <w:rPr>
          <w:rFonts w:eastAsia="Times New Roman"/>
          <w:sz w:val="24"/>
          <w:szCs w:val="24"/>
        </w:rPr>
        <w:t>95 features (X1-X95, business regulations of Taiwan Stock Exchange)</w:t>
      </w:r>
    </w:p>
    <w:p w14:paraId="23097FD0" w14:textId="77777777" w:rsidR="00442C7B" w:rsidRPr="00E3795F" w:rsidRDefault="009437B6" w:rsidP="00E3795F">
      <w:pPr>
        <w:widowControl/>
        <w:numPr>
          <w:ilvl w:val="0"/>
          <w:numId w:val="5"/>
        </w:numPr>
        <w:autoSpaceDE/>
        <w:autoSpaceDN/>
        <w:spacing w:before="100" w:beforeAutospacing="1" w:after="100" w:afterAutospacing="1"/>
        <w:rPr>
          <w:rFonts w:eastAsia="Times New Roman"/>
          <w:sz w:val="24"/>
          <w:szCs w:val="24"/>
        </w:rPr>
      </w:pPr>
      <w:r w:rsidRPr="009437B6">
        <w:rPr>
          <w:rFonts w:eastAsia="Times New Roman"/>
          <w:sz w:val="24"/>
          <w:szCs w:val="24"/>
        </w:rPr>
        <w:t xml:space="preserve">1 </w:t>
      </w:r>
      <w:r w:rsidR="00E3795F" w:rsidRPr="00E3795F">
        <w:rPr>
          <w:rFonts w:eastAsia="Times New Roman"/>
          <w:sz w:val="24"/>
          <w:szCs w:val="24"/>
        </w:rPr>
        <w:t>label</w:t>
      </w:r>
      <w:r w:rsidRPr="009437B6">
        <w:rPr>
          <w:rFonts w:eastAsia="Times New Roman"/>
          <w:sz w:val="24"/>
          <w:szCs w:val="24"/>
        </w:rPr>
        <w:t xml:space="preserve"> (bankrupt or not)</w:t>
      </w:r>
    </w:p>
    <w:p w14:paraId="4618EB3B" w14:textId="1BBFDF16" w:rsidR="00E3795F" w:rsidRPr="00E3795F" w:rsidRDefault="00E3795F" w:rsidP="00E3795F">
      <w:pPr>
        <w:widowControl/>
        <w:autoSpaceDE/>
        <w:autoSpaceDN/>
        <w:spacing w:before="100" w:beforeAutospacing="1" w:after="100" w:afterAutospacing="1"/>
        <w:rPr>
          <w:rFonts w:eastAsia="Times New Roman"/>
          <w:b/>
          <w:bCs/>
          <w:sz w:val="24"/>
          <w:szCs w:val="24"/>
        </w:rPr>
      </w:pPr>
      <w:r w:rsidRPr="00E3795F">
        <w:rPr>
          <w:rFonts w:eastAsia="Times New Roman"/>
          <w:b/>
          <w:bCs/>
          <w:sz w:val="24"/>
          <w:szCs w:val="24"/>
        </w:rPr>
        <w:t>Description of Variables</w:t>
      </w:r>
    </w:p>
    <w:p w14:paraId="4C164962" w14:textId="77777777" w:rsidR="00E3795F" w:rsidRPr="00E3795F" w:rsidRDefault="00E3795F" w:rsidP="00E3795F">
      <w:pPr>
        <w:pStyle w:val="NormalWeb"/>
        <w:rPr>
          <w:rFonts w:ascii="Arial" w:hAnsi="Arial" w:cs="Arial"/>
        </w:rPr>
      </w:pPr>
      <w:r w:rsidRPr="00E3795F">
        <w:rPr>
          <w:rFonts w:ascii="Arial" w:hAnsi="Arial" w:cs="Arial"/>
        </w:rPr>
        <w:t>Updated column names and description to make the data easier to understand (Y = Output feature, X = Input features)</w:t>
      </w:r>
    </w:p>
    <w:p w14:paraId="0E0A1C4E" w14:textId="77777777" w:rsidR="00E3795F" w:rsidRPr="00E3795F" w:rsidRDefault="00E3795F" w:rsidP="00E3795F">
      <w:pPr>
        <w:pStyle w:val="NormalWeb"/>
        <w:rPr>
          <w:rFonts w:ascii="Arial" w:hAnsi="Arial" w:cs="Arial"/>
        </w:rPr>
      </w:pPr>
      <w:r w:rsidRPr="00E3795F">
        <w:rPr>
          <w:rFonts w:ascii="Arial" w:hAnsi="Arial" w:cs="Arial"/>
        </w:rPr>
        <w:t>Y - Bankrupt?: Class label</w:t>
      </w:r>
      <w:r w:rsidRPr="00E3795F">
        <w:rPr>
          <w:rFonts w:ascii="Arial" w:hAnsi="Arial" w:cs="Arial"/>
        </w:rPr>
        <w:br/>
        <w:t>X1 - ROA(C) before interest and depreciation before interest: Return On Total Assets(C)</w:t>
      </w:r>
      <w:r w:rsidRPr="00E3795F">
        <w:rPr>
          <w:rFonts w:ascii="Arial" w:hAnsi="Arial" w:cs="Arial"/>
        </w:rPr>
        <w:br/>
        <w:t>X2 - ROA(A) before interest and % after tax: Return On Total Assets(A)</w:t>
      </w:r>
      <w:r w:rsidRPr="00E3795F">
        <w:rPr>
          <w:rFonts w:ascii="Arial" w:hAnsi="Arial" w:cs="Arial"/>
        </w:rPr>
        <w:br/>
        <w:t>X3 - ROA(B) before interest and depreciation after tax: Return On Total Assets(B)</w:t>
      </w:r>
      <w:r w:rsidRPr="00E3795F">
        <w:rPr>
          <w:rFonts w:ascii="Arial" w:hAnsi="Arial" w:cs="Arial"/>
        </w:rPr>
        <w:br/>
        <w:t>X4 - Operating Gross Margin: Gross Profit/Net Sales</w:t>
      </w:r>
      <w:r w:rsidRPr="00E3795F">
        <w:rPr>
          <w:rFonts w:ascii="Arial" w:hAnsi="Arial" w:cs="Arial"/>
        </w:rPr>
        <w:br/>
        <w:t>X5 - Realized Sales Gross Margin: Realized Gross Profit/Net Sales</w:t>
      </w:r>
      <w:r w:rsidRPr="00E3795F">
        <w:rPr>
          <w:rFonts w:ascii="Arial" w:hAnsi="Arial" w:cs="Arial"/>
        </w:rPr>
        <w:br/>
        <w:t>X6 - Operating Profit Rate: Operating Income/Net Sales</w:t>
      </w:r>
      <w:r w:rsidRPr="00E3795F">
        <w:rPr>
          <w:rFonts w:ascii="Arial" w:hAnsi="Arial" w:cs="Arial"/>
        </w:rPr>
        <w:br/>
        <w:t>X7 - Pre-tax net Interest Rate: Pre-Tax Income/Net Sales</w:t>
      </w:r>
      <w:r w:rsidRPr="00E3795F">
        <w:rPr>
          <w:rFonts w:ascii="Arial" w:hAnsi="Arial" w:cs="Arial"/>
        </w:rPr>
        <w:br/>
        <w:t>X8 - After-tax net Interest Rate: Net Income/Net Sales</w:t>
      </w:r>
      <w:r w:rsidRPr="00E3795F">
        <w:rPr>
          <w:rFonts w:ascii="Arial" w:hAnsi="Arial" w:cs="Arial"/>
        </w:rPr>
        <w:br/>
        <w:t>X9 - Non-industry income and expenditure/revenue: Net Non-operating Income Ratio</w:t>
      </w:r>
      <w:r w:rsidRPr="00E3795F">
        <w:rPr>
          <w:rFonts w:ascii="Arial" w:hAnsi="Arial" w:cs="Arial"/>
        </w:rPr>
        <w:br/>
        <w:t>X10 - Continuous interest rate (after tax): Net Income-Exclude Disposal Gain or Loss/Net Sales</w:t>
      </w:r>
      <w:r w:rsidRPr="00E3795F">
        <w:rPr>
          <w:rFonts w:ascii="Arial" w:hAnsi="Arial" w:cs="Arial"/>
        </w:rPr>
        <w:br/>
        <w:t>X11 - Operating Expense Rate: Operating Expenses/Net Sales</w:t>
      </w:r>
      <w:r w:rsidRPr="00E3795F">
        <w:rPr>
          <w:rFonts w:ascii="Arial" w:hAnsi="Arial" w:cs="Arial"/>
        </w:rPr>
        <w:br/>
        <w:t>X12 - Research and development expense rate: (Research and Development Expenses)/Net Sales</w:t>
      </w:r>
      <w:r w:rsidRPr="00E3795F">
        <w:rPr>
          <w:rFonts w:ascii="Arial" w:hAnsi="Arial" w:cs="Arial"/>
        </w:rPr>
        <w:br/>
        <w:t>X13 - Cash flow rate: Cash Flow from Operating/Current Liabilities</w:t>
      </w:r>
      <w:r w:rsidRPr="00E3795F">
        <w:rPr>
          <w:rFonts w:ascii="Arial" w:hAnsi="Arial" w:cs="Arial"/>
        </w:rPr>
        <w:br/>
        <w:t>X14 - Interest-bearing debt interest rate: Interest-bearing Debt/Equity</w:t>
      </w:r>
      <w:r w:rsidRPr="00E3795F">
        <w:rPr>
          <w:rFonts w:ascii="Arial" w:hAnsi="Arial" w:cs="Arial"/>
        </w:rPr>
        <w:br/>
        <w:t>X15 - Tax rate (A): Effective Tax Rate</w:t>
      </w:r>
      <w:r w:rsidRPr="00E3795F">
        <w:rPr>
          <w:rFonts w:ascii="Arial" w:hAnsi="Arial" w:cs="Arial"/>
        </w:rPr>
        <w:br/>
        <w:t>X16 - Net Value Per Share (B): Book Value Per Share(B)</w:t>
      </w:r>
      <w:r w:rsidRPr="00E3795F">
        <w:rPr>
          <w:rFonts w:ascii="Arial" w:hAnsi="Arial" w:cs="Arial"/>
        </w:rPr>
        <w:br/>
        <w:t>X17 - Net Value Per Share (A): Book Value Per Share(A)</w:t>
      </w:r>
      <w:r w:rsidRPr="00E3795F">
        <w:rPr>
          <w:rFonts w:ascii="Arial" w:hAnsi="Arial" w:cs="Arial"/>
        </w:rPr>
        <w:br/>
        <w:t>X18 - Net Value Per Share (C): Book Value Per Share(C)</w:t>
      </w:r>
      <w:r w:rsidRPr="00E3795F">
        <w:rPr>
          <w:rFonts w:ascii="Arial" w:hAnsi="Arial" w:cs="Arial"/>
        </w:rPr>
        <w:br/>
        <w:t>X19 - Persistent EPS in the Last Four Seasons: EPS-Net Income</w:t>
      </w:r>
      <w:r w:rsidRPr="00E3795F">
        <w:rPr>
          <w:rFonts w:ascii="Arial" w:hAnsi="Arial" w:cs="Arial"/>
        </w:rPr>
        <w:br/>
      </w:r>
      <w:r w:rsidRPr="00E3795F">
        <w:rPr>
          <w:rFonts w:ascii="Arial" w:hAnsi="Arial" w:cs="Arial"/>
        </w:rPr>
        <w:lastRenderedPageBreak/>
        <w:t>X20 - Cash Flow Per Share</w:t>
      </w:r>
      <w:r w:rsidRPr="00E3795F">
        <w:rPr>
          <w:rFonts w:ascii="Arial" w:hAnsi="Arial" w:cs="Arial"/>
        </w:rPr>
        <w:br/>
        <w:t>X21 - Revenue Per Share (Yuan ¥): Sales Per Share</w:t>
      </w:r>
      <w:r w:rsidRPr="00E3795F">
        <w:rPr>
          <w:rFonts w:ascii="Arial" w:hAnsi="Arial" w:cs="Arial"/>
        </w:rPr>
        <w:br/>
        <w:t>X22 - Operating Profit Per Share (Yuan ¥): Operating Income Per Share</w:t>
      </w:r>
      <w:r w:rsidRPr="00E3795F">
        <w:rPr>
          <w:rFonts w:ascii="Arial" w:hAnsi="Arial" w:cs="Arial"/>
        </w:rPr>
        <w:br/>
        <w:t>X23 - Per Share Net profit before tax (Yuan ¥): Pretax Income Per Share</w:t>
      </w:r>
      <w:r w:rsidRPr="00E3795F">
        <w:rPr>
          <w:rFonts w:ascii="Arial" w:hAnsi="Arial" w:cs="Arial"/>
        </w:rPr>
        <w:br/>
        <w:t>X24 - Realized Sales Gross Profit Growth Rate</w:t>
      </w:r>
      <w:r w:rsidRPr="00E3795F">
        <w:rPr>
          <w:rFonts w:ascii="Arial" w:hAnsi="Arial" w:cs="Arial"/>
        </w:rPr>
        <w:br/>
        <w:t>X25 - Operating Profit Growth Rate: Operating Income Growth</w:t>
      </w:r>
      <w:r w:rsidRPr="00E3795F">
        <w:rPr>
          <w:rFonts w:ascii="Arial" w:hAnsi="Arial" w:cs="Arial"/>
        </w:rPr>
        <w:br/>
        <w:t>X26 - After-tax Net Profit Growth Rate: Net Income Growth</w:t>
      </w:r>
      <w:r w:rsidRPr="00E3795F">
        <w:rPr>
          <w:rFonts w:ascii="Arial" w:hAnsi="Arial" w:cs="Arial"/>
        </w:rPr>
        <w:br/>
        <w:t>X27 - Regular Net Profit Growth Rate: Continuing Operating Income after Tax Growth</w:t>
      </w:r>
      <w:r w:rsidRPr="00E3795F">
        <w:rPr>
          <w:rFonts w:ascii="Arial" w:hAnsi="Arial" w:cs="Arial"/>
        </w:rPr>
        <w:br/>
        <w:t>X28 - Continuous Net Profit Growth Rate: Net Income-Excluding Disposal Gain or Loss Growth</w:t>
      </w:r>
      <w:r w:rsidRPr="00E3795F">
        <w:rPr>
          <w:rFonts w:ascii="Arial" w:hAnsi="Arial" w:cs="Arial"/>
        </w:rPr>
        <w:br/>
        <w:t>X29 - Total Asset Growth Rate: Total Asset Growth</w:t>
      </w:r>
      <w:r w:rsidRPr="00E3795F">
        <w:rPr>
          <w:rFonts w:ascii="Arial" w:hAnsi="Arial" w:cs="Arial"/>
        </w:rPr>
        <w:br/>
        <w:t>X30 - Net Value Growth Rate: Total Equity Growth</w:t>
      </w:r>
      <w:r w:rsidRPr="00E3795F">
        <w:rPr>
          <w:rFonts w:ascii="Arial" w:hAnsi="Arial" w:cs="Arial"/>
        </w:rPr>
        <w:br/>
        <w:t>X31 - Total Asset Return Growth Rate Ratio: Return on Total Asset Growth</w:t>
      </w:r>
      <w:r w:rsidRPr="00E3795F">
        <w:rPr>
          <w:rFonts w:ascii="Arial" w:hAnsi="Arial" w:cs="Arial"/>
        </w:rPr>
        <w:br/>
        <w:t>X32 - Cash Reinvestment %: Cash Reinvestment Ratio</w:t>
      </w:r>
      <w:r w:rsidRPr="00E3795F">
        <w:rPr>
          <w:rFonts w:ascii="Arial" w:hAnsi="Arial" w:cs="Arial"/>
        </w:rPr>
        <w:br/>
        <w:t>X33 - Current Ratio</w:t>
      </w:r>
      <w:r w:rsidRPr="00E3795F">
        <w:rPr>
          <w:rFonts w:ascii="Arial" w:hAnsi="Arial" w:cs="Arial"/>
        </w:rPr>
        <w:br/>
        <w:t>X34 - Quick Ratio: Acid Test</w:t>
      </w:r>
      <w:r w:rsidRPr="00E3795F">
        <w:rPr>
          <w:rFonts w:ascii="Arial" w:hAnsi="Arial" w:cs="Arial"/>
        </w:rPr>
        <w:br/>
        <w:t>X35 - Interest Expense Ratio: Interest Expenses/Total Revenue</w:t>
      </w:r>
      <w:r w:rsidRPr="00E3795F">
        <w:rPr>
          <w:rFonts w:ascii="Arial" w:hAnsi="Arial" w:cs="Arial"/>
        </w:rPr>
        <w:br/>
        <w:t>X36 - Total debt/Total net worth: Total Liability/Equity Ratio</w:t>
      </w:r>
      <w:r w:rsidRPr="00E3795F">
        <w:rPr>
          <w:rFonts w:ascii="Arial" w:hAnsi="Arial" w:cs="Arial"/>
        </w:rPr>
        <w:br/>
        <w:t>X37 - Debt ratio %: Liability/Total Assets</w:t>
      </w:r>
      <w:r w:rsidRPr="00E3795F">
        <w:rPr>
          <w:rFonts w:ascii="Arial" w:hAnsi="Arial" w:cs="Arial"/>
        </w:rPr>
        <w:br/>
        <w:t>X38 - Net worth/Assets: Equity/Total Assets</w:t>
      </w:r>
      <w:r w:rsidRPr="00E3795F">
        <w:rPr>
          <w:rFonts w:ascii="Arial" w:hAnsi="Arial" w:cs="Arial"/>
        </w:rPr>
        <w:br/>
        <w:t xml:space="preserve">X39 - Long-term fund suitability ratio (A): (Long-term </w:t>
      </w:r>
      <w:proofErr w:type="spellStart"/>
      <w:r w:rsidRPr="00E3795F">
        <w:rPr>
          <w:rFonts w:ascii="Arial" w:hAnsi="Arial" w:cs="Arial"/>
        </w:rPr>
        <w:t>Liability+Equity</w:t>
      </w:r>
      <w:proofErr w:type="spellEnd"/>
      <w:r w:rsidRPr="00E3795F">
        <w:rPr>
          <w:rFonts w:ascii="Arial" w:hAnsi="Arial" w:cs="Arial"/>
        </w:rPr>
        <w:t>)/Fixed Assets</w:t>
      </w:r>
      <w:r w:rsidRPr="00E3795F">
        <w:rPr>
          <w:rFonts w:ascii="Arial" w:hAnsi="Arial" w:cs="Arial"/>
        </w:rPr>
        <w:br/>
        <w:t>X40 - Borrowing dependency: Cost of Interest-bearing Debt</w:t>
      </w:r>
      <w:r w:rsidRPr="00E3795F">
        <w:rPr>
          <w:rFonts w:ascii="Arial" w:hAnsi="Arial" w:cs="Arial"/>
        </w:rPr>
        <w:br/>
        <w:t>X41 - Contingent liabilities/Net worth: Contingent Liability/Equity</w:t>
      </w:r>
      <w:r w:rsidRPr="00E3795F">
        <w:rPr>
          <w:rFonts w:ascii="Arial" w:hAnsi="Arial" w:cs="Arial"/>
        </w:rPr>
        <w:br/>
        <w:t>X42 - Operating profit/Paid-in capital: Operating Income/Capital</w:t>
      </w:r>
      <w:r w:rsidRPr="00E3795F">
        <w:rPr>
          <w:rFonts w:ascii="Arial" w:hAnsi="Arial" w:cs="Arial"/>
        </w:rPr>
        <w:br/>
        <w:t>X43 - Net profit before tax/Paid-in capital: Pretax Income/Capital</w:t>
      </w:r>
      <w:r w:rsidRPr="00E3795F">
        <w:rPr>
          <w:rFonts w:ascii="Arial" w:hAnsi="Arial" w:cs="Arial"/>
        </w:rPr>
        <w:br/>
        <w:t>X44 - Inventory and accounts receivable/Net value: (</w:t>
      </w:r>
      <w:proofErr w:type="spellStart"/>
      <w:r w:rsidRPr="00E3795F">
        <w:rPr>
          <w:rFonts w:ascii="Arial" w:hAnsi="Arial" w:cs="Arial"/>
        </w:rPr>
        <w:t>Inventory+Accounts</w:t>
      </w:r>
      <w:proofErr w:type="spellEnd"/>
      <w:r w:rsidRPr="00E3795F">
        <w:rPr>
          <w:rFonts w:ascii="Arial" w:hAnsi="Arial" w:cs="Arial"/>
        </w:rPr>
        <w:t xml:space="preserve"> Receivables)/Equity</w:t>
      </w:r>
      <w:r w:rsidRPr="00E3795F">
        <w:rPr>
          <w:rFonts w:ascii="Arial" w:hAnsi="Arial" w:cs="Arial"/>
        </w:rPr>
        <w:br/>
        <w:t>X45 - Total Asset Turnover</w:t>
      </w:r>
      <w:r w:rsidRPr="00E3795F">
        <w:rPr>
          <w:rFonts w:ascii="Arial" w:hAnsi="Arial" w:cs="Arial"/>
        </w:rPr>
        <w:br/>
        <w:t>X46 - Accounts Receivable Turnover</w:t>
      </w:r>
      <w:r w:rsidRPr="00E3795F">
        <w:rPr>
          <w:rFonts w:ascii="Arial" w:hAnsi="Arial" w:cs="Arial"/>
        </w:rPr>
        <w:br/>
        <w:t>X47 - Average Collection Days: Days Receivable Outstanding</w:t>
      </w:r>
      <w:r w:rsidRPr="00E3795F">
        <w:rPr>
          <w:rFonts w:ascii="Arial" w:hAnsi="Arial" w:cs="Arial"/>
        </w:rPr>
        <w:br/>
        <w:t>X48 - Inventory Turnover Rate (times)</w:t>
      </w:r>
      <w:r w:rsidRPr="00E3795F">
        <w:rPr>
          <w:rFonts w:ascii="Arial" w:hAnsi="Arial" w:cs="Arial"/>
        </w:rPr>
        <w:br/>
        <w:t>X49 - Fixed Assets Turnover Frequency</w:t>
      </w:r>
      <w:r w:rsidRPr="00E3795F">
        <w:rPr>
          <w:rFonts w:ascii="Arial" w:hAnsi="Arial" w:cs="Arial"/>
        </w:rPr>
        <w:br/>
        <w:t>X50 - Net Worth Turnover Rate (times): Equity Turnover</w:t>
      </w:r>
      <w:r w:rsidRPr="00E3795F">
        <w:rPr>
          <w:rFonts w:ascii="Arial" w:hAnsi="Arial" w:cs="Arial"/>
        </w:rPr>
        <w:br/>
        <w:t>X51 - Revenue per person: Sales Per Employee</w:t>
      </w:r>
      <w:r w:rsidRPr="00E3795F">
        <w:rPr>
          <w:rFonts w:ascii="Arial" w:hAnsi="Arial" w:cs="Arial"/>
        </w:rPr>
        <w:br/>
        <w:t>X52 - Operating profit per person: Operation Income Per Employee</w:t>
      </w:r>
      <w:r w:rsidRPr="00E3795F">
        <w:rPr>
          <w:rFonts w:ascii="Arial" w:hAnsi="Arial" w:cs="Arial"/>
        </w:rPr>
        <w:br/>
        <w:t>X53 - Allocation rate per person: Fixed Assets Per Employee</w:t>
      </w:r>
      <w:r w:rsidRPr="00E3795F">
        <w:rPr>
          <w:rFonts w:ascii="Arial" w:hAnsi="Arial" w:cs="Arial"/>
        </w:rPr>
        <w:br/>
        <w:t>X54 - Working Capital to Total Assets</w:t>
      </w:r>
      <w:r w:rsidRPr="00E3795F">
        <w:rPr>
          <w:rFonts w:ascii="Arial" w:hAnsi="Arial" w:cs="Arial"/>
        </w:rPr>
        <w:br/>
        <w:t>X55 - Quick Assets/Total Assets</w:t>
      </w:r>
      <w:r w:rsidRPr="00E3795F">
        <w:rPr>
          <w:rFonts w:ascii="Arial" w:hAnsi="Arial" w:cs="Arial"/>
        </w:rPr>
        <w:br/>
        <w:t>X56 - Current Assets/Total Assets</w:t>
      </w:r>
      <w:r w:rsidRPr="00E3795F">
        <w:rPr>
          <w:rFonts w:ascii="Arial" w:hAnsi="Arial" w:cs="Arial"/>
        </w:rPr>
        <w:br/>
        <w:t>X57 - Cash/Total Assets</w:t>
      </w:r>
      <w:r w:rsidRPr="00E3795F">
        <w:rPr>
          <w:rFonts w:ascii="Arial" w:hAnsi="Arial" w:cs="Arial"/>
        </w:rPr>
        <w:br/>
        <w:t>X58 - Quick Assets/Current Liability</w:t>
      </w:r>
      <w:r w:rsidRPr="00E3795F">
        <w:rPr>
          <w:rFonts w:ascii="Arial" w:hAnsi="Arial" w:cs="Arial"/>
        </w:rPr>
        <w:br/>
        <w:t>X59 - Cash/Current Liability</w:t>
      </w:r>
      <w:r w:rsidRPr="00E3795F">
        <w:rPr>
          <w:rFonts w:ascii="Arial" w:hAnsi="Arial" w:cs="Arial"/>
        </w:rPr>
        <w:br/>
        <w:t>X60 - Current Liability to Assets</w:t>
      </w:r>
      <w:r w:rsidRPr="00E3795F">
        <w:rPr>
          <w:rFonts w:ascii="Arial" w:hAnsi="Arial" w:cs="Arial"/>
        </w:rPr>
        <w:br/>
        <w:t>X61 - Operating Funds to Liability</w:t>
      </w:r>
      <w:r w:rsidRPr="00E3795F">
        <w:rPr>
          <w:rFonts w:ascii="Arial" w:hAnsi="Arial" w:cs="Arial"/>
        </w:rPr>
        <w:br/>
        <w:t>X62 - Inventory/Working Capital</w:t>
      </w:r>
      <w:r w:rsidRPr="00E3795F">
        <w:rPr>
          <w:rFonts w:ascii="Arial" w:hAnsi="Arial" w:cs="Arial"/>
        </w:rPr>
        <w:br/>
        <w:t>X63 - Inventory/Current Liability</w:t>
      </w:r>
      <w:r w:rsidRPr="00E3795F">
        <w:rPr>
          <w:rFonts w:ascii="Arial" w:hAnsi="Arial" w:cs="Arial"/>
        </w:rPr>
        <w:br/>
        <w:t>X64 - Current Liabilities/Liability</w:t>
      </w:r>
      <w:r w:rsidRPr="00E3795F">
        <w:rPr>
          <w:rFonts w:ascii="Arial" w:hAnsi="Arial" w:cs="Arial"/>
        </w:rPr>
        <w:br/>
        <w:t>X65 - Working Capital/Equity</w:t>
      </w:r>
      <w:r w:rsidRPr="00E3795F">
        <w:rPr>
          <w:rFonts w:ascii="Arial" w:hAnsi="Arial" w:cs="Arial"/>
        </w:rPr>
        <w:br/>
        <w:t>X66 - Current Liabilities/Equity</w:t>
      </w:r>
      <w:r w:rsidRPr="00E3795F">
        <w:rPr>
          <w:rFonts w:ascii="Arial" w:hAnsi="Arial" w:cs="Arial"/>
        </w:rPr>
        <w:br/>
        <w:t>X67 - Long-term Liability to Current Assets</w:t>
      </w:r>
      <w:r w:rsidRPr="00E3795F">
        <w:rPr>
          <w:rFonts w:ascii="Arial" w:hAnsi="Arial" w:cs="Arial"/>
        </w:rPr>
        <w:br/>
        <w:t>X68 - Retained Earnings to Total Assets</w:t>
      </w:r>
      <w:r w:rsidRPr="00E3795F">
        <w:rPr>
          <w:rFonts w:ascii="Arial" w:hAnsi="Arial" w:cs="Arial"/>
        </w:rPr>
        <w:br/>
      </w:r>
      <w:r w:rsidRPr="00E3795F">
        <w:rPr>
          <w:rFonts w:ascii="Arial" w:hAnsi="Arial" w:cs="Arial"/>
        </w:rPr>
        <w:lastRenderedPageBreak/>
        <w:t>X69 - Total income/Total expense</w:t>
      </w:r>
      <w:r w:rsidRPr="00E3795F">
        <w:rPr>
          <w:rFonts w:ascii="Arial" w:hAnsi="Arial" w:cs="Arial"/>
        </w:rPr>
        <w:br/>
        <w:t>X70 - Total expense/Assets</w:t>
      </w:r>
      <w:r w:rsidRPr="00E3795F">
        <w:rPr>
          <w:rFonts w:ascii="Arial" w:hAnsi="Arial" w:cs="Arial"/>
        </w:rPr>
        <w:br/>
        <w:t>X71 - Current Asset Turnover Rate: Current Assets to Sales</w:t>
      </w:r>
      <w:r w:rsidRPr="00E3795F">
        <w:rPr>
          <w:rFonts w:ascii="Arial" w:hAnsi="Arial" w:cs="Arial"/>
        </w:rPr>
        <w:br/>
        <w:t>X72 - Quick Asset Turnover Rate: Quick Assets to Sales</w:t>
      </w:r>
      <w:r w:rsidRPr="00E3795F">
        <w:rPr>
          <w:rFonts w:ascii="Arial" w:hAnsi="Arial" w:cs="Arial"/>
        </w:rPr>
        <w:br/>
        <w:t xml:space="preserve">X73 - Working </w:t>
      </w:r>
      <w:proofErr w:type="spellStart"/>
      <w:r w:rsidRPr="00E3795F">
        <w:rPr>
          <w:rFonts w:ascii="Arial" w:hAnsi="Arial" w:cs="Arial"/>
        </w:rPr>
        <w:t>capitcal</w:t>
      </w:r>
      <w:proofErr w:type="spellEnd"/>
      <w:r w:rsidRPr="00E3795F">
        <w:rPr>
          <w:rFonts w:ascii="Arial" w:hAnsi="Arial" w:cs="Arial"/>
        </w:rPr>
        <w:t xml:space="preserve"> Turnover Rate: Working Capital to Sales</w:t>
      </w:r>
      <w:r w:rsidRPr="00E3795F">
        <w:rPr>
          <w:rFonts w:ascii="Arial" w:hAnsi="Arial" w:cs="Arial"/>
        </w:rPr>
        <w:br/>
        <w:t>X74 - Cash Turnover Rate: Cash to Sales</w:t>
      </w:r>
      <w:r w:rsidRPr="00E3795F">
        <w:rPr>
          <w:rFonts w:ascii="Arial" w:hAnsi="Arial" w:cs="Arial"/>
        </w:rPr>
        <w:br/>
        <w:t>X75 - Cash Flow to Sales</w:t>
      </w:r>
      <w:r w:rsidRPr="00E3795F">
        <w:rPr>
          <w:rFonts w:ascii="Arial" w:hAnsi="Arial" w:cs="Arial"/>
        </w:rPr>
        <w:br/>
        <w:t>X76 - Fixed Assets to Assets</w:t>
      </w:r>
      <w:r w:rsidRPr="00E3795F">
        <w:rPr>
          <w:rFonts w:ascii="Arial" w:hAnsi="Arial" w:cs="Arial"/>
        </w:rPr>
        <w:br/>
        <w:t>X77 - Current Liability to Liability</w:t>
      </w:r>
      <w:r w:rsidRPr="00E3795F">
        <w:rPr>
          <w:rFonts w:ascii="Arial" w:hAnsi="Arial" w:cs="Arial"/>
        </w:rPr>
        <w:br/>
        <w:t>X78 - Current Liability to Equity</w:t>
      </w:r>
      <w:r w:rsidRPr="00E3795F">
        <w:rPr>
          <w:rFonts w:ascii="Arial" w:hAnsi="Arial" w:cs="Arial"/>
        </w:rPr>
        <w:br/>
        <w:t>X79 - Equity to Long-term Liability</w:t>
      </w:r>
      <w:r w:rsidRPr="00E3795F">
        <w:rPr>
          <w:rFonts w:ascii="Arial" w:hAnsi="Arial" w:cs="Arial"/>
        </w:rPr>
        <w:br/>
        <w:t>X80 - Cash Flow to Total Assets</w:t>
      </w:r>
      <w:r w:rsidRPr="00E3795F">
        <w:rPr>
          <w:rFonts w:ascii="Arial" w:hAnsi="Arial" w:cs="Arial"/>
        </w:rPr>
        <w:br/>
        <w:t>X81 - Cash Flow to Liability</w:t>
      </w:r>
      <w:r w:rsidRPr="00E3795F">
        <w:rPr>
          <w:rFonts w:ascii="Arial" w:hAnsi="Arial" w:cs="Arial"/>
        </w:rPr>
        <w:br/>
        <w:t>X82 - CFO to Assets</w:t>
      </w:r>
      <w:r w:rsidRPr="00E3795F">
        <w:rPr>
          <w:rFonts w:ascii="Arial" w:hAnsi="Arial" w:cs="Arial"/>
        </w:rPr>
        <w:br/>
        <w:t>X83 - Cash Flow to Equity</w:t>
      </w:r>
      <w:r w:rsidRPr="00E3795F">
        <w:rPr>
          <w:rFonts w:ascii="Arial" w:hAnsi="Arial" w:cs="Arial"/>
        </w:rPr>
        <w:br/>
        <w:t>X84 - Current Liability to Current Assets</w:t>
      </w:r>
      <w:r w:rsidRPr="00E3795F">
        <w:rPr>
          <w:rFonts w:ascii="Arial" w:hAnsi="Arial" w:cs="Arial"/>
        </w:rPr>
        <w:br/>
        <w:t>X85 - Liability-Assets Flag: 1 if Total Liability exceeds Total Assets, 0 otherwise</w:t>
      </w:r>
      <w:r w:rsidRPr="00E3795F">
        <w:rPr>
          <w:rFonts w:ascii="Arial" w:hAnsi="Arial" w:cs="Arial"/>
        </w:rPr>
        <w:br/>
        <w:t>X86 - Net Income to Total Assets</w:t>
      </w:r>
      <w:r w:rsidRPr="00E3795F">
        <w:rPr>
          <w:rFonts w:ascii="Arial" w:hAnsi="Arial" w:cs="Arial"/>
        </w:rPr>
        <w:br/>
        <w:t>X87 - Total assets to GNP price</w:t>
      </w:r>
      <w:r w:rsidRPr="00E3795F">
        <w:rPr>
          <w:rFonts w:ascii="Arial" w:hAnsi="Arial" w:cs="Arial"/>
        </w:rPr>
        <w:br/>
        <w:t>X88 - No-credit Interval</w:t>
      </w:r>
      <w:r w:rsidRPr="00E3795F">
        <w:rPr>
          <w:rFonts w:ascii="Arial" w:hAnsi="Arial" w:cs="Arial"/>
        </w:rPr>
        <w:br/>
        <w:t>X89 - Gross Profit to Sales</w:t>
      </w:r>
      <w:r w:rsidRPr="00E3795F">
        <w:rPr>
          <w:rFonts w:ascii="Arial" w:hAnsi="Arial" w:cs="Arial"/>
        </w:rPr>
        <w:br/>
        <w:t>X90 - Net Income to Stockholder's Equity</w:t>
      </w:r>
      <w:r w:rsidRPr="00E3795F">
        <w:rPr>
          <w:rFonts w:ascii="Arial" w:hAnsi="Arial" w:cs="Arial"/>
        </w:rPr>
        <w:br/>
        <w:t>X91 - Liability to Equity</w:t>
      </w:r>
      <w:r w:rsidRPr="00E3795F">
        <w:rPr>
          <w:rFonts w:ascii="Arial" w:hAnsi="Arial" w:cs="Arial"/>
        </w:rPr>
        <w:br/>
        <w:t>X92 - Degree of Financial Leverage (DFL)</w:t>
      </w:r>
      <w:r w:rsidRPr="00E3795F">
        <w:rPr>
          <w:rFonts w:ascii="Arial" w:hAnsi="Arial" w:cs="Arial"/>
        </w:rPr>
        <w:br/>
        <w:t>X93 - Interest Coverage Ratio (Interest expense to EBIT)</w:t>
      </w:r>
      <w:r w:rsidRPr="00E3795F">
        <w:rPr>
          <w:rFonts w:ascii="Arial" w:hAnsi="Arial" w:cs="Arial"/>
        </w:rPr>
        <w:br/>
        <w:t>X94 - Net Income Flag: 1 if Net Income is Negative for the last two years, 0 otherwise</w:t>
      </w:r>
      <w:r w:rsidRPr="00E3795F">
        <w:rPr>
          <w:rFonts w:ascii="Arial" w:hAnsi="Arial" w:cs="Arial"/>
        </w:rPr>
        <w:br/>
        <w:t>X95 - Equity to Liability</w:t>
      </w:r>
    </w:p>
    <w:p w14:paraId="2359A66A" w14:textId="45051D9C" w:rsidR="00E3795F" w:rsidRPr="00E3795F" w:rsidRDefault="00E3795F" w:rsidP="00E3795F">
      <w:pPr>
        <w:widowControl/>
        <w:autoSpaceDE/>
        <w:autoSpaceDN/>
        <w:spacing w:before="100" w:beforeAutospacing="1" w:after="100" w:afterAutospacing="1"/>
        <w:rPr>
          <w:rFonts w:eastAsia="Times New Roman"/>
          <w:sz w:val="24"/>
          <w:szCs w:val="24"/>
        </w:rPr>
        <w:sectPr w:rsidR="00E3795F" w:rsidRPr="00E3795F">
          <w:pgSz w:w="12240" w:h="15840"/>
          <w:pgMar w:top="1360" w:right="1280" w:bottom="280" w:left="1340" w:header="720" w:footer="720" w:gutter="0"/>
          <w:cols w:space="720"/>
        </w:sectPr>
      </w:pPr>
    </w:p>
    <w:p w14:paraId="71386340" w14:textId="77777777" w:rsidR="00442C7B" w:rsidRPr="00E3795F" w:rsidRDefault="00442C7B">
      <w:pPr>
        <w:pStyle w:val="BodyText"/>
        <w:spacing w:before="5"/>
        <w:rPr>
          <w:sz w:val="33"/>
        </w:rPr>
      </w:pPr>
    </w:p>
    <w:p w14:paraId="33AC4841" w14:textId="43EA0116" w:rsidR="00E3795F" w:rsidRDefault="00000000" w:rsidP="00E3795F">
      <w:pPr>
        <w:pStyle w:val="Heading1"/>
        <w:rPr>
          <w:color w:val="2C3A45"/>
        </w:rPr>
      </w:pPr>
      <w:r w:rsidRPr="00E3795F">
        <w:rPr>
          <w:color w:val="2C3A45"/>
        </w:rPr>
        <w:t>Proce</w:t>
      </w:r>
      <w:r w:rsidR="00E3795F">
        <w:rPr>
          <w:color w:val="2C3A45"/>
        </w:rPr>
        <w:t>dure and Methods</w:t>
      </w:r>
      <w:r w:rsidRPr="00E3795F">
        <w:rPr>
          <w:color w:val="2C3A45"/>
        </w:rPr>
        <w:t>:</w:t>
      </w:r>
    </w:p>
    <w:p w14:paraId="03387B44" w14:textId="77777777" w:rsidR="00E3795F" w:rsidRPr="00E3795F" w:rsidRDefault="00E3795F" w:rsidP="00E3795F">
      <w:pPr>
        <w:pStyle w:val="Heading1"/>
      </w:pPr>
    </w:p>
    <w:p w14:paraId="6DD66668" w14:textId="6EBA31A3" w:rsidR="00E3795F" w:rsidRDefault="00E3795F" w:rsidP="00E3795F">
      <w:pPr>
        <w:pStyle w:val="BodyText"/>
        <w:numPr>
          <w:ilvl w:val="0"/>
          <w:numId w:val="6"/>
        </w:numPr>
        <w:spacing w:before="2"/>
        <w:rPr>
          <w:color w:val="2C3A45"/>
          <w:szCs w:val="22"/>
        </w:rPr>
      </w:pPr>
      <w:r>
        <w:rPr>
          <w:color w:val="2C3A45"/>
          <w:szCs w:val="22"/>
        </w:rPr>
        <w:t xml:space="preserve">Load the data. </w:t>
      </w:r>
    </w:p>
    <w:p w14:paraId="259C4EDA" w14:textId="77777777" w:rsidR="00E3795F" w:rsidRDefault="00E3795F" w:rsidP="00E3795F">
      <w:pPr>
        <w:pStyle w:val="BodyText"/>
        <w:numPr>
          <w:ilvl w:val="0"/>
          <w:numId w:val="6"/>
        </w:numPr>
        <w:spacing w:before="2"/>
        <w:rPr>
          <w:color w:val="2C3A45"/>
          <w:szCs w:val="22"/>
        </w:rPr>
      </w:pPr>
      <w:r>
        <w:rPr>
          <w:color w:val="2C3A45"/>
          <w:szCs w:val="22"/>
        </w:rPr>
        <w:t>EDA</w:t>
      </w:r>
    </w:p>
    <w:p w14:paraId="562D58DB" w14:textId="12D5CCCD" w:rsidR="00E3795F" w:rsidRDefault="00E3795F" w:rsidP="00E3795F">
      <w:pPr>
        <w:pStyle w:val="BodyText"/>
        <w:numPr>
          <w:ilvl w:val="0"/>
          <w:numId w:val="6"/>
        </w:numPr>
        <w:spacing w:before="2"/>
        <w:rPr>
          <w:color w:val="2C3A45"/>
          <w:szCs w:val="22"/>
        </w:rPr>
      </w:pPr>
      <w:r>
        <w:rPr>
          <w:color w:val="2C3A45"/>
          <w:szCs w:val="22"/>
        </w:rPr>
        <w:t>Data Visualization</w:t>
      </w:r>
    </w:p>
    <w:p w14:paraId="7884D457" w14:textId="2D8A35F1" w:rsidR="00E3795F" w:rsidRDefault="00E3795F" w:rsidP="00E3795F">
      <w:pPr>
        <w:pStyle w:val="BodyText"/>
        <w:numPr>
          <w:ilvl w:val="0"/>
          <w:numId w:val="6"/>
        </w:numPr>
        <w:spacing w:before="2"/>
        <w:rPr>
          <w:color w:val="2C3A45"/>
          <w:szCs w:val="22"/>
        </w:rPr>
      </w:pPr>
      <w:r>
        <w:rPr>
          <w:color w:val="2C3A45"/>
          <w:szCs w:val="22"/>
        </w:rPr>
        <w:t>Building models:</w:t>
      </w:r>
    </w:p>
    <w:p w14:paraId="735CBCC1" w14:textId="151A9C21" w:rsidR="00E3795F" w:rsidRPr="00E3795F" w:rsidRDefault="00E3795F" w:rsidP="00E3795F">
      <w:pPr>
        <w:pStyle w:val="BodyText"/>
        <w:spacing w:before="2"/>
        <w:ind w:left="924"/>
        <w:rPr>
          <w:color w:val="2C3A45"/>
          <w:szCs w:val="22"/>
        </w:rPr>
      </w:pPr>
      <w:r>
        <w:rPr>
          <w:color w:val="2C3A45"/>
          <w:szCs w:val="22"/>
        </w:rPr>
        <w:t>Logistic R</w:t>
      </w:r>
      <w:r w:rsidRPr="00E3795F">
        <w:rPr>
          <w:color w:val="2C3A45"/>
          <w:szCs w:val="22"/>
        </w:rPr>
        <w:t>egression</w:t>
      </w:r>
    </w:p>
    <w:p w14:paraId="47C21B78" w14:textId="3C9D27F3" w:rsidR="00E3795F" w:rsidRPr="00E3795F" w:rsidRDefault="00E3795F" w:rsidP="00E3795F">
      <w:pPr>
        <w:pStyle w:val="BodyText"/>
        <w:spacing w:before="2"/>
        <w:rPr>
          <w:color w:val="2C3A45"/>
          <w:szCs w:val="22"/>
        </w:rPr>
      </w:pPr>
      <w:r w:rsidRPr="00E3795F">
        <w:rPr>
          <w:color w:val="2C3A45"/>
          <w:szCs w:val="22"/>
        </w:rPr>
        <w:t xml:space="preserve">    </w:t>
      </w:r>
      <w:r>
        <w:rPr>
          <w:color w:val="2C3A45"/>
          <w:szCs w:val="22"/>
        </w:rPr>
        <w:t xml:space="preserve">          </w:t>
      </w:r>
      <w:r w:rsidRPr="00E3795F">
        <w:rPr>
          <w:color w:val="2C3A45"/>
          <w:szCs w:val="22"/>
        </w:rPr>
        <w:t>Naive Bayes</w:t>
      </w:r>
    </w:p>
    <w:p w14:paraId="7CA49F09" w14:textId="0A82CB15" w:rsidR="00E3795F" w:rsidRPr="00E3795F" w:rsidRDefault="00E3795F" w:rsidP="00E3795F">
      <w:pPr>
        <w:pStyle w:val="BodyText"/>
        <w:spacing w:before="2"/>
        <w:rPr>
          <w:color w:val="2C3A45"/>
          <w:szCs w:val="22"/>
        </w:rPr>
      </w:pPr>
      <w:r w:rsidRPr="00E3795F">
        <w:rPr>
          <w:color w:val="2C3A45"/>
          <w:szCs w:val="22"/>
        </w:rPr>
        <w:t xml:space="preserve">  </w:t>
      </w:r>
      <w:r>
        <w:rPr>
          <w:color w:val="2C3A45"/>
          <w:szCs w:val="22"/>
        </w:rPr>
        <w:t xml:space="preserve">          </w:t>
      </w:r>
      <w:r w:rsidRPr="00E3795F">
        <w:rPr>
          <w:color w:val="2C3A45"/>
          <w:szCs w:val="22"/>
        </w:rPr>
        <w:t xml:space="preserve">  KNN</w:t>
      </w:r>
    </w:p>
    <w:p w14:paraId="5276114F" w14:textId="7C8A4FAC" w:rsidR="00E3795F" w:rsidRPr="00E3795F" w:rsidRDefault="00E3795F" w:rsidP="00E3795F">
      <w:pPr>
        <w:pStyle w:val="BodyText"/>
        <w:spacing w:before="2"/>
        <w:rPr>
          <w:color w:val="2C3A45"/>
          <w:szCs w:val="22"/>
        </w:rPr>
      </w:pPr>
      <w:r w:rsidRPr="00E3795F">
        <w:rPr>
          <w:color w:val="2C3A45"/>
          <w:szCs w:val="22"/>
        </w:rPr>
        <w:t xml:space="preserve">   </w:t>
      </w:r>
      <w:r>
        <w:rPr>
          <w:color w:val="2C3A45"/>
          <w:szCs w:val="22"/>
        </w:rPr>
        <w:t xml:space="preserve">           </w:t>
      </w:r>
      <w:r w:rsidRPr="00E3795F">
        <w:rPr>
          <w:color w:val="2C3A45"/>
          <w:szCs w:val="22"/>
        </w:rPr>
        <w:t>Decision Tree</w:t>
      </w:r>
    </w:p>
    <w:p w14:paraId="1682D30D" w14:textId="63198FBB" w:rsidR="00E3795F" w:rsidRPr="00E3795F" w:rsidRDefault="00E3795F" w:rsidP="00E3795F">
      <w:pPr>
        <w:pStyle w:val="BodyText"/>
        <w:spacing w:before="2"/>
        <w:rPr>
          <w:color w:val="2C3A45"/>
          <w:szCs w:val="22"/>
        </w:rPr>
      </w:pPr>
      <w:r w:rsidRPr="00E3795F">
        <w:rPr>
          <w:color w:val="2C3A45"/>
          <w:szCs w:val="22"/>
        </w:rPr>
        <w:t xml:space="preserve">    </w:t>
      </w:r>
      <w:r>
        <w:rPr>
          <w:color w:val="2C3A45"/>
          <w:szCs w:val="22"/>
        </w:rPr>
        <w:t xml:space="preserve">          </w:t>
      </w:r>
      <w:r w:rsidRPr="00E3795F">
        <w:rPr>
          <w:color w:val="2C3A45"/>
          <w:szCs w:val="22"/>
        </w:rPr>
        <w:t>Random Forest</w:t>
      </w:r>
    </w:p>
    <w:p w14:paraId="33E75AE9" w14:textId="118027FA" w:rsidR="00E3795F" w:rsidRPr="00E3795F" w:rsidRDefault="00E3795F" w:rsidP="00E3795F">
      <w:pPr>
        <w:pStyle w:val="BodyText"/>
        <w:spacing w:before="2"/>
        <w:rPr>
          <w:color w:val="2C3A45"/>
          <w:szCs w:val="22"/>
        </w:rPr>
      </w:pPr>
      <w:r w:rsidRPr="00E3795F">
        <w:rPr>
          <w:color w:val="2C3A45"/>
          <w:szCs w:val="22"/>
        </w:rPr>
        <w:t xml:space="preserve">   </w:t>
      </w:r>
      <w:r>
        <w:rPr>
          <w:color w:val="2C3A45"/>
          <w:szCs w:val="22"/>
        </w:rPr>
        <w:t xml:space="preserve">          </w:t>
      </w:r>
      <w:r w:rsidRPr="00E3795F">
        <w:rPr>
          <w:color w:val="2C3A45"/>
          <w:szCs w:val="22"/>
        </w:rPr>
        <w:t xml:space="preserve"> SVM</w:t>
      </w:r>
    </w:p>
    <w:p w14:paraId="4D977788" w14:textId="55C93D58" w:rsidR="00E3795F" w:rsidRPr="00E3795F" w:rsidRDefault="00E3795F" w:rsidP="00E3795F">
      <w:pPr>
        <w:pStyle w:val="BodyText"/>
        <w:spacing w:before="2"/>
        <w:rPr>
          <w:color w:val="2C3A45"/>
          <w:szCs w:val="22"/>
        </w:rPr>
      </w:pPr>
      <w:r w:rsidRPr="00E3795F">
        <w:rPr>
          <w:color w:val="2C3A45"/>
          <w:szCs w:val="22"/>
        </w:rPr>
        <w:t xml:space="preserve">    </w:t>
      </w:r>
      <w:r>
        <w:rPr>
          <w:color w:val="2C3A45"/>
          <w:szCs w:val="22"/>
        </w:rPr>
        <w:t xml:space="preserve">          </w:t>
      </w:r>
      <w:r w:rsidRPr="00E3795F">
        <w:rPr>
          <w:color w:val="2C3A45"/>
          <w:szCs w:val="22"/>
        </w:rPr>
        <w:t>XG Boost</w:t>
      </w:r>
    </w:p>
    <w:p w14:paraId="46D182E8" w14:textId="57BCEFC0" w:rsidR="00E3795F" w:rsidRPr="00E3795F" w:rsidRDefault="00E3795F" w:rsidP="00E3795F">
      <w:pPr>
        <w:pStyle w:val="BodyText"/>
        <w:spacing w:before="2"/>
        <w:rPr>
          <w:color w:val="2C3A45"/>
          <w:szCs w:val="22"/>
        </w:rPr>
      </w:pPr>
      <w:r w:rsidRPr="00E3795F">
        <w:rPr>
          <w:color w:val="2C3A45"/>
          <w:szCs w:val="22"/>
        </w:rPr>
        <w:t xml:space="preserve">   </w:t>
      </w:r>
      <w:r>
        <w:rPr>
          <w:color w:val="2C3A45"/>
          <w:szCs w:val="22"/>
        </w:rPr>
        <w:t xml:space="preserve">          </w:t>
      </w:r>
      <w:r w:rsidRPr="00E3795F">
        <w:rPr>
          <w:color w:val="2C3A45"/>
          <w:szCs w:val="22"/>
        </w:rPr>
        <w:t xml:space="preserve"> </w:t>
      </w:r>
      <w:proofErr w:type="spellStart"/>
      <w:r w:rsidRPr="00E3795F">
        <w:rPr>
          <w:color w:val="2C3A45"/>
          <w:szCs w:val="22"/>
        </w:rPr>
        <w:t>CatBoost</w:t>
      </w:r>
      <w:proofErr w:type="spellEnd"/>
    </w:p>
    <w:p w14:paraId="0D5BBE07" w14:textId="535369DF" w:rsidR="00442C7B" w:rsidRDefault="00E3795F" w:rsidP="00E3795F">
      <w:pPr>
        <w:pStyle w:val="BodyText"/>
        <w:spacing w:before="2"/>
        <w:rPr>
          <w:color w:val="2C3A45"/>
          <w:szCs w:val="22"/>
        </w:rPr>
      </w:pPr>
      <w:r w:rsidRPr="00E3795F">
        <w:rPr>
          <w:color w:val="2C3A45"/>
          <w:szCs w:val="22"/>
        </w:rPr>
        <w:t xml:space="preserve">   </w:t>
      </w:r>
      <w:r>
        <w:rPr>
          <w:color w:val="2C3A45"/>
          <w:szCs w:val="22"/>
        </w:rPr>
        <w:t xml:space="preserve">          </w:t>
      </w:r>
      <w:r w:rsidRPr="00E3795F">
        <w:rPr>
          <w:color w:val="2C3A45"/>
          <w:szCs w:val="22"/>
        </w:rPr>
        <w:t xml:space="preserve"> ANN</w:t>
      </w:r>
    </w:p>
    <w:p w14:paraId="42117192" w14:textId="4B80796A" w:rsidR="00E3795F" w:rsidRPr="00E3795F" w:rsidRDefault="00E3795F" w:rsidP="00E3795F">
      <w:pPr>
        <w:pStyle w:val="BodyText"/>
        <w:numPr>
          <w:ilvl w:val="0"/>
          <w:numId w:val="7"/>
        </w:numPr>
        <w:spacing w:before="2"/>
      </w:pPr>
      <w:r w:rsidRPr="00E3795F">
        <w:t>Result</w:t>
      </w:r>
    </w:p>
    <w:p w14:paraId="1ABEAAC1" w14:textId="72D68C4B" w:rsidR="00E3795F" w:rsidRPr="00E3795F" w:rsidRDefault="00E3795F" w:rsidP="00E3795F">
      <w:pPr>
        <w:pStyle w:val="BodyText"/>
        <w:numPr>
          <w:ilvl w:val="0"/>
          <w:numId w:val="7"/>
        </w:numPr>
        <w:spacing w:before="2"/>
      </w:pPr>
      <w:r w:rsidRPr="00E3795F">
        <w:t xml:space="preserve">Conclusion </w:t>
      </w:r>
    </w:p>
    <w:p w14:paraId="7741784D" w14:textId="77157355" w:rsidR="00442C7B" w:rsidRDefault="00442C7B">
      <w:pPr>
        <w:pStyle w:val="BodyText"/>
        <w:rPr>
          <w:sz w:val="26"/>
        </w:rPr>
      </w:pPr>
    </w:p>
    <w:p w14:paraId="0CF66B0F" w14:textId="5E76CE8A" w:rsidR="004A4E4B" w:rsidRPr="004A4E4B" w:rsidRDefault="004A4E4B">
      <w:pPr>
        <w:pStyle w:val="BodyText"/>
        <w:rPr>
          <w:b/>
          <w:bCs/>
          <w:sz w:val="26"/>
        </w:rPr>
      </w:pPr>
      <w:r w:rsidRPr="004A4E4B">
        <w:rPr>
          <w:rFonts w:ascii="Lato" w:hAnsi="Lato"/>
          <w:b/>
          <w:bCs/>
          <w:color w:val="2D3B45"/>
          <w:shd w:val="clear" w:color="auto" w:fill="FFFFFF"/>
        </w:rPr>
        <w:t>EDA (Exploratory Data Analysis)</w:t>
      </w:r>
    </w:p>
    <w:p w14:paraId="25B10CAC" w14:textId="36AA5D52" w:rsidR="00442C7B" w:rsidRDefault="00442C7B">
      <w:pPr>
        <w:pStyle w:val="BodyText"/>
        <w:spacing w:before="9"/>
        <w:rPr>
          <w:sz w:val="30"/>
        </w:rPr>
      </w:pPr>
    </w:p>
    <w:p w14:paraId="40CAE523" w14:textId="0DBF3BE8" w:rsidR="002F14D4" w:rsidRDefault="002F14D4">
      <w:pPr>
        <w:pStyle w:val="BodyText"/>
        <w:spacing w:before="9"/>
        <w:rPr>
          <w:sz w:val="30"/>
        </w:rPr>
      </w:pPr>
      <w:r>
        <w:rPr>
          <w:noProof/>
          <w:sz w:val="30"/>
        </w:rPr>
        <w:drawing>
          <wp:inline distT="0" distB="0" distL="0" distR="0" wp14:anchorId="7F422331" wp14:editId="5DD1000E">
            <wp:extent cx="6108700" cy="3683635"/>
            <wp:effectExtent l="0" t="0" r="6350" b="0"/>
            <wp:docPr id="2" name="Picture 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108700" cy="3683635"/>
                    </a:xfrm>
                    <a:prstGeom prst="rect">
                      <a:avLst/>
                    </a:prstGeom>
                  </pic:spPr>
                </pic:pic>
              </a:graphicData>
            </a:graphic>
          </wp:inline>
        </w:drawing>
      </w:r>
      <w:r>
        <w:rPr>
          <w:noProof/>
          <w:sz w:val="30"/>
        </w:rPr>
        <w:lastRenderedPageBreak/>
        <w:drawing>
          <wp:inline distT="0" distB="0" distL="0" distR="0" wp14:anchorId="1D6AAA2B" wp14:editId="20A87CFC">
            <wp:extent cx="6108700" cy="5406390"/>
            <wp:effectExtent l="0" t="0" r="6350" b="381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08700" cy="5406390"/>
                    </a:xfrm>
                    <a:prstGeom prst="rect">
                      <a:avLst/>
                    </a:prstGeom>
                  </pic:spPr>
                </pic:pic>
              </a:graphicData>
            </a:graphic>
          </wp:inline>
        </w:drawing>
      </w:r>
      <w:r>
        <w:rPr>
          <w:noProof/>
          <w:sz w:val="30"/>
        </w:rPr>
        <w:drawing>
          <wp:inline distT="0" distB="0" distL="0" distR="0" wp14:anchorId="62F2AA08" wp14:editId="066968C7">
            <wp:extent cx="6108700" cy="3342005"/>
            <wp:effectExtent l="0" t="0" r="635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08700" cy="3342005"/>
                    </a:xfrm>
                    <a:prstGeom prst="rect">
                      <a:avLst/>
                    </a:prstGeom>
                  </pic:spPr>
                </pic:pic>
              </a:graphicData>
            </a:graphic>
          </wp:inline>
        </w:drawing>
      </w:r>
      <w:r>
        <w:rPr>
          <w:noProof/>
          <w:sz w:val="30"/>
        </w:rPr>
        <w:lastRenderedPageBreak/>
        <w:drawing>
          <wp:inline distT="0" distB="0" distL="0" distR="0" wp14:anchorId="618B0459" wp14:editId="3B8F141E">
            <wp:extent cx="6108700" cy="4468495"/>
            <wp:effectExtent l="0" t="0" r="6350" b="825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08700" cy="4468495"/>
                    </a:xfrm>
                    <a:prstGeom prst="rect">
                      <a:avLst/>
                    </a:prstGeom>
                  </pic:spPr>
                </pic:pic>
              </a:graphicData>
            </a:graphic>
          </wp:inline>
        </w:drawing>
      </w:r>
      <w:r>
        <w:rPr>
          <w:noProof/>
          <w:sz w:val="30"/>
        </w:rPr>
        <w:lastRenderedPageBreak/>
        <w:drawing>
          <wp:inline distT="0" distB="0" distL="0" distR="0" wp14:anchorId="7C69E4E1" wp14:editId="5BCA3F4F">
            <wp:extent cx="6108700" cy="4770755"/>
            <wp:effectExtent l="0" t="0" r="6350" b="0"/>
            <wp:docPr id="6" name="Picture 6"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documen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108700" cy="4770755"/>
                    </a:xfrm>
                    <a:prstGeom prst="rect">
                      <a:avLst/>
                    </a:prstGeom>
                  </pic:spPr>
                </pic:pic>
              </a:graphicData>
            </a:graphic>
          </wp:inline>
        </w:drawing>
      </w:r>
    </w:p>
    <w:p w14:paraId="3B7118B2" w14:textId="77777777" w:rsidR="004A4E4B" w:rsidRPr="00E3795F" w:rsidRDefault="004A4E4B">
      <w:pPr>
        <w:pStyle w:val="BodyText"/>
        <w:spacing w:before="9"/>
        <w:rPr>
          <w:sz w:val="30"/>
        </w:rPr>
      </w:pPr>
    </w:p>
    <w:p w14:paraId="1312068B" w14:textId="77777777" w:rsidR="00E3795F" w:rsidRPr="00E3795F" w:rsidRDefault="00E3795F" w:rsidP="00E3795F">
      <w:pPr>
        <w:pStyle w:val="Heading3"/>
        <w:rPr>
          <w:rFonts w:ascii="Arial" w:eastAsia="Times New Roman" w:hAnsi="Arial" w:cs="Arial"/>
          <w:color w:val="auto"/>
        </w:rPr>
      </w:pPr>
      <w:r w:rsidRPr="00E3795F">
        <w:rPr>
          <w:rFonts w:ascii="Arial" w:hAnsi="Arial" w:cs="Arial"/>
          <w:color w:val="auto"/>
        </w:rPr>
        <w:t>Relevant Papers</w:t>
      </w:r>
    </w:p>
    <w:p w14:paraId="3591B9DE" w14:textId="77777777" w:rsidR="00E3795F" w:rsidRPr="00E3795F" w:rsidRDefault="00E3795F" w:rsidP="00E3795F">
      <w:pPr>
        <w:pStyle w:val="NormalWeb"/>
        <w:rPr>
          <w:rFonts w:ascii="Arial" w:hAnsi="Arial" w:cs="Arial"/>
        </w:rPr>
      </w:pPr>
      <w:r w:rsidRPr="00E3795F">
        <w:rPr>
          <w:rFonts w:ascii="Arial" w:hAnsi="Arial" w:cs="Arial"/>
        </w:rPr>
        <w:t>Liang, D., Lu, C.-C., Tsai, C.-F., and Shih, G.-A. (2016) Financial Ratios and Corporate Governance Indicators in Bankruptcy Prediction: A Comprehensive Study. European Journal of Operational Research, vol. 252, no. 2, pp. 561-572.</w:t>
      </w:r>
      <w:r w:rsidRPr="00E3795F">
        <w:rPr>
          <w:rFonts w:ascii="Arial" w:hAnsi="Arial" w:cs="Arial"/>
        </w:rPr>
        <w:br/>
      </w:r>
      <w:hyperlink r:id="rId11" w:tgtFrame="_blank" w:history="1">
        <w:r w:rsidRPr="00E3795F">
          <w:rPr>
            <w:rStyle w:val="Hyperlink"/>
            <w:rFonts w:ascii="Arial" w:hAnsi="Arial" w:cs="Arial"/>
          </w:rPr>
          <w:t>https://www.sciencedirect.com/science/article/pii/S0377221716000412</w:t>
        </w:r>
      </w:hyperlink>
    </w:p>
    <w:p w14:paraId="656F0DCB" w14:textId="7DE9F2BC" w:rsidR="00442C7B" w:rsidRPr="00E3795F" w:rsidRDefault="00442C7B">
      <w:pPr>
        <w:pStyle w:val="BodyText"/>
        <w:spacing w:line="288" w:lineRule="auto"/>
        <w:ind w:left="1060" w:right="754" w:hanging="480"/>
        <w:jc w:val="both"/>
      </w:pPr>
    </w:p>
    <w:sectPr w:rsidR="00442C7B" w:rsidRPr="00E3795F">
      <w:pgSz w:w="12240" w:h="15840"/>
      <w:pgMar w:top="136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46DF7"/>
    <w:multiLevelType w:val="hybridMultilevel"/>
    <w:tmpl w:val="BEAC605A"/>
    <w:lvl w:ilvl="0" w:tplc="BEECF7C2">
      <w:start w:val="1"/>
      <w:numFmt w:val="decimal"/>
      <w:lvlText w:val="%1."/>
      <w:lvlJc w:val="left"/>
      <w:pPr>
        <w:ind w:left="820" w:hanging="360"/>
        <w:jc w:val="left"/>
      </w:pPr>
      <w:rPr>
        <w:rFonts w:ascii="Arial" w:eastAsia="Arial" w:hAnsi="Arial" w:cs="Arial" w:hint="default"/>
        <w:color w:val="2C3A45"/>
        <w:w w:val="100"/>
        <w:sz w:val="24"/>
        <w:szCs w:val="24"/>
        <w:lang w:val="en-US" w:eastAsia="en-US" w:bidi="ar-SA"/>
      </w:rPr>
    </w:lvl>
    <w:lvl w:ilvl="1" w:tplc="8640EF00">
      <w:numFmt w:val="bullet"/>
      <w:lvlText w:val="•"/>
      <w:lvlJc w:val="left"/>
      <w:pPr>
        <w:ind w:left="1700" w:hanging="360"/>
      </w:pPr>
      <w:rPr>
        <w:rFonts w:hint="default"/>
        <w:lang w:val="en-US" w:eastAsia="en-US" w:bidi="ar-SA"/>
      </w:rPr>
    </w:lvl>
    <w:lvl w:ilvl="2" w:tplc="73A03534">
      <w:numFmt w:val="bullet"/>
      <w:lvlText w:val="•"/>
      <w:lvlJc w:val="left"/>
      <w:pPr>
        <w:ind w:left="2580" w:hanging="360"/>
      </w:pPr>
      <w:rPr>
        <w:rFonts w:hint="default"/>
        <w:lang w:val="en-US" w:eastAsia="en-US" w:bidi="ar-SA"/>
      </w:rPr>
    </w:lvl>
    <w:lvl w:ilvl="3" w:tplc="6088A5EA">
      <w:numFmt w:val="bullet"/>
      <w:lvlText w:val="•"/>
      <w:lvlJc w:val="left"/>
      <w:pPr>
        <w:ind w:left="3460" w:hanging="360"/>
      </w:pPr>
      <w:rPr>
        <w:rFonts w:hint="default"/>
        <w:lang w:val="en-US" w:eastAsia="en-US" w:bidi="ar-SA"/>
      </w:rPr>
    </w:lvl>
    <w:lvl w:ilvl="4" w:tplc="9A2AAC80">
      <w:numFmt w:val="bullet"/>
      <w:lvlText w:val="•"/>
      <w:lvlJc w:val="left"/>
      <w:pPr>
        <w:ind w:left="4340" w:hanging="360"/>
      </w:pPr>
      <w:rPr>
        <w:rFonts w:hint="default"/>
        <w:lang w:val="en-US" w:eastAsia="en-US" w:bidi="ar-SA"/>
      </w:rPr>
    </w:lvl>
    <w:lvl w:ilvl="5" w:tplc="1900913E">
      <w:numFmt w:val="bullet"/>
      <w:lvlText w:val="•"/>
      <w:lvlJc w:val="left"/>
      <w:pPr>
        <w:ind w:left="5220" w:hanging="360"/>
      </w:pPr>
      <w:rPr>
        <w:rFonts w:hint="default"/>
        <w:lang w:val="en-US" w:eastAsia="en-US" w:bidi="ar-SA"/>
      </w:rPr>
    </w:lvl>
    <w:lvl w:ilvl="6" w:tplc="89AAB2B8">
      <w:numFmt w:val="bullet"/>
      <w:lvlText w:val="•"/>
      <w:lvlJc w:val="left"/>
      <w:pPr>
        <w:ind w:left="6100" w:hanging="360"/>
      </w:pPr>
      <w:rPr>
        <w:rFonts w:hint="default"/>
        <w:lang w:val="en-US" w:eastAsia="en-US" w:bidi="ar-SA"/>
      </w:rPr>
    </w:lvl>
    <w:lvl w:ilvl="7" w:tplc="CAD02020">
      <w:numFmt w:val="bullet"/>
      <w:lvlText w:val="•"/>
      <w:lvlJc w:val="left"/>
      <w:pPr>
        <w:ind w:left="6980" w:hanging="360"/>
      </w:pPr>
      <w:rPr>
        <w:rFonts w:hint="default"/>
        <w:lang w:val="en-US" w:eastAsia="en-US" w:bidi="ar-SA"/>
      </w:rPr>
    </w:lvl>
    <w:lvl w:ilvl="8" w:tplc="E5E2C5B2">
      <w:numFmt w:val="bullet"/>
      <w:lvlText w:val="•"/>
      <w:lvlJc w:val="left"/>
      <w:pPr>
        <w:ind w:left="7860" w:hanging="360"/>
      </w:pPr>
      <w:rPr>
        <w:rFonts w:hint="default"/>
        <w:lang w:val="en-US" w:eastAsia="en-US" w:bidi="ar-SA"/>
      </w:rPr>
    </w:lvl>
  </w:abstractNum>
  <w:abstractNum w:abstractNumId="1" w15:restartNumberingAfterBreak="0">
    <w:nsid w:val="364667CA"/>
    <w:multiLevelType w:val="multilevel"/>
    <w:tmpl w:val="F810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994DF7"/>
    <w:multiLevelType w:val="hybridMultilevel"/>
    <w:tmpl w:val="97A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F31296"/>
    <w:multiLevelType w:val="multilevel"/>
    <w:tmpl w:val="5372A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7B6F3F"/>
    <w:multiLevelType w:val="hybridMultilevel"/>
    <w:tmpl w:val="2598ACFA"/>
    <w:lvl w:ilvl="0" w:tplc="805CC598">
      <w:start w:val="5"/>
      <w:numFmt w:val="decimal"/>
      <w:lvlText w:val="%1-"/>
      <w:lvlJc w:val="left"/>
      <w:pPr>
        <w:ind w:left="100" w:hanging="215"/>
        <w:jc w:val="left"/>
      </w:pPr>
      <w:rPr>
        <w:rFonts w:ascii="Arial" w:eastAsia="Arial" w:hAnsi="Arial" w:cs="Arial" w:hint="default"/>
        <w:color w:val="2C3A45"/>
        <w:spacing w:val="-3"/>
        <w:w w:val="100"/>
        <w:sz w:val="22"/>
        <w:szCs w:val="22"/>
        <w:lang w:val="en-US" w:eastAsia="en-US" w:bidi="ar-SA"/>
      </w:rPr>
    </w:lvl>
    <w:lvl w:ilvl="1" w:tplc="E08C1BE6">
      <w:start w:val="1"/>
      <w:numFmt w:val="decimal"/>
      <w:lvlText w:val="%2."/>
      <w:lvlJc w:val="left"/>
      <w:pPr>
        <w:ind w:left="820" w:hanging="360"/>
        <w:jc w:val="left"/>
      </w:pPr>
      <w:rPr>
        <w:rFonts w:ascii="Arial" w:eastAsia="Arial" w:hAnsi="Arial" w:cs="Arial" w:hint="default"/>
        <w:color w:val="2C3A45"/>
        <w:w w:val="100"/>
        <w:sz w:val="24"/>
        <w:szCs w:val="24"/>
        <w:lang w:val="en-US" w:eastAsia="en-US" w:bidi="ar-SA"/>
      </w:rPr>
    </w:lvl>
    <w:lvl w:ilvl="2" w:tplc="A3E874D8">
      <w:start w:val="1"/>
      <w:numFmt w:val="lowerLetter"/>
      <w:lvlText w:val="%3."/>
      <w:lvlJc w:val="left"/>
      <w:pPr>
        <w:ind w:left="1540" w:hanging="360"/>
        <w:jc w:val="left"/>
      </w:pPr>
      <w:rPr>
        <w:rFonts w:ascii="Arial" w:eastAsia="Arial" w:hAnsi="Arial" w:cs="Arial" w:hint="default"/>
        <w:color w:val="2C3A45"/>
        <w:w w:val="100"/>
        <w:sz w:val="24"/>
        <w:szCs w:val="24"/>
        <w:lang w:val="en-US" w:eastAsia="en-US" w:bidi="ar-SA"/>
      </w:rPr>
    </w:lvl>
    <w:lvl w:ilvl="3" w:tplc="27681F28">
      <w:numFmt w:val="bullet"/>
      <w:lvlText w:val="•"/>
      <w:lvlJc w:val="left"/>
      <w:pPr>
        <w:ind w:left="2550" w:hanging="360"/>
      </w:pPr>
      <w:rPr>
        <w:rFonts w:hint="default"/>
        <w:lang w:val="en-US" w:eastAsia="en-US" w:bidi="ar-SA"/>
      </w:rPr>
    </w:lvl>
    <w:lvl w:ilvl="4" w:tplc="9EDAAED6">
      <w:numFmt w:val="bullet"/>
      <w:lvlText w:val="•"/>
      <w:lvlJc w:val="left"/>
      <w:pPr>
        <w:ind w:left="3560" w:hanging="360"/>
      </w:pPr>
      <w:rPr>
        <w:rFonts w:hint="default"/>
        <w:lang w:val="en-US" w:eastAsia="en-US" w:bidi="ar-SA"/>
      </w:rPr>
    </w:lvl>
    <w:lvl w:ilvl="5" w:tplc="CD6897E4">
      <w:numFmt w:val="bullet"/>
      <w:lvlText w:val="•"/>
      <w:lvlJc w:val="left"/>
      <w:pPr>
        <w:ind w:left="4570" w:hanging="360"/>
      </w:pPr>
      <w:rPr>
        <w:rFonts w:hint="default"/>
        <w:lang w:val="en-US" w:eastAsia="en-US" w:bidi="ar-SA"/>
      </w:rPr>
    </w:lvl>
    <w:lvl w:ilvl="6" w:tplc="98B03D58">
      <w:numFmt w:val="bullet"/>
      <w:lvlText w:val="•"/>
      <w:lvlJc w:val="left"/>
      <w:pPr>
        <w:ind w:left="5580" w:hanging="360"/>
      </w:pPr>
      <w:rPr>
        <w:rFonts w:hint="default"/>
        <w:lang w:val="en-US" w:eastAsia="en-US" w:bidi="ar-SA"/>
      </w:rPr>
    </w:lvl>
    <w:lvl w:ilvl="7" w:tplc="E4B8277A">
      <w:numFmt w:val="bullet"/>
      <w:lvlText w:val="•"/>
      <w:lvlJc w:val="left"/>
      <w:pPr>
        <w:ind w:left="6590" w:hanging="360"/>
      </w:pPr>
      <w:rPr>
        <w:rFonts w:hint="default"/>
        <w:lang w:val="en-US" w:eastAsia="en-US" w:bidi="ar-SA"/>
      </w:rPr>
    </w:lvl>
    <w:lvl w:ilvl="8" w:tplc="EF36AC4C">
      <w:numFmt w:val="bullet"/>
      <w:lvlText w:val="•"/>
      <w:lvlJc w:val="left"/>
      <w:pPr>
        <w:ind w:left="7600" w:hanging="360"/>
      </w:pPr>
      <w:rPr>
        <w:rFonts w:hint="default"/>
        <w:lang w:val="en-US" w:eastAsia="en-US" w:bidi="ar-SA"/>
      </w:rPr>
    </w:lvl>
  </w:abstractNum>
  <w:abstractNum w:abstractNumId="5" w15:restartNumberingAfterBreak="0">
    <w:nsid w:val="60DD4EA1"/>
    <w:multiLevelType w:val="hybridMultilevel"/>
    <w:tmpl w:val="9D94A4B6"/>
    <w:lvl w:ilvl="0" w:tplc="834A2F88">
      <w:start w:val="1"/>
      <w:numFmt w:val="decimal"/>
      <w:lvlText w:val="%1."/>
      <w:lvlJc w:val="left"/>
      <w:pPr>
        <w:ind w:left="820" w:hanging="360"/>
        <w:jc w:val="left"/>
      </w:pPr>
      <w:rPr>
        <w:rFonts w:ascii="Arial" w:eastAsia="Arial" w:hAnsi="Arial" w:cs="Arial" w:hint="default"/>
        <w:color w:val="2C3A45"/>
        <w:w w:val="100"/>
        <w:sz w:val="24"/>
        <w:szCs w:val="24"/>
        <w:lang w:val="en-US" w:eastAsia="en-US" w:bidi="ar-SA"/>
      </w:rPr>
    </w:lvl>
    <w:lvl w:ilvl="1" w:tplc="BC06B29E">
      <w:numFmt w:val="bullet"/>
      <w:lvlText w:val="•"/>
      <w:lvlJc w:val="left"/>
      <w:pPr>
        <w:ind w:left="1700" w:hanging="360"/>
      </w:pPr>
      <w:rPr>
        <w:rFonts w:hint="default"/>
        <w:lang w:val="en-US" w:eastAsia="en-US" w:bidi="ar-SA"/>
      </w:rPr>
    </w:lvl>
    <w:lvl w:ilvl="2" w:tplc="01461372">
      <w:numFmt w:val="bullet"/>
      <w:lvlText w:val="•"/>
      <w:lvlJc w:val="left"/>
      <w:pPr>
        <w:ind w:left="2580" w:hanging="360"/>
      </w:pPr>
      <w:rPr>
        <w:rFonts w:hint="default"/>
        <w:lang w:val="en-US" w:eastAsia="en-US" w:bidi="ar-SA"/>
      </w:rPr>
    </w:lvl>
    <w:lvl w:ilvl="3" w:tplc="80F8141C">
      <w:numFmt w:val="bullet"/>
      <w:lvlText w:val="•"/>
      <w:lvlJc w:val="left"/>
      <w:pPr>
        <w:ind w:left="3460" w:hanging="360"/>
      </w:pPr>
      <w:rPr>
        <w:rFonts w:hint="default"/>
        <w:lang w:val="en-US" w:eastAsia="en-US" w:bidi="ar-SA"/>
      </w:rPr>
    </w:lvl>
    <w:lvl w:ilvl="4" w:tplc="E940F3F6">
      <w:numFmt w:val="bullet"/>
      <w:lvlText w:val="•"/>
      <w:lvlJc w:val="left"/>
      <w:pPr>
        <w:ind w:left="4340" w:hanging="360"/>
      </w:pPr>
      <w:rPr>
        <w:rFonts w:hint="default"/>
        <w:lang w:val="en-US" w:eastAsia="en-US" w:bidi="ar-SA"/>
      </w:rPr>
    </w:lvl>
    <w:lvl w:ilvl="5" w:tplc="C812E7BA">
      <w:numFmt w:val="bullet"/>
      <w:lvlText w:val="•"/>
      <w:lvlJc w:val="left"/>
      <w:pPr>
        <w:ind w:left="5220" w:hanging="360"/>
      </w:pPr>
      <w:rPr>
        <w:rFonts w:hint="default"/>
        <w:lang w:val="en-US" w:eastAsia="en-US" w:bidi="ar-SA"/>
      </w:rPr>
    </w:lvl>
    <w:lvl w:ilvl="6" w:tplc="6D48D2C6">
      <w:numFmt w:val="bullet"/>
      <w:lvlText w:val="•"/>
      <w:lvlJc w:val="left"/>
      <w:pPr>
        <w:ind w:left="6100" w:hanging="360"/>
      </w:pPr>
      <w:rPr>
        <w:rFonts w:hint="default"/>
        <w:lang w:val="en-US" w:eastAsia="en-US" w:bidi="ar-SA"/>
      </w:rPr>
    </w:lvl>
    <w:lvl w:ilvl="7" w:tplc="97F8A724">
      <w:numFmt w:val="bullet"/>
      <w:lvlText w:val="•"/>
      <w:lvlJc w:val="left"/>
      <w:pPr>
        <w:ind w:left="6980" w:hanging="360"/>
      </w:pPr>
      <w:rPr>
        <w:rFonts w:hint="default"/>
        <w:lang w:val="en-US" w:eastAsia="en-US" w:bidi="ar-SA"/>
      </w:rPr>
    </w:lvl>
    <w:lvl w:ilvl="8" w:tplc="B60C5B74">
      <w:numFmt w:val="bullet"/>
      <w:lvlText w:val="•"/>
      <w:lvlJc w:val="left"/>
      <w:pPr>
        <w:ind w:left="7860" w:hanging="360"/>
      </w:pPr>
      <w:rPr>
        <w:rFonts w:hint="default"/>
        <w:lang w:val="en-US" w:eastAsia="en-US" w:bidi="ar-SA"/>
      </w:rPr>
    </w:lvl>
  </w:abstractNum>
  <w:abstractNum w:abstractNumId="6" w15:restartNumberingAfterBreak="0">
    <w:nsid w:val="63574C9F"/>
    <w:multiLevelType w:val="hybridMultilevel"/>
    <w:tmpl w:val="45261144"/>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num w:numId="1" w16cid:durableId="1963537566">
    <w:abstractNumId w:val="5"/>
  </w:num>
  <w:num w:numId="2" w16cid:durableId="1595743367">
    <w:abstractNumId w:val="0"/>
  </w:num>
  <w:num w:numId="3" w16cid:durableId="837188317">
    <w:abstractNumId w:val="4"/>
  </w:num>
  <w:num w:numId="4" w16cid:durableId="1608122637">
    <w:abstractNumId w:val="1"/>
  </w:num>
  <w:num w:numId="5" w16cid:durableId="195050765">
    <w:abstractNumId w:val="3"/>
  </w:num>
  <w:num w:numId="6" w16cid:durableId="1880970204">
    <w:abstractNumId w:val="6"/>
  </w:num>
  <w:num w:numId="7" w16cid:durableId="5135693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C7B"/>
    <w:rsid w:val="002E194F"/>
    <w:rsid w:val="002F14D4"/>
    <w:rsid w:val="00442C7B"/>
    <w:rsid w:val="004A4E4B"/>
    <w:rsid w:val="00562E70"/>
    <w:rsid w:val="009437B6"/>
    <w:rsid w:val="00C533DE"/>
    <w:rsid w:val="00E379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792"/>
  <w15:docId w15:val="{7D12F663-7A1D-4F8D-A8F0-1A0A62F24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24"/>
      <w:szCs w:val="24"/>
    </w:rPr>
  </w:style>
  <w:style w:type="paragraph" w:styleId="Heading2">
    <w:name w:val="heading 2"/>
    <w:basedOn w:val="Normal"/>
    <w:next w:val="Normal"/>
    <w:link w:val="Heading2Char"/>
    <w:uiPriority w:val="9"/>
    <w:semiHidden/>
    <w:unhideWhenUsed/>
    <w:qFormat/>
    <w:rsid w:val="004A4E4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3795F"/>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54"/>
      <w:ind w:left="820" w:hanging="360"/>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C533D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562E70"/>
    <w:rPr>
      <w:b/>
      <w:bCs/>
    </w:rPr>
  </w:style>
  <w:style w:type="character" w:styleId="Hyperlink">
    <w:name w:val="Hyperlink"/>
    <w:basedOn w:val="DefaultParagraphFont"/>
    <w:uiPriority w:val="99"/>
    <w:semiHidden/>
    <w:unhideWhenUsed/>
    <w:rsid w:val="009437B6"/>
    <w:rPr>
      <w:color w:val="0000FF"/>
      <w:u w:val="single"/>
    </w:rPr>
  </w:style>
  <w:style w:type="character" w:styleId="FollowedHyperlink">
    <w:name w:val="FollowedHyperlink"/>
    <w:basedOn w:val="DefaultParagraphFont"/>
    <w:uiPriority w:val="99"/>
    <w:semiHidden/>
    <w:unhideWhenUsed/>
    <w:rsid w:val="009437B6"/>
    <w:rPr>
      <w:color w:val="800080" w:themeColor="followedHyperlink"/>
      <w:u w:val="single"/>
    </w:rPr>
  </w:style>
  <w:style w:type="character" w:customStyle="1" w:styleId="Heading3Char">
    <w:name w:val="Heading 3 Char"/>
    <w:basedOn w:val="DefaultParagraphFont"/>
    <w:link w:val="Heading3"/>
    <w:uiPriority w:val="9"/>
    <w:semiHidden/>
    <w:rsid w:val="00E3795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4A4E4B"/>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974995">
      <w:bodyDiv w:val="1"/>
      <w:marLeft w:val="0"/>
      <w:marRight w:val="0"/>
      <w:marTop w:val="0"/>
      <w:marBottom w:val="0"/>
      <w:divBdr>
        <w:top w:val="none" w:sz="0" w:space="0" w:color="auto"/>
        <w:left w:val="none" w:sz="0" w:space="0" w:color="auto"/>
        <w:bottom w:val="none" w:sz="0" w:space="0" w:color="auto"/>
        <w:right w:val="none" w:sz="0" w:space="0" w:color="auto"/>
      </w:divBdr>
    </w:div>
    <w:div w:id="1520047608">
      <w:bodyDiv w:val="1"/>
      <w:marLeft w:val="0"/>
      <w:marRight w:val="0"/>
      <w:marTop w:val="0"/>
      <w:marBottom w:val="0"/>
      <w:divBdr>
        <w:top w:val="none" w:sz="0" w:space="0" w:color="auto"/>
        <w:left w:val="none" w:sz="0" w:space="0" w:color="auto"/>
        <w:bottom w:val="none" w:sz="0" w:space="0" w:color="auto"/>
        <w:right w:val="none" w:sz="0" w:space="0" w:color="auto"/>
      </w:divBdr>
    </w:div>
    <w:div w:id="1629433887">
      <w:bodyDiv w:val="1"/>
      <w:marLeft w:val="0"/>
      <w:marRight w:val="0"/>
      <w:marTop w:val="0"/>
      <w:marBottom w:val="0"/>
      <w:divBdr>
        <w:top w:val="none" w:sz="0" w:space="0" w:color="auto"/>
        <w:left w:val="none" w:sz="0" w:space="0" w:color="auto"/>
        <w:bottom w:val="none" w:sz="0" w:space="0" w:color="auto"/>
        <w:right w:val="none" w:sz="0" w:space="0" w:color="auto"/>
      </w:divBdr>
    </w:div>
    <w:div w:id="1633709955">
      <w:bodyDiv w:val="1"/>
      <w:marLeft w:val="0"/>
      <w:marRight w:val="0"/>
      <w:marTop w:val="0"/>
      <w:marBottom w:val="0"/>
      <w:divBdr>
        <w:top w:val="none" w:sz="0" w:space="0" w:color="auto"/>
        <w:left w:val="none" w:sz="0" w:space="0" w:color="auto"/>
        <w:bottom w:val="none" w:sz="0" w:space="0" w:color="auto"/>
        <w:right w:val="none" w:sz="0" w:space="0" w:color="auto"/>
      </w:divBdr>
    </w:div>
    <w:div w:id="1773549481">
      <w:bodyDiv w:val="1"/>
      <w:marLeft w:val="0"/>
      <w:marRight w:val="0"/>
      <w:marTop w:val="0"/>
      <w:marBottom w:val="0"/>
      <w:divBdr>
        <w:top w:val="none" w:sz="0" w:space="0" w:color="auto"/>
        <w:left w:val="none" w:sz="0" w:space="0" w:color="auto"/>
        <w:bottom w:val="none" w:sz="0" w:space="0" w:color="auto"/>
        <w:right w:val="none" w:sz="0" w:space="0" w:color="auto"/>
      </w:divBdr>
    </w:div>
    <w:div w:id="2008971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hyperlink" Target="https://www.sciencedirect.com/science/article/pii/S0377221716000412" TargetMode="External"/><Relationship Id="rId5" Type="http://schemas.openxmlformats.org/officeDocument/2006/relationships/hyperlink" Target="https://archive.ics.uci.edu/ml/datasets/Taiwanese+Bankruptcy+Prediction"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Pages>
  <Words>1332</Words>
  <Characters>7594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Tashveen Kaur Anand</dc:creator>
  <cp:lastModifiedBy>Tashveen Kaur</cp:lastModifiedBy>
  <cp:revision>4</cp:revision>
  <cp:lastPrinted>2023-03-21T03:49:00Z</cp:lastPrinted>
  <dcterms:created xsi:type="dcterms:W3CDTF">2023-03-21T03:51:00Z</dcterms:created>
  <dcterms:modified xsi:type="dcterms:W3CDTF">2023-03-21T22:43:00Z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2019-05-02T00:00:00Z</vt:filetime>
  </property>
  <property fmtid="{D5CDD505-2E9C-101B-9397-08002B2CF9AE}" pid="3" name="LastSaved">
    <vt:filetime>2023-03-21T00:00:00Z</vt:filetime>
  </property>
  <property fmtid="{D5CDD505-2E9C-101B-9397-08002B2CF9AE}" pid="4" name="GrammarlyDocumentId">
    <vt:lpwstr>a3319e71cc8bd3a3013e9593c56610ec4127d6d961c69f75fd0a8dce26c695d7</vt:lpwstr>
  </property>
  <property fmtid="{D5CDD505-2E9C-101B-9397-08002B2CF9AE}" pid="5" name="MSIP_Label_a73fd474-4f3c-44ed-88fb-5cc4bd2471bf_Enabled">
    <vt:lpwstr>true</vt:lpwstr>
  </property>
  <property fmtid="{D5CDD505-2E9C-101B-9397-08002B2CF9AE}" pid="6" name="MSIP_Label_a73fd474-4f3c-44ed-88fb-5cc4bd2471bf_SetDate">
    <vt:lpwstr>2023-03-21T03:49:49Z</vt:lpwstr>
  </property>
  <property fmtid="{D5CDD505-2E9C-101B-9397-08002B2CF9AE}" pid="7" name="MSIP_Label_a73fd474-4f3c-44ed-88fb-5cc4bd2471bf_Method">
    <vt:lpwstr>Standard</vt:lpwstr>
  </property>
  <property fmtid="{D5CDD505-2E9C-101B-9397-08002B2CF9AE}" pid="8" name="MSIP_Label_a73fd474-4f3c-44ed-88fb-5cc4bd2471bf_Name">
    <vt:lpwstr>defa4170-0d19-0005-0004-bc88714345d2</vt:lpwstr>
  </property>
  <property fmtid="{D5CDD505-2E9C-101B-9397-08002B2CF9AE}" pid="9" name="MSIP_Label_a73fd474-4f3c-44ed-88fb-5cc4bd2471bf_SiteId">
    <vt:lpwstr>8d1a69ec-03b5-4345-ae21-dad112f5fb4f</vt:lpwstr>
  </property>
  <property fmtid="{D5CDD505-2E9C-101B-9397-08002B2CF9AE}" pid="10" name="MSIP_Label_a73fd474-4f3c-44ed-88fb-5cc4bd2471bf_ActionId">
    <vt:lpwstr>8bca9ee3-f8d3-4998-9e72-ee412faecc49</vt:lpwstr>
  </property>
  <property fmtid="{D5CDD505-2E9C-101B-9397-08002B2CF9AE}" pid="11" name="MSIP_Label_a73fd474-4f3c-44ed-88fb-5cc4bd2471bf_ContentBits">
    <vt:lpwstr>0</vt:lpwstr>
  </property>
</Properties>
</file>