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8A8" w:rsidRPr="00462FAA" w:rsidRDefault="00CA5718">
      <w:pPr>
        <w:rPr>
          <w:rFonts w:ascii="Arial Black" w:hAnsi="Arial Black"/>
        </w:rPr>
      </w:pPr>
      <w:r w:rsidRPr="00462FAA">
        <w:rPr>
          <w:rFonts w:ascii="Arial Black" w:hAnsi="Arial Black"/>
        </w:rPr>
        <w:t>Anforderungen an nativen Android Dienst</w:t>
      </w:r>
    </w:p>
    <w:p w:rsidR="00462FAA" w:rsidRPr="00462FAA" w:rsidRDefault="00CA5718" w:rsidP="00462FAA">
      <w:pPr>
        <w:rPr>
          <w:rFonts w:ascii="Arial" w:hAnsi="Arial" w:cs="Arial"/>
          <w:sz w:val="18"/>
        </w:rPr>
      </w:pPr>
      <w:r w:rsidRPr="00462FAA">
        <w:rPr>
          <w:rFonts w:ascii="Arial" w:hAnsi="Arial" w:cs="Arial"/>
          <w:sz w:val="18"/>
        </w:rPr>
        <w:t>Die nachfolgende Tabelle stellt eine Auflistung von Anforderungen an die Lösung mitte</w:t>
      </w:r>
      <w:r w:rsidR="00462FAA">
        <w:rPr>
          <w:rFonts w:ascii="Arial" w:hAnsi="Arial" w:cs="Arial"/>
          <w:sz w:val="18"/>
        </w:rPr>
        <w:t xml:space="preserve">ls nativem Android Dienst dar. </w:t>
      </w:r>
    </w:p>
    <w:tbl>
      <w:tblPr>
        <w:tblStyle w:val="Tabellenraster"/>
        <w:tblW w:w="0" w:type="auto"/>
        <w:tblLayout w:type="fixed"/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4236"/>
        <w:gridCol w:w="4236"/>
        <w:gridCol w:w="1275"/>
      </w:tblGrid>
      <w:tr w:rsidR="00F24121" w:rsidRPr="00462FAA" w:rsidTr="00B641BD">
        <w:trPr>
          <w:trHeight w:val="373"/>
          <w:tblHeader/>
        </w:trPr>
        <w:tc>
          <w:tcPr>
            <w:tcW w:w="4236" w:type="dxa"/>
            <w:shd w:val="clear" w:color="auto" w:fill="D9D9D9" w:themeFill="background1" w:themeFillShade="D9"/>
            <w:vAlign w:val="center"/>
          </w:tcPr>
          <w:p w:rsidR="00F24121" w:rsidRPr="00462FAA" w:rsidRDefault="00F24121" w:rsidP="00462FA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462FAA">
              <w:rPr>
                <w:rFonts w:ascii="Arial" w:hAnsi="Arial" w:cs="Arial"/>
                <w:b/>
                <w:sz w:val="18"/>
              </w:rPr>
              <w:t>Kriterium</w:t>
            </w:r>
          </w:p>
        </w:tc>
        <w:tc>
          <w:tcPr>
            <w:tcW w:w="4236" w:type="dxa"/>
            <w:shd w:val="clear" w:color="auto" w:fill="D9D9D9" w:themeFill="background1" w:themeFillShade="D9"/>
            <w:vAlign w:val="center"/>
          </w:tcPr>
          <w:p w:rsidR="00F24121" w:rsidRPr="00462FAA" w:rsidRDefault="00F24121" w:rsidP="00462FA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462FAA">
              <w:rPr>
                <w:rFonts w:ascii="Arial" w:hAnsi="Arial" w:cs="Arial"/>
                <w:b/>
                <w:sz w:val="18"/>
              </w:rPr>
              <w:t>Beschreibung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F24121" w:rsidRPr="00462FAA" w:rsidRDefault="00F24121" w:rsidP="00462FA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462FAA">
              <w:rPr>
                <w:rFonts w:ascii="Arial" w:hAnsi="Arial" w:cs="Arial"/>
                <w:b/>
                <w:sz w:val="18"/>
              </w:rPr>
              <w:t>Bewertung</w:t>
            </w:r>
          </w:p>
        </w:tc>
      </w:tr>
      <w:tr w:rsidR="00F24121" w:rsidRPr="00462FAA" w:rsidTr="00B641BD">
        <w:trPr>
          <w:trHeight w:val="340"/>
        </w:trPr>
        <w:tc>
          <w:tcPr>
            <w:tcW w:w="4236" w:type="dxa"/>
            <w:shd w:val="clear" w:color="auto" w:fill="F2F2F2" w:themeFill="background1" w:themeFillShade="F2"/>
            <w:vAlign w:val="center"/>
          </w:tcPr>
          <w:p w:rsidR="00F24121" w:rsidRPr="00462FAA" w:rsidRDefault="00F24121" w:rsidP="00462FAA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462FAA">
              <w:rPr>
                <w:rFonts w:ascii="Arial" w:hAnsi="Arial" w:cs="Arial"/>
                <w:b/>
                <w:sz w:val="18"/>
                <w:szCs w:val="18"/>
              </w:rPr>
              <w:t>1. Allgemeine technische Anforderungen</w:t>
            </w:r>
          </w:p>
        </w:tc>
        <w:tc>
          <w:tcPr>
            <w:tcW w:w="4236" w:type="dxa"/>
            <w:shd w:val="clear" w:color="auto" w:fill="F2F2F2" w:themeFill="background1" w:themeFillShade="F2"/>
            <w:vAlign w:val="center"/>
          </w:tcPr>
          <w:p w:rsidR="00F24121" w:rsidRPr="00462FAA" w:rsidRDefault="00F24121" w:rsidP="00462FAA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462FAA">
              <w:rPr>
                <w:rFonts w:ascii="Arial" w:hAnsi="Arial" w:cs="Arial"/>
                <w:b/>
                <w:sz w:val="18"/>
                <w:szCs w:val="18"/>
              </w:rPr>
              <w:t>Der native Dienst…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F24121" w:rsidRPr="00462FAA" w:rsidRDefault="00F24121" w:rsidP="00462FAA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462FAA">
              <w:rPr>
                <w:rFonts w:ascii="Arial" w:hAnsi="Arial" w:cs="Arial"/>
                <w:b/>
                <w:sz w:val="18"/>
                <w:szCs w:val="18"/>
              </w:rPr>
              <w:t>erfüllt?</w:t>
            </w:r>
          </w:p>
        </w:tc>
      </w:tr>
      <w:tr w:rsidR="003D69C7" w:rsidRPr="00462FAA" w:rsidTr="00B641BD">
        <w:trPr>
          <w:trHeight w:val="340"/>
        </w:trPr>
        <w:tc>
          <w:tcPr>
            <w:tcW w:w="4236" w:type="dxa"/>
          </w:tcPr>
          <w:p w:rsidR="003D69C7" w:rsidRPr="00462FAA" w:rsidRDefault="003D69C7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462FAA">
              <w:rPr>
                <w:rFonts w:ascii="Arial" w:hAnsi="Arial" w:cs="Arial"/>
                <w:sz w:val="18"/>
                <w:szCs w:val="18"/>
              </w:rPr>
              <w:t>1.1 Plattform: Android</w:t>
            </w:r>
          </w:p>
        </w:tc>
        <w:tc>
          <w:tcPr>
            <w:tcW w:w="4236" w:type="dxa"/>
          </w:tcPr>
          <w:p w:rsidR="003D69C7" w:rsidRPr="00462FAA" w:rsidRDefault="003D69C7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462FAA">
              <w:rPr>
                <w:rFonts w:ascii="Arial" w:hAnsi="Arial" w:cs="Arial"/>
                <w:sz w:val="18"/>
                <w:szCs w:val="18"/>
              </w:rPr>
              <w:t xml:space="preserve">…soll für die Android Plattform entwickelt werden. Als Mindestversion soll Android 5.0 (API Level 21) vorausgesetzt werden. Eine Unterstützung anderer Betriebssysteme ist nicht vorgesehen. </w:t>
            </w:r>
          </w:p>
        </w:tc>
        <w:tc>
          <w:tcPr>
            <w:tcW w:w="1275" w:type="dxa"/>
          </w:tcPr>
          <w:p w:rsidR="003D69C7" w:rsidRPr="00462FAA" w:rsidRDefault="003D69C7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69C7" w:rsidRPr="00462FAA" w:rsidTr="00B641BD">
        <w:trPr>
          <w:trHeight w:val="340"/>
        </w:trPr>
        <w:tc>
          <w:tcPr>
            <w:tcW w:w="4236" w:type="dxa"/>
          </w:tcPr>
          <w:p w:rsidR="003D69C7" w:rsidRPr="00462FAA" w:rsidRDefault="003D69C7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462FAA">
              <w:rPr>
                <w:rFonts w:ascii="Arial" w:hAnsi="Arial" w:cs="Arial"/>
                <w:sz w:val="18"/>
                <w:szCs w:val="18"/>
              </w:rPr>
              <w:t>1.2 Hintergrunddienst</w:t>
            </w:r>
          </w:p>
        </w:tc>
        <w:tc>
          <w:tcPr>
            <w:tcW w:w="4236" w:type="dxa"/>
          </w:tcPr>
          <w:p w:rsidR="003D69C7" w:rsidRPr="00462FAA" w:rsidRDefault="003D69C7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462FAA">
              <w:rPr>
                <w:rFonts w:ascii="Arial" w:hAnsi="Arial" w:cs="Arial"/>
                <w:sz w:val="18"/>
                <w:szCs w:val="18"/>
              </w:rPr>
              <w:t xml:space="preserve">…soll als Hintergrunddienst ohne GUI implementiert werden. </w:t>
            </w:r>
          </w:p>
        </w:tc>
        <w:tc>
          <w:tcPr>
            <w:tcW w:w="1275" w:type="dxa"/>
          </w:tcPr>
          <w:p w:rsidR="003D69C7" w:rsidRPr="00462FAA" w:rsidRDefault="003D69C7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4121" w:rsidRPr="00462FAA" w:rsidTr="00B641BD">
        <w:trPr>
          <w:trHeight w:val="340"/>
        </w:trPr>
        <w:tc>
          <w:tcPr>
            <w:tcW w:w="4236" w:type="dxa"/>
          </w:tcPr>
          <w:p w:rsidR="00F24121" w:rsidRPr="00462FAA" w:rsidRDefault="003D69C7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462FAA">
              <w:rPr>
                <w:rFonts w:ascii="Arial" w:hAnsi="Arial" w:cs="Arial"/>
                <w:sz w:val="18"/>
                <w:szCs w:val="18"/>
              </w:rPr>
              <w:t>1.3 Automatischer Start</w:t>
            </w:r>
          </w:p>
        </w:tc>
        <w:tc>
          <w:tcPr>
            <w:tcW w:w="4236" w:type="dxa"/>
          </w:tcPr>
          <w:p w:rsidR="00F24121" w:rsidRPr="00462FAA" w:rsidRDefault="003D69C7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462FAA">
              <w:rPr>
                <w:rFonts w:ascii="Arial" w:hAnsi="Arial" w:cs="Arial"/>
                <w:sz w:val="18"/>
                <w:szCs w:val="18"/>
              </w:rPr>
              <w:t>...soll automatisch nach Systemstart gestartet werden. Wird der Dienst aus irgendeinem Grund beendet, soll er automatisch neustarten.</w:t>
            </w:r>
          </w:p>
        </w:tc>
        <w:tc>
          <w:tcPr>
            <w:tcW w:w="1275" w:type="dxa"/>
          </w:tcPr>
          <w:p w:rsidR="00F24121" w:rsidRPr="00462FAA" w:rsidRDefault="00F24121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4121" w:rsidRPr="00462FAA" w:rsidTr="00B641BD">
        <w:trPr>
          <w:trHeight w:val="340"/>
        </w:trPr>
        <w:tc>
          <w:tcPr>
            <w:tcW w:w="4236" w:type="dxa"/>
          </w:tcPr>
          <w:p w:rsidR="003D69C7" w:rsidRPr="00462FAA" w:rsidRDefault="003D69C7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462FAA">
              <w:rPr>
                <w:rFonts w:ascii="Arial" w:hAnsi="Arial" w:cs="Arial"/>
                <w:sz w:val="18"/>
                <w:szCs w:val="18"/>
              </w:rPr>
              <w:t>1.</w:t>
            </w:r>
            <w:r w:rsidR="003A4C75" w:rsidRPr="00462FAA">
              <w:rPr>
                <w:rFonts w:ascii="Arial" w:hAnsi="Arial" w:cs="Arial"/>
                <w:sz w:val="18"/>
                <w:szCs w:val="18"/>
              </w:rPr>
              <w:t>4</w:t>
            </w:r>
            <w:r w:rsidRPr="00462FA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A4C75" w:rsidRPr="00462FAA">
              <w:rPr>
                <w:rFonts w:ascii="Arial" w:hAnsi="Arial" w:cs="Arial"/>
                <w:sz w:val="18"/>
                <w:szCs w:val="18"/>
              </w:rPr>
              <w:t>Webserver</w:t>
            </w:r>
          </w:p>
        </w:tc>
        <w:tc>
          <w:tcPr>
            <w:tcW w:w="4236" w:type="dxa"/>
          </w:tcPr>
          <w:p w:rsidR="00F24121" w:rsidRPr="00462FAA" w:rsidRDefault="003A4C75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462FAA">
              <w:rPr>
                <w:rFonts w:ascii="Arial" w:hAnsi="Arial" w:cs="Arial"/>
                <w:sz w:val="18"/>
                <w:szCs w:val="18"/>
              </w:rPr>
              <w:t xml:space="preserve">...soll einen Webserver bereitstellen, welcher </w:t>
            </w:r>
            <w:r w:rsidR="00462FAA" w:rsidRPr="00462FAA">
              <w:rPr>
                <w:rFonts w:ascii="Arial" w:hAnsi="Arial" w:cs="Arial"/>
                <w:sz w:val="18"/>
                <w:szCs w:val="18"/>
              </w:rPr>
              <w:t xml:space="preserve">aus Sicht der Client-Webanwendung </w:t>
            </w:r>
            <w:r w:rsidRPr="00462FAA">
              <w:rPr>
                <w:rFonts w:ascii="Arial" w:hAnsi="Arial" w:cs="Arial"/>
                <w:sz w:val="18"/>
                <w:szCs w:val="18"/>
              </w:rPr>
              <w:t xml:space="preserve">das „Caching“ der statischen Ressourcen und die Bereitstellung des Datamodels übernimmt. </w:t>
            </w:r>
          </w:p>
        </w:tc>
        <w:tc>
          <w:tcPr>
            <w:tcW w:w="1275" w:type="dxa"/>
          </w:tcPr>
          <w:p w:rsidR="00F24121" w:rsidRPr="00462FAA" w:rsidRDefault="00F24121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2FAA" w:rsidRPr="00462FAA" w:rsidTr="00B641BD">
        <w:trPr>
          <w:trHeight w:val="340"/>
        </w:trPr>
        <w:tc>
          <w:tcPr>
            <w:tcW w:w="4236" w:type="dxa"/>
          </w:tcPr>
          <w:p w:rsidR="00462FAA" w:rsidRPr="00462FAA" w:rsidRDefault="00462FAA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462FAA">
              <w:rPr>
                <w:rFonts w:ascii="Arial" w:hAnsi="Arial" w:cs="Arial"/>
                <w:sz w:val="18"/>
                <w:szCs w:val="18"/>
              </w:rPr>
              <w:t>1.5 Push-</w:t>
            </w:r>
            <w:proofErr w:type="spellStart"/>
            <w:r w:rsidRPr="00462FAA">
              <w:rPr>
                <w:rFonts w:ascii="Arial" w:hAnsi="Arial" w:cs="Arial"/>
                <w:sz w:val="18"/>
                <w:szCs w:val="18"/>
              </w:rPr>
              <w:t>Notification</w:t>
            </w:r>
            <w:proofErr w:type="spellEnd"/>
          </w:p>
        </w:tc>
        <w:tc>
          <w:tcPr>
            <w:tcW w:w="4236" w:type="dxa"/>
          </w:tcPr>
          <w:p w:rsidR="00462FAA" w:rsidRPr="00462FAA" w:rsidRDefault="00462FAA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462FAA">
              <w:rPr>
                <w:rFonts w:ascii="Arial" w:hAnsi="Arial" w:cs="Arial"/>
                <w:sz w:val="18"/>
                <w:szCs w:val="18"/>
              </w:rPr>
              <w:t xml:space="preserve">…soll Benachrichtigungen über die native </w:t>
            </w:r>
            <w:proofErr w:type="spellStart"/>
            <w:r w:rsidRPr="00462FAA">
              <w:rPr>
                <w:rFonts w:ascii="Arial" w:hAnsi="Arial" w:cs="Arial"/>
                <w:sz w:val="18"/>
                <w:szCs w:val="18"/>
              </w:rPr>
              <w:t>Notification</w:t>
            </w:r>
            <w:proofErr w:type="spellEnd"/>
            <w:r w:rsidRPr="00462FAA">
              <w:rPr>
                <w:rFonts w:ascii="Arial" w:hAnsi="Arial" w:cs="Arial"/>
                <w:sz w:val="18"/>
                <w:szCs w:val="18"/>
              </w:rPr>
              <w:t>-API auf dem mobilen Endgerät anzeigen.</w:t>
            </w:r>
          </w:p>
        </w:tc>
        <w:tc>
          <w:tcPr>
            <w:tcW w:w="1275" w:type="dxa"/>
          </w:tcPr>
          <w:p w:rsidR="00462FAA" w:rsidRPr="00462FAA" w:rsidRDefault="00462FAA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4121" w:rsidRPr="00462FAA" w:rsidTr="00B641BD">
        <w:trPr>
          <w:trHeight w:val="340"/>
        </w:trPr>
        <w:tc>
          <w:tcPr>
            <w:tcW w:w="4236" w:type="dxa"/>
            <w:shd w:val="clear" w:color="auto" w:fill="F2F2F2" w:themeFill="background1" w:themeFillShade="F2"/>
            <w:vAlign w:val="center"/>
          </w:tcPr>
          <w:p w:rsidR="00F24121" w:rsidRPr="00462FAA" w:rsidRDefault="00F24121" w:rsidP="00462FAA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462FAA">
              <w:rPr>
                <w:rFonts w:ascii="Arial" w:hAnsi="Arial" w:cs="Arial"/>
                <w:b/>
                <w:sz w:val="18"/>
                <w:szCs w:val="18"/>
              </w:rPr>
              <w:t xml:space="preserve">2. Anforderungen </w:t>
            </w:r>
            <w:r w:rsidR="003A4C75" w:rsidRPr="00462FAA">
              <w:rPr>
                <w:rFonts w:ascii="Arial" w:hAnsi="Arial" w:cs="Arial"/>
                <w:b/>
                <w:sz w:val="18"/>
                <w:szCs w:val="18"/>
              </w:rPr>
              <w:t>Webserver-Komponente</w:t>
            </w:r>
          </w:p>
        </w:tc>
        <w:tc>
          <w:tcPr>
            <w:tcW w:w="4236" w:type="dxa"/>
            <w:shd w:val="clear" w:color="auto" w:fill="F2F2F2" w:themeFill="background1" w:themeFillShade="F2"/>
            <w:vAlign w:val="center"/>
          </w:tcPr>
          <w:p w:rsidR="00F24121" w:rsidRPr="00462FAA" w:rsidRDefault="00F24121" w:rsidP="00462FAA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F24121" w:rsidRPr="00462FAA" w:rsidRDefault="00F24121" w:rsidP="00462FAA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24121" w:rsidRPr="00462FAA" w:rsidTr="00B641BD">
        <w:trPr>
          <w:trHeight w:val="340"/>
        </w:trPr>
        <w:tc>
          <w:tcPr>
            <w:tcW w:w="4236" w:type="dxa"/>
          </w:tcPr>
          <w:p w:rsidR="00F24121" w:rsidRPr="00462FAA" w:rsidRDefault="003D69C7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462FAA">
              <w:rPr>
                <w:rFonts w:ascii="Arial" w:hAnsi="Arial" w:cs="Arial"/>
                <w:sz w:val="18"/>
                <w:szCs w:val="18"/>
              </w:rPr>
              <w:t>2.1 Bereitstellung statischer Ressourcen</w:t>
            </w:r>
          </w:p>
        </w:tc>
        <w:tc>
          <w:tcPr>
            <w:tcW w:w="4236" w:type="dxa"/>
          </w:tcPr>
          <w:p w:rsidR="00F24121" w:rsidRPr="00462FAA" w:rsidRDefault="003D69C7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462FAA">
              <w:rPr>
                <w:rFonts w:ascii="Arial" w:hAnsi="Arial" w:cs="Arial"/>
                <w:sz w:val="18"/>
                <w:szCs w:val="18"/>
              </w:rPr>
              <w:t xml:space="preserve">…soll einen HTTP Server bereitstellen, welcher die statischen Ressourcen für die Webanwendung auf dem Client </w:t>
            </w:r>
            <w:r w:rsidRPr="00462FAA">
              <w:rPr>
                <w:rFonts w:ascii="Arial" w:hAnsi="Arial" w:cs="Arial"/>
                <w:sz w:val="18"/>
                <w:szCs w:val="18"/>
              </w:rPr>
              <w:t xml:space="preserve">lokal </w:t>
            </w:r>
            <w:r w:rsidRPr="00462FAA">
              <w:rPr>
                <w:rFonts w:ascii="Arial" w:hAnsi="Arial" w:cs="Arial"/>
                <w:sz w:val="18"/>
                <w:szCs w:val="18"/>
              </w:rPr>
              <w:t>bereitstellt.</w:t>
            </w:r>
            <w:r w:rsidR="005F3FDF" w:rsidRPr="00462FAA">
              <w:rPr>
                <w:rFonts w:ascii="Arial" w:hAnsi="Arial" w:cs="Arial"/>
                <w:sz w:val="18"/>
                <w:szCs w:val="18"/>
              </w:rPr>
              <w:t xml:space="preserve"> Die Ressourcen bezieht die Dienstanwendung von einem entfernten Webserver und hält diese für die Webanwendung vor (Caching).</w:t>
            </w:r>
            <w:r w:rsidR="003A4C75" w:rsidRPr="00462FAA">
              <w:rPr>
                <w:rFonts w:ascii="Arial" w:hAnsi="Arial" w:cs="Arial"/>
                <w:sz w:val="18"/>
                <w:szCs w:val="18"/>
              </w:rPr>
              <w:t xml:space="preserve"> Dadurch soll eine Offlinefähigkeit der Webanwendung sichergestellt werden.</w:t>
            </w:r>
            <w:r w:rsidR="005F3FDF" w:rsidRPr="00462FAA">
              <w:rPr>
                <w:rFonts w:ascii="Arial" w:hAnsi="Arial" w:cs="Arial"/>
                <w:sz w:val="18"/>
                <w:szCs w:val="18"/>
              </w:rPr>
              <w:t xml:space="preserve"> Für die Kommunikation mit der Webanwendung </w:t>
            </w:r>
            <w:r w:rsidRPr="00462FAA">
              <w:rPr>
                <w:rFonts w:ascii="Arial" w:hAnsi="Arial" w:cs="Arial"/>
                <w:sz w:val="18"/>
                <w:szCs w:val="18"/>
              </w:rPr>
              <w:t>soll die HTTP-Methode GET angewendet werden.</w:t>
            </w:r>
          </w:p>
        </w:tc>
        <w:tc>
          <w:tcPr>
            <w:tcW w:w="1275" w:type="dxa"/>
          </w:tcPr>
          <w:p w:rsidR="00F24121" w:rsidRPr="00462FAA" w:rsidRDefault="00F24121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69C7" w:rsidRPr="00462FAA" w:rsidTr="00B641BD">
        <w:trPr>
          <w:trHeight w:val="340"/>
        </w:trPr>
        <w:tc>
          <w:tcPr>
            <w:tcW w:w="4236" w:type="dxa"/>
          </w:tcPr>
          <w:p w:rsidR="003D69C7" w:rsidRPr="00462FAA" w:rsidRDefault="003D69C7" w:rsidP="00462FAA">
            <w:pPr>
              <w:spacing w:line="276" w:lineRule="auto"/>
              <w:ind w:left="312" w:hanging="312"/>
              <w:rPr>
                <w:rFonts w:ascii="Arial" w:hAnsi="Arial" w:cs="Arial"/>
                <w:sz w:val="18"/>
                <w:szCs w:val="18"/>
              </w:rPr>
            </w:pPr>
            <w:r w:rsidRPr="00462FAA">
              <w:rPr>
                <w:rFonts w:ascii="Arial" w:hAnsi="Arial" w:cs="Arial"/>
                <w:sz w:val="18"/>
                <w:szCs w:val="18"/>
              </w:rPr>
              <w:t>2.2 se</w:t>
            </w:r>
            <w:r w:rsidR="00462FAA" w:rsidRPr="00462FAA">
              <w:rPr>
                <w:rFonts w:ascii="Arial" w:hAnsi="Arial" w:cs="Arial"/>
                <w:sz w:val="18"/>
                <w:szCs w:val="18"/>
              </w:rPr>
              <w:t xml:space="preserve">lbstständige Aktualisierung der </w:t>
            </w:r>
            <w:r w:rsidRPr="00462FAA">
              <w:rPr>
                <w:rFonts w:ascii="Arial" w:hAnsi="Arial" w:cs="Arial"/>
                <w:sz w:val="18"/>
                <w:szCs w:val="18"/>
              </w:rPr>
              <w:t>statischen Ressourcen</w:t>
            </w:r>
          </w:p>
        </w:tc>
        <w:tc>
          <w:tcPr>
            <w:tcW w:w="4236" w:type="dxa"/>
          </w:tcPr>
          <w:p w:rsidR="003D69C7" w:rsidRPr="00462FAA" w:rsidRDefault="005F3FDF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462FAA">
              <w:rPr>
                <w:rFonts w:ascii="Arial" w:hAnsi="Arial" w:cs="Arial"/>
                <w:sz w:val="18"/>
                <w:szCs w:val="18"/>
              </w:rPr>
              <w:t xml:space="preserve">…soll mit einem entfernten Webserver kommunizieren, um die vorgehaltenen statischen Ressourcen aktuell zu halten. Dazu wird ein Updatemechanismus implementiert, der alle 4 Stunden prüft, ob Ressourcen aktualisiert werden müssen. </w:t>
            </w:r>
          </w:p>
        </w:tc>
        <w:tc>
          <w:tcPr>
            <w:tcW w:w="1275" w:type="dxa"/>
          </w:tcPr>
          <w:p w:rsidR="003D69C7" w:rsidRPr="00462FAA" w:rsidRDefault="003D69C7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3FDF" w:rsidRPr="00462FAA" w:rsidTr="00B641BD">
        <w:trPr>
          <w:trHeight w:val="340"/>
        </w:trPr>
        <w:tc>
          <w:tcPr>
            <w:tcW w:w="4236" w:type="dxa"/>
          </w:tcPr>
          <w:p w:rsidR="005F3FDF" w:rsidRPr="00462FAA" w:rsidRDefault="003A4C75" w:rsidP="00462FAA">
            <w:pPr>
              <w:spacing w:line="276" w:lineRule="auto"/>
              <w:ind w:left="312" w:hanging="312"/>
              <w:rPr>
                <w:rFonts w:ascii="Arial" w:hAnsi="Arial" w:cs="Arial"/>
                <w:sz w:val="18"/>
                <w:szCs w:val="18"/>
              </w:rPr>
            </w:pPr>
            <w:r w:rsidRPr="00462FAA">
              <w:rPr>
                <w:rFonts w:ascii="Arial" w:hAnsi="Arial" w:cs="Arial"/>
                <w:sz w:val="18"/>
                <w:szCs w:val="18"/>
              </w:rPr>
              <w:t>2.3 Verwaltung der GUI Logik</w:t>
            </w:r>
          </w:p>
        </w:tc>
        <w:tc>
          <w:tcPr>
            <w:tcW w:w="4236" w:type="dxa"/>
          </w:tcPr>
          <w:p w:rsidR="005F3FDF" w:rsidRPr="00462FAA" w:rsidRDefault="003A4C75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462FAA">
              <w:rPr>
                <w:rFonts w:ascii="Arial" w:hAnsi="Arial" w:cs="Arial"/>
                <w:sz w:val="18"/>
                <w:szCs w:val="18"/>
              </w:rPr>
              <w:t xml:space="preserve">...soll die Anzeigelogik innerhalb der GUI verwalten. </w:t>
            </w:r>
          </w:p>
        </w:tc>
        <w:tc>
          <w:tcPr>
            <w:tcW w:w="1275" w:type="dxa"/>
          </w:tcPr>
          <w:p w:rsidR="005F3FDF" w:rsidRPr="00462FAA" w:rsidRDefault="005F3FDF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75" w:rsidRPr="00462FAA" w:rsidTr="00B641BD">
        <w:trPr>
          <w:trHeight w:val="340"/>
        </w:trPr>
        <w:tc>
          <w:tcPr>
            <w:tcW w:w="4236" w:type="dxa"/>
          </w:tcPr>
          <w:p w:rsidR="003A4C75" w:rsidRPr="00462FAA" w:rsidRDefault="003A4C75" w:rsidP="00462FAA">
            <w:pPr>
              <w:spacing w:line="276" w:lineRule="auto"/>
              <w:ind w:left="312" w:hanging="312"/>
              <w:rPr>
                <w:rFonts w:ascii="Arial" w:hAnsi="Arial" w:cs="Arial"/>
                <w:sz w:val="18"/>
                <w:szCs w:val="18"/>
              </w:rPr>
            </w:pPr>
            <w:r w:rsidRPr="00462FAA">
              <w:rPr>
                <w:rFonts w:ascii="Arial" w:hAnsi="Arial" w:cs="Arial"/>
                <w:sz w:val="18"/>
                <w:szCs w:val="18"/>
              </w:rPr>
              <w:t>2.4 Weiterleitung von Anfragen</w:t>
            </w:r>
          </w:p>
        </w:tc>
        <w:tc>
          <w:tcPr>
            <w:tcW w:w="4236" w:type="dxa"/>
          </w:tcPr>
          <w:p w:rsidR="003A4C75" w:rsidRPr="00462FAA" w:rsidRDefault="003A4C75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462FAA">
              <w:rPr>
                <w:rFonts w:ascii="Arial" w:hAnsi="Arial" w:cs="Arial"/>
                <w:sz w:val="18"/>
                <w:szCs w:val="18"/>
              </w:rPr>
              <w:t xml:space="preserve">…soll Anfragen (Geschäftslogik) aus der Webanwendung an einen entfernten Webserver weiterleiten. Dazu nutzt die Webserverkomponente die </w:t>
            </w:r>
            <w:proofErr w:type="spellStart"/>
            <w:r w:rsidRPr="00462FAA">
              <w:rPr>
                <w:rFonts w:ascii="Arial" w:hAnsi="Arial" w:cs="Arial"/>
                <w:sz w:val="18"/>
                <w:szCs w:val="18"/>
              </w:rPr>
              <w:t>RESTful</w:t>
            </w:r>
            <w:proofErr w:type="spellEnd"/>
            <w:r w:rsidRPr="00462FAA">
              <w:rPr>
                <w:rFonts w:ascii="Arial" w:hAnsi="Arial" w:cs="Arial"/>
                <w:sz w:val="18"/>
                <w:szCs w:val="18"/>
              </w:rPr>
              <w:t>-Schnittstelle des entfernten Servers. Das Ergebnis soll durch die Dienst zwischengespeichert und die Webanwendung bereitgestellt werden.</w:t>
            </w:r>
          </w:p>
        </w:tc>
        <w:tc>
          <w:tcPr>
            <w:tcW w:w="1275" w:type="dxa"/>
          </w:tcPr>
          <w:p w:rsidR="003A4C75" w:rsidRPr="00462FAA" w:rsidRDefault="003A4C75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C75" w:rsidRPr="00462FAA" w:rsidTr="00B641BD">
        <w:trPr>
          <w:trHeight w:val="340"/>
        </w:trPr>
        <w:tc>
          <w:tcPr>
            <w:tcW w:w="4236" w:type="dxa"/>
          </w:tcPr>
          <w:p w:rsidR="003A4C75" w:rsidRPr="00462FAA" w:rsidRDefault="003A4C75" w:rsidP="00462FAA">
            <w:pPr>
              <w:spacing w:line="276" w:lineRule="auto"/>
              <w:ind w:left="312" w:hanging="312"/>
              <w:rPr>
                <w:rFonts w:ascii="Arial" w:hAnsi="Arial" w:cs="Arial"/>
                <w:sz w:val="18"/>
                <w:szCs w:val="18"/>
              </w:rPr>
            </w:pPr>
            <w:r w:rsidRPr="00462FAA">
              <w:rPr>
                <w:rFonts w:ascii="Arial" w:hAnsi="Arial" w:cs="Arial"/>
                <w:sz w:val="18"/>
                <w:szCs w:val="18"/>
              </w:rPr>
              <w:t xml:space="preserve">2.5 Speichern von </w:t>
            </w:r>
            <w:r w:rsidR="00462FAA">
              <w:rPr>
                <w:rFonts w:ascii="Arial" w:hAnsi="Arial" w:cs="Arial"/>
                <w:sz w:val="18"/>
                <w:szCs w:val="18"/>
              </w:rPr>
              <w:t>Ä</w:t>
            </w:r>
            <w:r w:rsidRPr="00462FAA">
              <w:rPr>
                <w:rFonts w:ascii="Arial" w:hAnsi="Arial" w:cs="Arial"/>
                <w:sz w:val="18"/>
                <w:szCs w:val="18"/>
              </w:rPr>
              <w:t>nderungen im Offlinebetrieb</w:t>
            </w:r>
          </w:p>
        </w:tc>
        <w:tc>
          <w:tcPr>
            <w:tcW w:w="4236" w:type="dxa"/>
          </w:tcPr>
          <w:p w:rsidR="003A4C75" w:rsidRPr="00462FAA" w:rsidRDefault="003A4C75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462FAA">
              <w:rPr>
                <w:rFonts w:ascii="Arial" w:hAnsi="Arial" w:cs="Arial"/>
                <w:sz w:val="18"/>
                <w:szCs w:val="18"/>
              </w:rPr>
              <w:t xml:space="preserve">…soll Änderungen des Models durch die Webanwendung intern speichern, wenn keine </w:t>
            </w:r>
            <w:r w:rsidRPr="00462FAA">
              <w:rPr>
                <w:rFonts w:ascii="Arial" w:hAnsi="Arial" w:cs="Arial"/>
                <w:sz w:val="18"/>
                <w:szCs w:val="18"/>
              </w:rPr>
              <w:lastRenderedPageBreak/>
              <w:t xml:space="preserve">Internetverbindung vorhanden ist. Sobald der Dienst wieder mit dem Internet verbunden ist, soll er die </w:t>
            </w:r>
            <w:r w:rsidR="00462FAA" w:rsidRPr="00462FAA">
              <w:rPr>
                <w:rFonts w:ascii="Arial" w:hAnsi="Arial" w:cs="Arial"/>
                <w:sz w:val="18"/>
                <w:szCs w:val="18"/>
              </w:rPr>
              <w:t>Anfragen an den entfernten Anwendungsserver übertragen.</w:t>
            </w:r>
          </w:p>
        </w:tc>
        <w:tc>
          <w:tcPr>
            <w:tcW w:w="1275" w:type="dxa"/>
          </w:tcPr>
          <w:p w:rsidR="003A4C75" w:rsidRPr="00462FAA" w:rsidRDefault="003A4C75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2FAA" w:rsidRPr="00462FAA" w:rsidTr="00B641BD">
        <w:trPr>
          <w:trHeight w:val="340"/>
        </w:trPr>
        <w:tc>
          <w:tcPr>
            <w:tcW w:w="4236" w:type="dxa"/>
            <w:shd w:val="clear" w:color="auto" w:fill="F2F2F2" w:themeFill="background1" w:themeFillShade="F2"/>
            <w:vAlign w:val="center"/>
          </w:tcPr>
          <w:p w:rsidR="00462FAA" w:rsidRPr="00462FAA" w:rsidRDefault="00462FAA" w:rsidP="00462FAA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462FAA">
              <w:rPr>
                <w:rFonts w:ascii="Arial" w:hAnsi="Arial" w:cs="Arial"/>
                <w:b/>
                <w:sz w:val="18"/>
                <w:szCs w:val="18"/>
              </w:rPr>
              <w:lastRenderedPageBreak/>
              <w:t>3</w:t>
            </w:r>
            <w:r w:rsidRPr="00462FAA">
              <w:rPr>
                <w:rFonts w:ascii="Arial" w:hAnsi="Arial" w:cs="Arial"/>
                <w:b/>
                <w:sz w:val="18"/>
                <w:szCs w:val="18"/>
              </w:rPr>
              <w:t xml:space="preserve">. Anforderungen </w:t>
            </w:r>
            <w:r w:rsidR="00EB50B6">
              <w:rPr>
                <w:rFonts w:ascii="Arial" w:hAnsi="Arial" w:cs="Arial"/>
                <w:b/>
                <w:sz w:val="18"/>
                <w:szCs w:val="18"/>
              </w:rPr>
              <w:t xml:space="preserve">Push- und </w:t>
            </w:r>
            <w:proofErr w:type="spellStart"/>
            <w:r w:rsidRPr="00462FAA">
              <w:rPr>
                <w:rFonts w:ascii="Arial" w:hAnsi="Arial" w:cs="Arial"/>
                <w:b/>
                <w:sz w:val="18"/>
                <w:szCs w:val="18"/>
              </w:rPr>
              <w:t>Notification</w:t>
            </w:r>
            <w:proofErr w:type="spellEnd"/>
            <w:r w:rsidRPr="00462FAA">
              <w:rPr>
                <w:rFonts w:ascii="Arial" w:hAnsi="Arial" w:cs="Arial"/>
                <w:b/>
                <w:sz w:val="18"/>
                <w:szCs w:val="18"/>
              </w:rPr>
              <w:t>-Komponente</w:t>
            </w:r>
          </w:p>
        </w:tc>
        <w:tc>
          <w:tcPr>
            <w:tcW w:w="4236" w:type="dxa"/>
            <w:shd w:val="clear" w:color="auto" w:fill="F2F2F2" w:themeFill="background1" w:themeFillShade="F2"/>
            <w:vAlign w:val="center"/>
          </w:tcPr>
          <w:p w:rsidR="00462FAA" w:rsidRPr="00462FAA" w:rsidRDefault="00462FAA" w:rsidP="00462FAA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462FAA" w:rsidRPr="00462FAA" w:rsidRDefault="00462FAA" w:rsidP="00462FAA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62FAA" w:rsidRPr="00462FAA" w:rsidTr="00B641BD">
        <w:trPr>
          <w:trHeight w:val="340"/>
        </w:trPr>
        <w:tc>
          <w:tcPr>
            <w:tcW w:w="4236" w:type="dxa"/>
          </w:tcPr>
          <w:p w:rsidR="00462FAA" w:rsidRPr="00462FAA" w:rsidRDefault="00462FAA" w:rsidP="00462FAA">
            <w:pPr>
              <w:spacing w:line="276" w:lineRule="auto"/>
              <w:ind w:left="312" w:hanging="312"/>
              <w:rPr>
                <w:rFonts w:ascii="Arial" w:hAnsi="Arial" w:cs="Arial"/>
                <w:sz w:val="18"/>
                <w:szCs w:val="18"/>
              </w:rPr>
            </w:pPr>
            <w:r w:rsidRPr="00462FAA">
              <w:rPr>
                <w:rFonts w:ascii="Arial" w:hAnsi="Arial" w:cs="Arial"/>
                <w:sz w:val="18"/>
                <w:szCs w:val="18"/>
              </w:rPr>
              <w:t>3.1</w:t>
            </w:r>
            <w:r w:rsidR="00C32B9E">
              <w:rPr>
                <w:rFonts w:ascii="Arial" w:hAnsi="Arial" w:cs="Arial"/>
                <w:sz w:val="18"/>
                <w:szCs w:val="18"/>
              </w:rPr>
              <w:t xml:space="preserve"> Anzeige von Benachrichtigung </w:t>
            </w:r>
          </w:p>
        </w:tc>
        <w:tc>
          <w:tcPr>
            <w:tcW w:w="4236" w:type="dxa"/>
          </w:tcPr>
          <w:p w:rsidR="00462FAA" w:rsidRPr="00462FAA" w:rsidRDefault="00C32B9E" w:rsidP="00EB50B6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…soll Push-Benachric</w:t>
            </w:r>
            <w:r w:rsidR="00EB50B6">
              <w:rPr>
                <w:rFonts w:ascii="Arial" w:hAnsi="Arial" w:cs="Arial"/>
                <w:sz w:val="18"/>
                <w:szCs w:val="18"/>
              </w:rPr>
              <w:t xml:space="preserve">htigungen bei Freundschaftsanfragen, Einladung zu einer Aufgabe und Änderungen an einer geteilten Aufgabe anzeigen. </w:t>
            </w:r>
          </w:p>
        </w:tc>
        <w:tc>
          <w:tcPr>
            <w:tcW w:w="1275" w:type="dxa"/>
          </w:tcPr>
          <w:p w:rsidR="00462FAA" w:rsidRPr="00462FAA" w:rsidRDefault="00462FAA" w:rsidP="00462FA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0B6" w:rsidRPr="00462FAA" w:rsidTr="00B641BD">
        <w:trPr>
          <w:trHeight w:val="340"/>
        </w:trPr>
        <w:tc>
          <w:tcPr>
            <w:tcW w:w="4236" w:type="dxa"/>
          </w:tcPr>
          <w:p w:rsidR="00EB50B6" w:rsidRPr="00462FAA" w:rsidRDefault="00EB50B6" w:rsidP="00462FAA">
            <w:pPr>
              <w:ind w:left="312" w:hanging="31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 Benachrichtigungen verarbeiten</w:t>
            </w:r>
          </w:p>
        </w:tc>
        <w:tc>
          <w:tcPr>
            <w:tcW w:w="4236" w:type="dxa"/>
          </w:tcPr>
          <w:p w:rsidR="00EB50B6" w:rsidRDefault="00EB50B6" w:rsidP="00EB50B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…soll eingehende GCM Push-Benachrichtigungen annehmen und entsprechend verarbeiten.</w:t>
            </w:r>
          </w:p>
        </w:tc>
        <w:tc>
          <w:tcPr>
            <w:tcW w:w="1275" w:type="dxa"/>
          </w:tcPr>
          <w:p w:rsidR="00EB50B6" w:rsidRPr="00462FAA" w:rsidRDefault="00EB50B6" w:rsidP="00462FA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0B6" w:rsidRPr="00462FAA" w:rsidTr="00B641BD">
        <w:trPr>
          <w:trHeight w:val="340"/>
        </w:trPr>
        <w:tc>
          <w:tcPr>
            <w:tcW w:w="4236" w:type="dxa"/>
          </w:tcPr>
          <w:p w:rsidR="00EB50B6" w:rsidRDefault="00EB50B6" w:rsidP="00462FAA">
            <w:pPr>
              <w:ind w:left="312" w:hanging="31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3.3 Push-Aktualisierung des Models </w:t>
            </w:r>
          </w:p>
        </w:tc>
        <w:tc>
          <w:tcPr>
            <w:tcW w:w="4236" w:type="dxa"/>
          </w:tcPr>
          <w:p w:rsidR="00EB50B6" w:rsidRDefault="00EB50B6" w:rsidP="00EB50B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…soll eingehende Push Nachrichten verarbeiten und daraufhin das vorgehaltene Datenmodell aktualisieren. Ggf. kann eine Benachrichtigung angezeigt werden (abhängig vom Push-Typ).</w:t>
            </w:r>
            <w:bookmarkStart w:id="0" w:name="_GoBack"/>
            <w:bookmarkEnd w:id="0"/>
          </w:p>
        </w:tc>
        <w:tc>
          <w:tcPr>
            <w:tcW w:w="1275" w:type="dxa"/>
          </w:tcPr>
          <w:p w:rsidR="00EB50B6" w:rsidRPr="00462FAA" w:rsidRDefault="00EB50B6" w:rsidP="00462FA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24121" w:rsidRPr="00462FAA" w:rsidRDefault="00F24121" w:rsidP="00F24121">
      <w:pPr>
        <w:rPr>
          <w:rFonts w:ascii="Arial" w:hAnsi="Arial" w:cs="Arial"/>
          <w:sz w:val="18"/>
        </w:rPr>
      </w:pPr>
    </w:p>
    <w:sectPr w:rsidR="00F24121" w:rsidRPr="00462FAA" w:rsidSect="00B641BD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D2333"/>
    <w:multiLevelType w:val="hybridMultilevel"/>
    <w:tmpl w:val="F6FCA7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18"/>
    <w:rsid w:val="000C18A8"/>
    <w:rsid w:val="003A4C75"/>
    <w:rsid w:val="003D69C7"/>
    <w:rsid w:val="00462FAA"/>
    <w:rsid w:val="005F3FDF"/>
    <w:rsid w:val="00B641BD"/>
    <w:rsid w:val="00C32B9E"/>
    <w:rsid w:val="00CA5718"/>
    <w:rsid w:val="00EB50B6"/>
    <w:rsid w:val="00F2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2F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5718"/>
    <w:pPr>
      <w:ind w:left="720"/>
      <w:contextualSpacing/>
    </w:pPr>
  </w:style>
  <w:style w:type="table" w:styleId="Tabellenraster">
    <w:name w:val="Table Grid"/>
    <w:basedOn w:val="NormaleTabelle"/>
    <w:uiPriority w:val="59"/>
    <w:rsid w:val="00F24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2F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5718"/>
    <w:pPr>
      <w:ind w:left="720"/>
      <w:contextualSpacing/>
    </w:pPr>
  </w:style>
  <w:style w:type="table" w:styleId="Tabellenraster">
    <w:name w:val="Table Grid"/>
    <w:basedOn w:val="NormaleTabelle"/>
    <w:uiPriority w:val="59"/>
    <w:rsid w:val="00F24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753B3-25BC-4835-A351-7709D5A64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Müller, Michael</dc:creator>
  <cp:lastModifiedBy>Müller, Michael</cp:lastModifiedBy>
  <cp:revision>3</cp:revision>
  <dcterms:created xsi:type="dcterms:W3CDTF">2016-12-20T07:04:00Z</dcterms:created>
  <dcterms:modified xsi:type="dcterms:W3CDTF">2016-12-20T08:24:00Z</dcterms:modified>
</cp:coreProperties>
</file>