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Temper Design Document</w:t>
      </w:r>
    </w:p>
    <w:p>
      <w:r>
        <w:t xml:space="preserve">This document describes the architecture of the temper knowledge base system.</w:t>
      </w:r>
    </w:p>
    <w:p>
      <w:pPr>
        <w:pStyle w:val="Heading2"/>
      </w:pPr>
      <w:r>
        <w:t xml:space="preserve">Upload Pipeline</w:t>
      </w:r>
    </w:p>
    <w:p>
      <w:r>
        <w:t xml:space="preserve">Files are uploaded via the Vercel Blob storage endpoint. The processing workflow extracts text, chunks it by headers, generates vector embeddings, and stores the results in PostgreSQL.</w:t>
      </w:r>
    </w:p>
    <w:p>
      <w:pPr>
        <w:pStyle w:val="Heading2"/>
      </w:pPr>
      <w:r>
        <w:t xml:space="preserve">Search Architecture</w:t>
      </w:r>
    </w:p>
    <w:p>
      <w:r>
        <w:t xml:space="preserve">Search uses HNSW indexing with cosine similarity over 768-dimensional vectors produced by the bge-base-en-v1.5 model.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2026-03-29T14:34:15.424Z</dcterms:created>
  <dcterms:modified xsi:type="dcterms:W3CDTF">2026-03-29T14:34:15.424Z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