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9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Остапов Д.А.</w:t>
      </w:r>
    </w:p>
    <w:p>
      <w:pPr>
        <w:ind w:firstLine="0" w:left="5386"/>
        <w:jc w:val="left"/>
      </w:pPr>
      <w:r>
        <w:rPr>
          <w:b w:val="0"/>
        </w:rPr>
        <w:t>зач. книжка № ЗХТ-23-43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9 (группа ЗХТ-232) – во всех таблицах вариантов используется строка «9 и 10».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49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7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вариантов 9 и 10 равна 5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41"/>
        <w:gridCol w:w="1191"/>
        <w:gridCol w:w="770"/>
        <w:gridCol w:w="1191"/>
        <w:gridCol w:w="770"/>
        <w:gridCol w:w="1191"/>
        <w:gridCol w:w="770"/>
        <w:gridCol w:w="119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C,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94"/>
        <w:gridCol w:w="2360"/>
        <w:gridCol w:w="2360"/>
        <w:gridCol w:w="190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– полином 5-й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j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4</m:t>
              </m:r>
            </m:sub>
          </m:sSub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эмпирические коэффициенты, Дж/(моль∙К</w:t>
      </w:r>
      <w:r>
        <w:rPr>
          <w:vertAlign w:val="superscript"/>
        </w:rPr>
        <w:t xml:space="preserve">j+1</w:t>
      </w:r>
      <w:r>
        <w:t xml:space="preserve">).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матрицы МНК 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столбца свободного члена, и прямое решение плохо обусловлено. Поэтому использована функция numpy.polynomial.Polynomial.fit: она приводит аргумент к отрезку [−1; 1], решает задачу МНК и пересчитывает коэффициенты к исходной переменной 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∙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Первообразная полинома вычисляется методом integ().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5-й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МНК с масштабированием аргумента (без него матрица для T^5 плохо обусловлена)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np.polynomial.Polynomial.fit(T11, C11, deg)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P11.convert().coef                    </w:t>
      </w:r>
      <w:r>
        <w:rPr>
          <w:rStyle w:val="CommentTok"/>
          <w:rFonts w:ascii="Courier New" w:hAnsi="Courier New"/>
          <w:sz w:val="18"/>
        </w:rPr>
        <w:t xml:space="preserve"># a0, a1, ..., a5 для T в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P11(T11)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P11.integ()    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P_int(Tk)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P_int(T0)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a11,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np.sqrt(sse(C11, C_fit)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(C11)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deg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(a11):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f"a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j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 .6e}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P11(Tg),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5-й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977999" cy="123941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999" cy="1239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Модель, Дж/(моль∙К):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31.7258</m:t>
          </m:r>
          <m:r>
            <m:rPr>
              <m:sty m:val="p"/>
            </m:rPr>
            <m:t>+</m:t>
          </m:r>
          <m:r>
            <m:t>3.8729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+</m:t>
          </m:r>
          <m:r>
            <m:t>5.8014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9.4085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6.1091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1.4661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теплоёмкость: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161085.9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128.869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</m:num>
            <m:den>
              <m:r>
                <m:t>1250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35"/>
        <w:gridCol w:w="24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1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3.172577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3.872877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5.801396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4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9.408495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5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6.109064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5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1.466088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0.999856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7.064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Стандартное отклонение остатков s,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161085.9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5-й степени (слева), остатки модели (справа)" title="" id="25" name="Picture"/>
            <a:graphic>
              <a:graphicData uri="http://schemas.openxmlformats.org/drawingml/2006/picture">
                <pic:pic>
                  <pic:nvPicPr>
                    <pic:cNvPr descr="fig/t1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5-й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Полином 5-й степени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0.99986; стандартное отклонение остатков s = 0.84 Дж/(моль∙К), наибольший остаток 1.51 Дж/(моль∙К) при 900 К. Остатки знакопеременные, без явной систематики – вид модели достаточен. Средние теплоёмкости по модели и по трапециям различаются всего на 0.029 %. Интеграл по полиному немного больше: выше ≈330 К (большая часть интервала) кривая C(T) выпукла вверх, и хорды метода трапеций лежат под ней, поэтому метод трапеций слегка занижает интеграл; часть расхождения связана с остатками модели в табличных точках. Шесть параметров при 16 точках – верхний разумный предел: дальнейший рост степени приведёт к подгонке под погрешности данных, а за пределами 50–1300 К полином 5-й степени экстраполировать нельзя.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128.87 Дж/(моль∙К) по полиному 5-й степени и 128.83 Дж/(моль∙К) по таблице методом трапеций (расхождение 0.029 %). Оба способа дают практически одинаковый результат. Полином 5-й степени пригоден и для расчёта теплоёмкости при отдельных температурах внутри интервала (ошибка не более 2.5 %), но для численного интегрирования по густой таблице построение модели не обязательно.</w:t>
      </w:r>
    </w:p>
    <w:bookmarkEnd w:id="27"/>
    <w:bookmarkStart w:id="34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353199" cy="6013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/t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199" cy="60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32" name="Picture"/>
            <a:graphic>
              <a:graphicData uri="http://schemas.openxmlformats.org/drawingml/2006/picture">
                <pic:pic>
                  <pic:nvPicPr>
                    <pic:cNvPr descr="fig/t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34"/>
    <w:bookmarkStart w:id="41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(строка «9 и 10»)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8.3145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3"/>
        <w:gridCol w:w="1017"/>
        <w:gridCol w:w="1743"/>
        <w:gridCol w:w="1017"/>
        <w:gridCol w:w="1162"/>
        <w:gridCol w:w="1162"/>
        <w:gridCol w:w="11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−0.7515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1.4669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2.2544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2.7713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2.9733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3.2205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3.5587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4.0631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4.9670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4.5023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0.465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1.76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9.53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143.60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76799" cy="6016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creens/t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601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3"/>
        <w:gridCol w:w="905"/>
        <w:gridCol w:w="1508"/>
        <w:gridCol w:w="1206"/>
        <w:gridCol w:w="105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5.175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0.9930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4911.0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4911.0</m:t>
          </m:r>
          <m:r>
            <m:rPr>
              <m:sty m:val="p"/>
            </m:rPr>
            <m:t>∙</m:t>
          </m:r>
          <m:r>
            <m:t>8.3145</m:t>
          </m:r>
          <m:r>
            <m:rPr>
              <m:sty m:val="p"/>
            </m:rPr>
            <m:t>=</m:t>
          </m:r>
          <m:r>
            <m:t>40832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40.83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10.8542</m:t>
              </m:r>
            </m:sup>
          </m:sSup>
          <m:r>
            <m:rPr>
              <m:sty m:val="p"/>
            </m:rPr>
            <m:t>=</m:t>
          </m:r>
          <m:r>
            <m:t>51752.3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9" name="Picture"/>
            <a:graphic>
              <a:graphicData uri="http://schemas.openxmlformats.org/drawingml/2006/picture">
                <pic:pic>
                  <pic:nvPicPr>
                    <pic:cNvPr descr="fig/t1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98.9 % дисперсии, но остатки ln k меняют знак систематически (+, +, +, −, −, −, −, +, +): точки ложатся на кривую, а не на прямую; наибольшее отклонение – при 500 °C (0.465). Энергия активации, рассчитанная по соседним точкам, не постоянна и лежит в диапазоне 28.8–80.0 кДж/моль (45.2, 38.1, 28.8, 49.4, 30.7, 31.3, 71.7, 80.0 кДж/моль по интервалам 100–150, …, 450–500 °C) – в интервале 150–400 °C она колеблется около 30–50 кДж/моль, а выше 400 °C возрастает до 80 кДж/моль. Это может указывать на смену лимитирующей стадии или механизма при высоких температурах, однако по 9 точкам с заметным разбросом это не доказывается.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(40.8 и 73.1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 (k = 60.74 и 143.60 с</w:t>
      </w:r>
      <w:r>
        <w:rPr>
          <w:vertAlign w:val="superscript"/>
        </w:rPr>
        <w:t xml:space="preserve">−1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40.83 кДж/моль, A = 51752.3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0.9894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73.15 кДж/моль, A = 12437253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0.9930 по k), но при 100–250 °C занижает k на 1–2 порядка и для этой области непригоден. Уравнение Аррениуса с постоянными параметрами описывает данные лишь приближённо: остатки систематические, локальная энергия активации меняется в 2.8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41"/>
    <w:bookmarkStart w:id="48" w:name="Xa56a34c9c4a84ae4aea7eeb300bcc3e894338fb"/>
    <w:p>
      <w:pPr>
        <w:pStyle w:val="Heading2"/>
      </w:pPr>
      <w:r>
        <w:t xml:space="preserve">1.4 Задание 4. Вязкость глицерина: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(варианты 9 и 10 – глицерин)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глицерина, мПа∙с,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глицерина, мПа∙с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3"/>
        <w:gridCol w:w="1120"/>
        <w:gridCol w:w="1120"/>
        <w:gridCol w:w="1494"/>
        <w:gridCol w:w="1270"/>
        <w:gridCol w:w="127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6.050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84"/>
        <w:gridCol w:w="962"/>
        <w:gridCol w:w="962"/>
        <w:gridCol w:w="962"/>
        <w:gridCol w:w="962"/>
        <w:gridCol w:w="962"/>
        <w:gridCol w:w="962"/>
        <w:gridCol w:w="9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При 250 и 260 К данных нет (в таблице задания – прочерк), поэтому модели строятся по 10 точкам 270–390 К. Коэффициенты найдены МНК (numpy.polynomial.Polynomial.fit – с масштабированием аргумента, что устраняет плохую обусловленность при T ≈ 300 К). Для сравнения дополнительно построено уравнение Андраде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(линейный МНК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глицерина: полиномы 1–3 степени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при 250 и 260 К данных нет («-» в таблице задания)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12.00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6.050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1.200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0.730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0.450</w:t>
      </w:r>
      <w:r>
        <w:rPr>
          <w:rStyle w:val="NormalTok"/>
          <w:rFonts w:ascii="Courier New" w:hAnsi="Courier New"/>
          <w:sz w:val="18"/>
        </w:rPr>
        <w:t xml:space="preserve">])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для сравнения: уравнение Андраде ln μ = A + B/T (линейный МНК по ln 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B_and, A_and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T14, np.log(mu14),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"andrade"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A_and,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B_and,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mu_and,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mu_and)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f"Андраде: ln mu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A_and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B_and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/T;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Tg), </w:t>
      </w:r>
      <w:r>
        <w:rPr>
          <w:rStyle w:val="StringTok"/>
          <w:rFonts w:ascii="Courier New" w:hAnsi="Courier New"/>
          <w:sz w:val="18"/>
        </w:rPr>
        <w:t xml:space="preserve">"k--"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"уравнение Андраде"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695199" cy="99498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creens/t1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9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9 – Модели вязкости глицерина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Модели вязкости глицери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3"/>
        <w:gridCol w:w="2856"/>
        <w:gridCol w:w="714"/>
        <w:gridCol w:w="714"/>
        <w:gridCol w:w="973"/>
        <w:gridCol w:w="649"/>
        <w:gridCol w:w="64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8.3425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0.74022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2.902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461.86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1.6133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8.8644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1.2194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0.96772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0.95850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4.057</m:t>
              </m:r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143.21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6.6597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5.5659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1.5566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1.4541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5.450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40.46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Андраде (сравнение)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−7.9664; B = 2835.9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5.839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10.92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глицерина: эксперимент, полиномиальные модели и уравнение Андраде (слева), остатки полиномов (справа)" title="" id="46" name="Picture"/>
            <a:graphic>
              <a:graphicData uri="http://schemas.openxmlformats.org/drawingml/2006/picture">
                <pic:pic>
                  <pic:nvPicPr>
                    <pic:cNvPr descr="fig/t1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глицерина: эксперимент, полиномиальные модели и уравнение Андраде (слева), остатки полиномов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Вязкость глицерина убывает с температурой очень резко – в 27 раз в интервале 270–390 К, по закону, близкому к экспоненциальному. 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0.769) непригодна: при высоких температурах она даёт отрицательную вязкость, относительная ошибка до 462 %. Полином 2-й степени повышает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до 0.9677, но остатки систематические, ошибка до 143 %. Полином 3-й степени – лучший из полиномов: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0.9935, SSE в 7.4 раза меньше, чем у квадратичного. Однако высокий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обеспечивается в основном точками с большой вязкостью: в абсолютных единицах остатки 0.1–0.3 мПа∙с примерно одинаковы по всему интервалу, а в относительных при 370–390 К ошибка достигает 34–40 %. Уравнение Андраде с двумя параметрами даёт почти тот же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0.9954 (SSE = 0.584 против 0.545 у кубического полинома), а максимальную относительную ошибку – всего 10.9 %.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Из полиномиальных моделей 1–3 степени для вязкости глицерина лучшая – кубическая: μ = 665.97 − 5.5659∙T + 1.5566∙10</w:t>
      </w:r>
      <w:r>
        <w:rPr>
          <w:vertAlign w:val="superscript"/>
        </w:rPr>
        <w:t xml:space="preserve">−2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− 1.4541∙10</w:t>
      </w:r>
      <w:r>
        <w:rPr>
          <w:vertAlign w:val="superscript"/>
        </w:rPr>
        <w:t xml:space="preserve">−5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0.9957. Она удовлетворительна при 270–350 К (ошибка до 10 %), но при 370–390 К относительная ошибка велика (34–40 %). Для жидкостей с сильной зависимостью вязкости от температуры полином – неудачный вид модели; физически обоснованное уравнение Андраде ln μ = −7.966 + 2836/T при вдвое меньшем числе параметров даёт почти ту же SSE и гораздо меньшую относительную ошибку.</w:t>
      </w:r>
    </w:p>
    <w:p>
      <w:r>
        <w:br w:type="page"/>
      </w:r>
    </w:p>
    <w:bookmarkEnd w:id="48"/>
    <w:bookmarkEnd w:id="49"/>
    <w:bookmarkStart w:id="62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50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8.3145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физический смысл имеет только действительный корень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(объём больше собственного объёма молекул), для газа берётся наибольший из них.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90"/>
        <w:gridCol w:w="1419"/>
        <w:gridCol w:w="1270"/>
        <w:gridCol w:w="1419"/>
        <w:gridCol w:w="141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4.884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369.8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305.4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0.098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369.8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50"/>
    <w:bookmarkStart w:id="54" w:name="задание-1.-мольный-объём-водорода"/>
    <w:p>
      <w:pPr>
        <w:pStyle w:val="Heading2"/>
      </w:pPr>
      <w:r>
        <w:t xml:space="preserve">2.1 Задание 1. Мольный объём водорода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водорода при P = 50 атм и T = 400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50 атм ∙ 101325 Па/атм = 5066250 Па = 5.0663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400/33.2 = 12.048;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50/12.8 = 3.906.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8.3145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6.5646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0.6565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8.3145</m:t>
        </m:r>
        <m:r>
          <m:rPr>
            <m:sty m:val="p"/>
          </m:rPr>
          <m:t>∙</m:t>
        </m:r>
        <m:r>
          <m:t>33.2</m:t>
        </m:r>
        <m:r>
          <m:rPr>
            <m:sty m:val="p"/>
          </m:rPr>
          <m:t>/</m:t>
        </m:r>
        <m:r>
          <m:t>1296960</m:t>
        </m:r>
        <m:r>
          <m:rPr>
            <m:sty m:val="p"/>
          </m:rPr>
          <m:t>=</m:t>
        </m:r>
        <m:r>
          <m:t>1.8440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8.3145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33.2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1296960</m:t>
        </m:r>
        <m:r>
          <m:rPr>
            <m:sty m:val="p"/>
          </m:rPr>
          <m:t>∙</m:t>
        </m:r>
        <m:sSup>
          <m:e>
            <m:r>
              <m:t>12.048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7.2356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0.22</m:t>
            </m:r>
          </m:e>
        </m:d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0.22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0.1252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0.1252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12.048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0.4770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1.1979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0.00331, B = 0.02809; SRK – A = 0.00549, B = 0.02809.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Водород, P = 50 атм, T = 400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780799" cy="85371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creens/t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799" cy="85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Уравнение RK имеет три действительных корня: Z = 1.02503, −0.00440 и −0.02063. Два последних отрицательны (меньше B), т.е. физического смысла не имеют; у SRK два корня комплексные. Мольный объём по SRK: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1.0230</m:t>
              </m:r>
              <m:r>
                <m:rPr>
                  <m:sty m:val="p"/>
                </m:rPr>
                <m:t>∙</m:t>
              </m:r>
              <m:r>
                <m:t>8.3145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6.7157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0.6716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водорода при 50 атм и 400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водорода при 50 атм и 40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6.5646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6.7289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6.7157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Для водорода оба кубических уравнения дают Z &gt; 1. Температура в 12 раз выше критической, поэтому притяжение молекул (параметр a, A = 0.0055) пренебрежимо мало, а при 50 атм уже заметен собственный объём молекул (B = 0.0281): газ сжимается хуже идеального. Модель идеального газа занижает объём на 2.2 % относительно SRK. RK и SRK различаются всего на 0.2 %: вклад притяжения в обоих уравнениях мал (A ≪ B), поэтому различие функций α(T) почти не сказывается на результате. Водород – квантовый газ, и классические критические параметры описывают его приближённо;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это влияет слабо.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водорода при 50 атм и 400 К: 0.6565 л/моль (идеальный газ), 0.6729 л/моль (RK), 0.6716 л/моль (SRK). Водород близок к идеальному газу (Z = 1.023); для оценочных расчётов допустимо уравнение идеального газа (ошибка около 2 %), для точных – кубическое уравнение состояния.</w:t>
      </w:r>
    </w:p>
    <w:bookmarkEnd w:id="54"/>
    <w:bookmarkStart w:id="61" w:name="Xc078db7298e401c07941da029944865997f7ff8"/>
    <w:p>
      <w:pPr>
        <w:pStyle w:val="Heading2"/>
      </w:pPr>
      <w:r>
        <w:t xml:space="preserve">2.2 Задание 2. Мольный объём смеси метан – этан – пропан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метана, остальное – этан и пропан в мольном соотношении 1 : 3. Рассчитать мольный объём смеси при P = 120 атм, T = 420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C2H6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C3H8</w:t>
      </w:r>
      <w:r>
        <w:t xml:space="preserve"> </w:t>
      </w:r>
      <w:r>
        <w:t xml:space="preserve">= 0.75 ∙ 3/4 = 0.5625. P = 120 ∙ 101325 = 12159000 Па = 12.1590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CH4, остальное C2H6 : C3H8 = 1 : 3; P = 120 атм, T = 420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"Водород, 50 атм, 400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"CH₄–C₂H₆–C₃H₈, 120 атм, 420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27199" cy="11137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screens/t2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199" cy="111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12 – Параметры компонентов и смеси (T = 420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4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0"/>
        <w:gridCol w:w="1100"/>
        <w:gridCol w:w="953"/>
        <w:gridCol w:w="1246"/>
        <w:gridCol w:w="1246"/>
        <w:gridCol w:w="183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0.15722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2.9847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0.48125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0.44779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4.5046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0.86452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6.2746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0.57883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5.1203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0.13529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0.44779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0.86452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0.54824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5.1203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8.3145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2.8720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0.7206</m:t>
              </m:r>
              <m:r>
                <m:rPr>
                  <m:sty m:val="p"/>
                </m:rPr>
                <m:t>∙</m:t>
              </m:r>
              <m:r>
                <m:t>8.3145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2.0696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CH</w:t>
      </w:r>
      <w:r>
        <w:rPr>
          <w:vertAlign w:val="subscript"/>
        </w:rPr>
        <w:t xml:space="preserve">4</w:t>
      </w:r>
      <w:r>
        <w:t xml:space="preserve">–C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–C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при 120 атм и 420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CH4–C2H6–C3H8 при 120 атм и 4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2.8720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1.9620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−31.69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2.0696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−27.94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водорода (слева) и смеси (справа)" title="" id="59" name="Picture"/>
            <a:graphic>
              <a:graphicData uri="http://schemas.openxmlformats.org/drawingml/2006/picture">
                <pic:pic>
                  <pic:nvPicPr>
                    <pic:cNvPr descr="fig/t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водорода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Смесь сильно неидеальна: Z = 0.683 (RK) и 0.721 (SRK), т.е. модель идеального газа завышает объём на 39–46 %. На 56 % смесь состоит из пропана, приведённая температура которого всего 1.14, а приведённое давление 2.86: молекулы сильно притягиваются (параметр a смеси 0.548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против 0.01198 у водорода).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312.9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44.0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1.34,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2.73 – сверхкритическая область вблизи минимума Z на обобщённой диаграмме сжимаемости, где отклонения от идеальности велики. RK и SRK различаются на 5.5 %: для этана и пропана (ω = 0.098 и 0.152) учёт несферичности молекул в SRK существен, поэтому результат SRK надёжнее.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120 атм и 420 К: 0.2872 л/моль (идеальный газ), 0.1962 л/моль (RK), 0.2070 л/моль (SRK). Газ не является идеальным: Z = 0.721, уравнение идеального газа ошибается почти на 40 %. Для углеводородных смесей при таких давлениях необходимо уравнение состояния SRK (или Пенга–Робинсона).</w:t>
      </w:r>
    </w:p>
    <w:p>
      <w:r>
        <w:br w:type="page"/>
      </w:r>
    </w:p>
    <w:bookmarkEnd w:id="61"/>
    <w:bookmarkEnd w:id="62"/>
    <w:bookmarkStart w:id="86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63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600076.9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7.90595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0.84677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42.94594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600076.9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7.90595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0.84677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42.94594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63"/>
    <w:bookmarkStart w:id="70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(варианты 9 и 10): этилен – 20 %, пропан – 30 %, изобутан – 30 %,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13599" cy="8616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screens/t3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599" cy="861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3"/>
        <w:gridCol w:w="1026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Этилен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3.4550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Изобутан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293.05 К = 527.48 °R константа этилена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600076.9</m:t>
        </m:r>
        <m:r>
          <m:rPr>
            <m:sty m:val="p"/>
          </m:rPr>
          <m:t>/</m:t>
        </m:r>
        <m:sSup>
          <m:e>
            <m:r>
              <m:t>527.48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7.90595</m:t>
        </m:r>
        <m:r>
          <m:rPr>
            <m:sty m:val="p"/>
          </m:rPr>
          <m:t>−</m:t>
        </m:r>
        <m:r>
          <m:t>0.84677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42.9459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3.4550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68" name="Picture"/>
            <a:graphic>
              <a:graphicData uri="http://schemas.openxmlformats.org/drawingml/2006/picture">
                <pic:pic>
                  <pic:nvPicPr>
                    <pic:cNvPr descr="fig/t3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19.90 °C (293.05 К) и полностью испаряется при 66.23 °C (339.38 К). Интервал кипения около 46 °C широкий, потому что компоненты сильно различаются по летучести: K этилена в точке начала кипения в 21 раз больше, чем K н-бутана. Первый пузырёк пара на 69 % состоит из этилена, а последняя капля жидкости на 37 % – из н-бутана. Поскольку ТНК (19.9 °C) близка к температуре окружающей среды, при 14 атм смесь можно хранить в жидком виде без охлаждения лишь при температуре ниже 20 °C.</w:t>
      </w:r>
    </w:p>
    <w:bookmarkEnd w:id="70"/>
    <w:bookmarkStart w:id="85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количества сепараторов – 1, 2 или 3 (варианты 9 и 10) –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72" name="Picture"/>
            <a:graphic>
              <a:graphicData uri="http://schemas.openxmlformats.org/drawingml/2006/picture">
                <pic:pic>
                  <pic:nvPicPr>
                    <pic:cNvPr descr="fig/scheme3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234399" cy="188586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screens/t3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99" cy="188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7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16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17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18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18).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77"/>
    <w:bookmarkStart w:id="84" w:name="влияние-количества-сепараторов"/>
    <w:p>
      <w:pPr>
        <w:pStyle w:val="Heading3"/>
      </w:pPr>
      <w:r>
        <w:t xml:space="preserve">3.2.2 Влияние количества сепараторов</w:t>
      </w:r>
    </w:p>
    <w:p>
      <w:pPr>
        <w:pStyle w:val="FirstParagraph"/>
      </w:pPr>
      <w:r>
        <w:t xml:space="preserve">Рассмотрены все схемы из одного, двух и трёх сепараторов, которые можно составить из ступеней С1, С2, С3 с базовыми условиями (газ предыдущей ступени – питание следующей): одна ступень – С1 или сразу С3 (сырьё охлаждается до −40.8 °C при 8.7 МПа); две ступени – С1 + С2, С1 + С3, С2 + С3; три ступени – базовая схема. Критерии сравнения: выход газа последней ступени (товарный газ), содержание в нём метана и C</w:t>
      </w:r>
      <w:r>
        <w:rPr>
          <w:vertAlign w:val="subscript"/>
        </w:rPr>
        <w:t xml:space="preserve">3+</w:t>
      </w:r>
      <w:r>
        <w:t xml:space="preserve">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количества сепараторов: 1, 2 или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количества сепараторов)"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C1, C2, C3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BASE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SCHEMES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"1: С1"</w:t>
      </w:r>
      <w:r>
        <w:rPr>
          <w:rStyle w:val="NormalTok"/>
          <w:rFonts w:ascii="Courier New" w:hAnsi="Courier New"/>
          <w:sz w:val="18"/>
        </w:rPr>
        <w:t xml:space="preserve">: [C1],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"1: С3 (сырьё сразу на -40.8 °C)"</w:t>
      </w:r>
      <w:r>
        <w:rPr>
          <w:rStyle w:val="NormalTok"/>
          <w:rFonts w:ascii="Courier New" w:hAnsi="Courier New"/>
          <w:sz w:val="18"/>
        </w:rPr>
        <w:t xml:space="preserve">: [C3],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С2"</w:t>
      </w:r>
      <w:r>
        <w:rPr>
          <w:rStyle w:val="NormalTok"/>
          <w:rFonts w:ascii="Courier New" w:hAnsi="Courier New"/>
          <w:sz w:val="18"/>
        </w:rPr>
        <w:t xml:space="preserve">: [C1, C2],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С3"</w:t>
      </w:r>
      <w:r>
        <w:rPr>
          <w:rStyle w:val="NormalTok"/>
          <w:rFonts w:ascii="Courier New" w:hAnsi="Courier New"/>
          <w:sz w:val="18"/>
        </w:rPr>
        <w:t xml:space="preserve">: [C1,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С2 + С3"</w:t>
      </w:r>
      <w:r>
        <w:rPr>
          <w:rStyle w:val="NormalTok"/>
          <w:rFonts w:ascii="Courier New" w:hAnsi="Courier New"/>
          <w:sz w:val="18"/>
        </w:rPr>
        <w:t xml:space="preserve">: [C2,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"3: С1 + С2 + С3 (база)"</w:t>
      </w:r>
      <w:r>
        <w:rPr>
          <w:rStyle w:val="NormalTok"/>
          <w:rFonts w:ascii="Courier New" w:hAnsi="Courier New"/>
          <w:sz w:val="18"/>
        </w:rPr>
        <w:t xml:space="preserve">: [C1, C2, C3]}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conds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SCHEMES.items():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train(conds)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(conds),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summary(tr))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res32[</w:t>
      </w:r>
      <w:r>
        <w:rPr>
          <w:rStyle w:val="StringTok"/>
          <w:rFonts w:ascii="Courier New" w:hAnsi="Courier New"/>
          <w:sz w:val="18"/>
        </w:rPr>
        <w:t xml:space="preserve">"study"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study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'схема'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'V газа'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'C3+,%'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'изв.C3H8,%'</w:t>
      </w:r>
      <w:r>
        <w:rPr>
          <w:rStyle w:val="SpecialCharTok"/>
          <w:rFonts w:ascii="Courier New" w:hAnsi="Courier New"/>
          <w:sz w:val="18"/>
        </w:rPr>
        <w:t xml:space="preserve">:&gt;10s}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 в жидк.,%'</w:t>
      </w:r>
      <w:r>
        <w:rPr>
          <w:rStyle w:val="SpecialCharTok"/>
          <w:rFonts w:ascii="Courier New" w:hAnsi="Courier New"/>
          <w:sz w:val="18"/>
        </w:rPr>
        <w:t xml:space="preserve">:&gt;13s}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'газа нет'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:7.4f}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'y_out'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gas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:10.2f}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:13.2f}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доли отгона:"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list</w:t>
      </w:r>
      <w:r>
        <w:rPr>
          <w:rStyle w:val="NormalTok"/>
          <w:rFonts w:ascii="Courier New" w:hAnsi="Courier New"/>
          <w:sz w:val="18"/>
        </w:rPr>
        <w:t xml:space="preserve">(study)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np.arange(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(names))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].bar(xs, [study[k][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"tab:blue"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"yC3p"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"tab:orange"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"C₃₊ в газе"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"C₃₊ в газе,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].twinx()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ax1r.bar(xs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"loss_CH4"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"tab:green"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"CH₄ в 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ax1r.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"CH₄ в жидкость, % от CH₄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h1, l1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].get_legend_handles_labels()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h2, l2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ax1r.get_legend_handles_labels()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].legend(h1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h2, l1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l2,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a.set_xticks(xs)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a.set_xticklabels([k.split(</w:t>
      </w:r>
      <w:r>
        <w:rPr>
          <w:rStyle w:val="StringTok"/>
          <w:rFonts w:ascii="Courier New" w:hAnsi="Courier New"/>
          <w:sz w:val="18"/>
        </w:rPr>
        <w:t xml:space="preserve">" ("</w:t>
      </w:r>
      <w:r>
        <w:rPr>
          <w:rStyle w:val="NormalTok"/>
          <w:rFonts w:ascii="Courier New" w:hAnsi="Courier New"/>
          <w:sz w:val="18"/>
        </w:rPr>
        <w:t xml:space="preserve">)[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rotation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Style w:val="NormalTok"/>
          <w:rFonts w:ascii="Courier New" w:hAnsi="Courier New"/>
          <w:sz w:val="18"/>
        </w:rPr>
        <w:t xml:space="preserve">, 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"right"</w:t>
      </w:r>
      <w:r>
        <w:rPr>
          <w:rStyle w:val="NormalTok"/>
          <w:rFonts w:ascii="Courier New" w:hAnsi="Courier New"/>
          <w:sz w:val="18"/>
        </w:rPr>
        <w:t xml:space="preserve">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841999" cy="176747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screens/t32_stud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9" cy="1767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19 – Влияние количества сепараторов на работу блока (условия каждого сепаратора – базовые)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количества сепараторов на работу блока (условия каждого сепаратора – базовы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96"/>
        <w:gridCol w:w="1863"/>
        <w:gridCol w:w="798"/>
        <w:gridCol w:w="598"/>
        <w:gridCol w:w="665"/>
        <w:gridCol w:w="931"/>
        <w:gridCol w:w="86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 отгона по ступеням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Газ, моль/моль сырья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84.83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С3 (сырьё сразу на −40.8 °C)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газа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18.95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0.1079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С2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 / 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3: С1 + С2 +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</w:tbl>
    <w:p>
      <w:pPr>
        <w:pStyle w:val="CaptionedFigure"/>
      </w:pPr>
      <w:r>
        <w:drawing>
          <wp:inline>
            <wp:extent cx="5759999" cy="2188799"/>
            <wp:effectExtent b="0" l="0" r="0" t="0"/>
            <wp:docPr descr="Рисунок 8 – Влияние количества сепараторов: выход газа (слева), содержание C3+ в газе и потери метана (справа)" title="" id="82" name="Picture"/>
            <a:graphic>
              <a:graphicData uri="http://schemas.openxmlformats.org/drawingml/2006/picture">
                <pic:pic>
                  <pic:nvPicPr>
                    <pic:cNvPr descr="fig/t32_stud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количества сепараторов: выход газа (слева),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и потери метана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Критерий сравнения схем: товарный газ должен содержать не более 0.3 %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(пропан и более тяжёлые компоненты извлекаются в жидкость); среди схем, удовлетворяющих этому условию, лучшая – с наибольшим выходом газа и наименьшими потерями метана. Одна ступень С1 (9.8 МПа, 40.8 °C) даёт больше всего газа (0.7361 моль), но плохого качества: C</w:t>
      </w:r>
      <w:r>
        <w:rPr>
          <w:vertAlign w:val="subscript"/>
        </w:rPr>
        <w:t xml:space="preserve">3+</w:t>
      </w:r>
      <w:r>
        <w:t xml:space="preserve"> </w:t>
      </w:r>
      <w:r>
        <w:t xml:space="preserve">12.1 %, извлечение пропана только 61.0 %. Одна ступень при −40.8 °C вообще не работает: при 8.7 МПа сырьё ниже точки начала кипения и целиком конденсируется (e = 0). Схема С1 + С3 тоже неудачна: после С1 газ, содержащий 85 % метана, при −40.8 °C почти полностью сжижается (e = 0.1079), и в жидкость уходит 89.1 % метана. Схема С1 + С2 даёт газ с C</w:t>
      </w:r>
      <w:r>
        <w:rPr>
          <w:vertAlign w:val="subscript"/>
        </w:rPr>
        <w:t xml:space="preserve">3+</w:t>
      </w:r>
      <w:r>
        <w:t xml:space="preserve"> </w:t>
      </w:r>
      <w:r>
        <w:t xml:space="preserve">6.65 % – критерию не удовлетворяет: нет низкотемпературной ступени. Только схемы с последовательным охлаждением до 12.8 °C и затем до −40.8 °C (С2 + С3 и С1 + С2 + С3) дают газ с 99.3 % метана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0.25 %. Промежуточная ступень при 12.8 °C удаляет основную часть пропана при умеренной температуре, и на холодную ступень поступает газ, богатый метаном, который сжижается меньше. Из схем, удовлетворяющих критерию, три ступени дают наибольший выход газа (0.3080 моль против 0.3065 у С2 + С3, +0.5 %) и наименьшие потери метана (57.67 % против 57.87 %).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Эффективная схема – три сепаратора (базовая): наибольший выход газа среди схем с C</w:t>
      </w:r>
      <w:r>
        <w:rPr>
          <w:vertAlign w:val="subscript"/>
        </w:rPr>
        <w:t xml:space="preserve">3+</w:t>
      </w:r>
      <w:r>
        <w:t xml:space="preserve"> </w:t>
      </w:r>
      <w:r>
        <w:t xml:space="preserve">≤ 0.3 %, наименьшее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(0.254 %) и наименьшие потери метана при извлечении 99.65 % пропана. Первая ступень при 40.8 °C даёт выигрыш в выходе газа лишь 0.5 %, но снимает 26 % сырья в виде жидкости до охлаждения и тем самым разгружает холодильники ступеней С2 и С3. Если упрощение схемы важнее, допустима двухступенчатая схема С2 + С3 практически с тем же качеством газа.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Количество сепараторов определяющим образом влияет на результат: одна ступень либо не очищает газ (С1), либо сжижает всё сырьё (С3); две ступени работают только при последовательном охлаждении С2 → С3. Эффективна трёхступенчатая схема С1 + С2 + С3: при том же качестве газа она даёт наибольший выход товарного газа и наименьшие потери метана, а потери метана в целом определяет режим холодной ступени С3.</w:t>
      </w:r>
    </w:p>
    <w:p>
      <w:r>
        <w:br w:type="page"/>
      </w:r>
    </w:p>
    <w:bookmarkEnd w:id="84"/>
    <w:bookmarkEnd w:id="85"/>
    <w:bookmarkEnd w:id="86"/>
    <w:bookmarkStart w:id="103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9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– лимитирующий реагент; азота остаётся 0.1 моль/ч).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3527999" cy="854147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/t4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999" cy="85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90"/>
    <w:bookmarkStart w:id="102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97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8.3145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9599" cy="98714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screens/t42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599" cy="987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95" name="Picture"/>
            <a:graphic>
              <a:graphicData uri="http://schemas.openxmlformats.org/drawingml/2006/picture">
                <pic:pic>
                  <pic:nvPicPr>
                    <pic:cNvPr descr="fig/t4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97"/>
    <w:bookmarkStart w:id="101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082399" cy="86101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creens/t42b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399" cy="861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0.17200</m:t>
        </m:r>
        <m:r>
          <m:rPr>
            <m:sty m:val="p"/>
          </m:rPr>
          <m:t>∙</m:t>
        </m:r>
        <m:r>
          <m:t>0.60748</m:t>
        </m:r>
        <m:r>
          <m:rPr>
            <m:sty m:val="p"/>
          </m:rPr>
          <m:t>/</m:t>
        </m:r>
        <m:r>
          <m:t>0.002779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0.21774</m:t>
        </m:r>
        <m:r>
          <m:rPr>
            <m:sty m:val="p"/>
          </m:rPr>
          <m:t>∙</m:t>
        </m:r>
        <m:r>
          <m:t>0.60748</m:t>
        </m:r>
        <m:r>
          <m:rPr>
            <m:sty m:val="p"/>
          </m:rPr>
          <m:t>/</m:t>
        </m:r>
        <m:r>
          <m:t>0.17200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101"/>
    <w:bookmarkEnd w:id="102"/>
    <w:bookmarkEnd w:id="103"/>
    <w:bookmarkStart w:id="118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110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105" name="Picture"/>
            <a:graphic>
              <a:graphicData uri="http://schemas.openxmlformats.org/drawingml/2006/picture">
                <pic:pic>
                  <pic:nvPicPr>
                    <pic:cNvPr descr="fig/scheme5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4208399" cy="149186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screens/t5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399" cy="149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110"/>
    <w:bookmarkStart w:id="117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112" name="Picture"/>
            <a:graphic>
              <a:graphicData uri="http://schemas.openxmlformats.org/drawingml/2006/picture">
                <pic:pic>
                  <pic:nvPicPr>
                    <pic:cNvPr descr="fig/scheme5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 (скриншот Google Colab):</w:t>
      </w:r>
    </w:p>
    <w:p>
      <w:pPr>
        <w:pStyle w:val="BodyText"/>
      </w:pPr>
      <w:r>
        <w:drawing>
          <wp:inline>
            <wp:extent cx="5183999" cy="96550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screens/t52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96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 Если же считать конверсию по толуолу, израсходованному на образование ксилола (2 моль на 1 моль ксилола), она равна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6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 совпадает с общей конверсией.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степень полноты реакции ξ = 49.78 моль/ч.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117"/>
    <w:bookmarkEnd w:id="118"/>
    <w:bookmarkStart w:id="119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9).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5-й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128.87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 кДж/моль; 51752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глицерина: лучший полином; уравнение Андраде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3-я степень,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0.9957; Андраде – ошибка ≤ 10.9 %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водорода (ИГ / RK / SRK), 50 атм, 400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 / 0.6729 / 0.6716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120 атм, 420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 / 0.1962 / 0.2070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19.90 / 66.23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Эффективная 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сепаратора, газ 0.3080 моль/моль сырья, 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0.254 %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выбор вида модели важнее числа параметров. Полином 5-й степени точно описывает теплоёмкость пропана, но для вязкости глицерина, меняющейся в 27 раз, полиномы дают большие относительные ошибки, а двухпараметрическое уравнение Андраде – ошибку около 10 %. Систематический характер остатков (задачи 1.3, 1.4) указывает на неверный вид зависимости даже при высоком R</w:t>
      </w:r>
      <w:r>
        <w:rPr>
          <w:vertAlign w:val="superscript"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водород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близок к идеальному газу (Z = 1.023), а углеводородная смесь вблизи псевдокритической области сильно неидеальна (Z = 0.721); для неё уравнение идеального газа ошибается почти на 40 %.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смесь этилена с пропаном и бутанами при 14 атм кипит в интервале 20–66 °C. В блоке сепараторов эффективна трёхступенчатая схема: последовательное охлаждение с промежуточным отводом жидкости уменьшает растворение метана на холодной ступени.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119"/>
    <w:bookmarkStart w:id="12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120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71" Type="http://schemas.openxmlformats.org/officeDocument/2006/relationships/image" Target="media/rId71.png"/><Relationship Id="rId104" Type="http://schemas.openxmlformats.org/officeDocument/2006/relationships/image" Target="media/rId104.png"/><Relationship Id="rId111" Type="http://schemas.openxmlformats.org/officeDocument/2006/relationships/image" Target="media/rId111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94" Type="http://schemas.openxmlformats.org/officeDocument/2006/relationships/image" Target="media/rId94.png"/><Relationship Id="rId21" Type="http://schemas.openxmlformats.org/officeDocument/2006/relationships/image" Target="media/rId21.png"/><Relationship Id="rId28" Type="http://schemas.openxmlformats.org/officeDocument/2006/relationships/image" Target="media/rId28.png"/><Relationship Id="rId35" Type="http://schemas.openxmlformats.org/officeDocument/2006/relationships/image" Target="media/rId35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98" Type="http://schemas.openxmlformats.org/officeDocument/2006/relationships/image" Target="media/rId98.png"/><Relationship Id="rId107" Type="http://schemas.openxmlformats.org/officeDocument/2006/relationships/image" Target="media/rId107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2026-10-13T16:32:12Z</dcterms:created>
  <dcterms:modified xsi:type="dcterms:W3CDTF">2026-10-13T16:32:12Z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