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imes New Roman" w:hAnsi="Times New Roman" w:cs="Times New Roman"/>
          <w:b/>
          <w:color w:val="1F3864"/>
          <w:sz w:val="36"/>
          <w:rtl w:val="1"/>
        </w:rPr>
        <w:t>هيئة الخدمات الحكومية الذكية</w:t>
      </w:r>
    </w:p>
    <w:p>
      <w:pPr>
        <w:bidi w:val="1"/>
        <w:jc w:val="center"/>
      </w:pPr>
      <w:r>
        <w:rPr>
          <w:rFonts w:ascii="Times New Roman" w:hAnsi="Times New Roman" w:cs="Times New Roman"/>
          <w:b/>
          <w:color w:val="1F3864"/>
          <w:sz w:val="32"/>
          <w:rtl w:val="1"/>
        </w:rPr>
        <w:t>(SGSA)</w:t>
      </w:r>
    </w:p>
    <w:p/>
    <w:p>
      <w:pPr>
        <w:bidi w:val="1"/>
        <w:jc w:val="center"/>
      </w:pPr>
      <w:r>
        <w:rPr>
          <w:rFonts w:ascii="Times New Roman" w:hAnsi="Times New Roman" w:cs="Times New Roman"/>
          <w:b/>
          <w:color w:val="2E75B6"/>
          <w:sz w:val="44"/>
          <w:rtl w:val="1"/>
        </w:rPr>
        <w:t>ترتيب أولويات مجموعات البيانات والسجلات</w:t>
      </w:r>
    </w:p>
    <w:p/>
    <w:p>
      <w:pPr>
        <w:bidi w:val="1"/>
        <w:jc w:val="center"/>
      </w:pPr>
      <w:r>
        <w:rPr>
          <w:rFonts w:ascii="Times New Roman" w:hAnsi="Times New Roman" w:cs="Times New Roman"/>
          <w:b/>
          <w:color w:val="555555"/>
          <w:sz w:val="36"/>
          <w:rtl w:val="1"/>
        </w:rPr>
        <w:t>DC.C.1.2</w:t>
      </w:r>
    </w:p>
    <w:p/>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EBF3FB"/>
            <w:tcW w:w="5500" w:type="dxa"/>
          </w:tcPr>
          <w:p>
            <w:pPr>
              <w:bidi w:val="1"/>
              <w:jc w:val="center"/>
            </w:pPr>
            <w:r>
              <w:rPr>
                <w:rFonts w:ascii="Times New Roman" w:hAnsi="Times New Roman" w:cs="Times New Roman"/>
                <w:b w:val="0"/>
                <w:color w:val="000000"/>
                <w:sz w:val="22"/>
                <w:rtl w:val="1"/>
              </w:rPr>
              <w:t>1.0</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الإصدار</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يونيو 2026</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التاريخ</w:t>
            </w:r>
          </w:p>
        </w:tc>
      </w:tr>
      <w:tr>
        <w:tc>
          <w:tcPr>
            <w:tcW w:type="dxa" w:w="4536"/>
            <w:shd w:val="clear" w:color="auto" w:fill="EBF3FB"/>
            <w:tcW w:w="5500" w:type="dxa"/>
          </w:tcPr>
          <w:p>
            <w:pPr>
              <w:bidi w:val="1"/>
              <w:jc w:val="center"/>
            </w:pPr>
            <w:r>
              <w:rPr>
                <w:rFonts w:ascii="Times New Roman" w:hAnsi="Times New Roman" w:cs="Times New Roman"/>
                <w:b w:val="0"/>
                <w:color w:val="000000"/>
                <w:sz w:val="22"/>
                <w:rtl w:val="1"/>
              </w:rPr>
              <w:t>معتمدة</w:t>
            </w:r>
          </w:p>
        </w:tc>
        <w:tc>
          <w:tcPr>
            <w:tcW w:type="dxa" w:w="4536"/>
            <w:shd w:val="clear" w:color="auto" w:fill="1F3864"/>
            <w:tcW w:w="4500" w:type="dxa"/>
          </w:tcPr>
          <w:p>
            <w:pPr>
              <w:bidi w:val="1"/>
              <w:jc w:val="center"/>
            </w:pPr>
            <w:r>
              <w:rPr>
                <w:rFonts w:ascii="Times New Roman" w:hAnsi="Times New Roman" w:cs="Times New Roman"/>
                <w:b/>
                <w:color w:val="FFFFFF"/>
                <w:sz w:val="22"/>
                <w:rtl w:val="1"/>
              </w:rPr>
              <w:t>حالة الوثيقة</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DC.C.1.2</w:t>
            </w:r>
          </w:p>
        </w:tc>
        <w:tc>
          <w:tcPr>
            <w:tcW w:type="dxa" w:w="4536"/>
            <w:shd w:val="clear" w:color="auto" w:fill="1F3864"/>
            <w:tcW w:w="4500" w:type="dxa"/>
          </w:tcPr>
          <w:p>
            <w:pPr>
              <w:bidi w:val="1"/>
              <w:jc w:val="center"/>
            </w:pPr>
            <w:r>
              <w:rPr>
                <w:rFonts w:ascii="Times New Roman" w:hAnsi="Times New Roman" w:cs="Times New Roman"/>
                <w:b/>
                <w:color w:val="FFFFFF"/>
                <w:sz w:val="22"/>
                <w:rtl w:val="1"/>
              </w:rPr>
              <w:t>رمز الوثيقة</w:t>
            </w:r>
          </w:p>
        </w:tc>
      </w:tr>
    </w:tbl>
    <w:p>
      <w:r>
        <w:br w:type="page"/>
      </w:r>
    </w:p>
    <w:p>
      <w:pPr>
        <w:bidi w:val="1"/>
        <w:jc w:val="right"/>
        <w:pBdr>
          <w:bottom w:val="single" w:sz="12" w:space="1" w:color="2E75B6"/>
        </w:pBdr>
      </w:pPr>
      <w:r>
        <w:rPr>
          <w:rFonts w:ascii="Times New Roman" w:hAnsi="Times New Roman" w:cs="Times New Roman"/>
          <w:b/>
          <w:color w:val="1F3864"/>
          <w:sz w:val="28"/>
          <w:rtl w:val="1"/>
        </w:rPr>
        <w:t>بيانات الوثيقة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6500" w:type="dxa"/>
          </w:tcPr>
          <w:p>
            <w:pPr>
              <w:bidi w:val="1"/>
              <w:jc w:val="center"/>
            </w:pPr>
            <w:r>
              <w:rPr>
                <w:rFonts w:ascii="Times New Roman" w:hAnsi="Times New Roman" w:cs="Times New Roman"/>
                <w:b/>
                <w:color w:val="FFFFFF"/>
                <w:sz w:val="18"/>
                <w:rtl w:val="1"/>
              </w:rPr>
              <w:t>القيمة</w:t>
            </w:r>
          </w:p>
        </w:tc>
        <w:tc>
          <w:tcPr>
            <w:tcW w:type="dxa" w:w="4536"/>
            <w:shd w:val="clear" w:color="auto" w:fill="1F3864"/>
            <w:tcW w:w="3500" w:type="dxa"/>
          </w:tcPr>
          <w:p>
            <w:pPr>
              <w:bidi w:val="1"/>
              <w:jc w:val="center"/>
            </w:pPr>
            <w:r>
              <w:rPr>
                <w:rFonts w:ascii="Times New Roman" w:hAnsi="Times New Roman" w:cs="Times New Roman"/>
                <w:b/>
                <w:color w:val="FFFFFF"/>
                <w:sz w:val="18"/>
                <w:rtl w:val="1"/>
              </w:rPr>
              <w:t>البيان</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ترتيب أولويات مجموعات البيانات والسجلات</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اسم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DC.C.1.2</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رمز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1.0</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رقم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تاريخ الإصدار</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مكتب إدارة البيانات</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جهة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مدير مكتب إدارة البيانات</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مالك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معتمدة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حالة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سنوياً أو عند تغيير جوهري في البيانات أو المتطلبات التنظيمية</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دورة المراجعة</w:t>
            </w:r>
          </w:p>
        </w:tc>
      </w:tr>
    </w:tbl>
    <w:p/>
    <w:p>
      <w:pPr>
        <w:bidi w:val="1"/>
        <w:jc w:val="right"/>
      </w:pPr>
      <w:r>
        <w:rPr>
          <w:rFonts w:ascii="Times New Roman" w:hAnsi="Times New Roman" w:cs="Times New Roman"/>
          <w:b/>
          <w:color w:val="2E75B6"/>
          <w:sz w:val="24"/>
          <w:rtl w:val="1"/>
        </w:rPr>
        <w:t>ضبط المستند</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0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4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1800" w:type="dxa"/>
          </w:tcPr>
          <w:p>
            <w:pPr>
              <w:bidi w:val="1"/>
              <w:jc w:val="center"/>
            </w:pPr>
            <w:r>
              <w:rPr>
                <w:rFonts w:ascii="Times New Roman" w:hAnsi="Times New Roman" w:cs="Times New Roman"/>
                <w:b/>
                <w:color w:val="FFFFFF"/>
                <w:sz w:val="18"/>
                <w:rtl w:val="1"/>
              </w:rPr>
              <w:t>الاسم</w:t>
            </w:r>
          </w:p>
        </w:tc>
        <w:tc>
          <w:tcPr>
            <w:tcW w:type="dxa" w:w="2268"/>
            <w:shd w:val="clear" w:color="auto" w:fill="1F3864"/>
            <w:tcW w:w="2200" w:type="dxa"/>
          </w:tcPr>
          <w:p>
            <w:pPr>
              <w:bidi w:val="1"/>
              <w:jc w:val="center"/>
            </w:pPr>
            <w:r>
              <w:rPr>
                <w:rFonts w:ascii="Times New Roman" w:hAnsi="Times New Roman" w:cs="Times New Roman"/>
                <w:b/>
                <w:color w:val="FFFFFF"/>
                <w:sz w:val="18"/>
                <w:rtl w:val="1"/>
              </w:rPr>
              <w:t>الدور</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الإعداد</w:t>
            </w:r>
          </w:p>
        </w:tc>
      </w:tr>
      <w:tr>
        <w:tc>
          <w:tcPr>
            <w:tcW w:type="dxa" w:w="2268"/>
            <w:shd w:val="clear" w:color="auto" w:fill="FFFFFF"/>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مدير مكتب إدارة البيانات</w:t>
            </w:r>
          </w:p>
        </w:tc>
        <w:tc>
          <w:tcPr>
            <w:tcW w:type="dxa" w:w="2268"/>
            <w:shd w:val="clear" w:color="auto" w:fill="FFFFFF"/>
            <w:tcW w:w="1800" w:type="dxa"/>
          </w:tcPr>
          <w:p>
            <w:pPr>
              <w:bidi w:val="1"/>
              <w:jc w:val="right"/>
            </w:pPr>
            <w:r>
              <w:rPr>
                <w:rFonts w:ascii="Times New Roman" w:hAnsi="Times New Roman" w:cs="Times New Roman"/>
                <w:b w:val="0"/>
                <w:color w:val="000000"/>
                <w:sz w:val="18"/>
                <w:rtl w:val="1"/>
              </w:rPr>
              <w:t>—</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المراجعة</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الاعتماد</w:t>
            </w:r>
          </w:p>
        </w:tc>
      </w:tr>
    </w:tbl>
    <w:p/>
    <w:p>
      <w:pPr>
        <w:bidi w:val="1"/>
        <w:jc w:val="right"/>
      </w:pPr>
      <w:r>
        <w:rPr>
          <w:rFonts w:ascii="Times New Roman" w:hAnsi="Times New Roman" w:cs="Times New Roman"/>
          <w:b/>
          <w:color w:val="2E75B6"/>
          <w:sz w:val="24"/>
          <w:rtl w:val="1"/>
        </w:rPr>
        <w:t>سجل الإصدارات</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المعتمد</w:t>
            </w:r>
          </w:p>
        </w:tc>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المُعِد</w:t>
            </w:r>
          </w:p>
        </w:tc>
        <w:tc>
          <w:tcPr>
            <w:tcW w:type="dxa" w:w="1814"/>
            <w:shd w:val="clear" w:color="auto" w:fill="1F3864"/>
            <w:tcW w:w="4600" w:type="dxa"/>
          </w:tcPr>
          <w:p>
            <w:pPr>
              <w:bidi w:val="1"/>
              <w:jc w:val="center"/>
            </w:pPr>
            <w:r>
              <w:rPr>
                <w:rFonts w:ascii="Times New Roman" w:hAnsi="Times New Roman" w:cs="Times New Roman"/>
                <w:b/>
                <w:color w:val="FFFFFF"/>
                <w:sz w:val="18"/>
                <w:rtl w:val="1"/>
              </w:rPr>
              <w:t>وصف التغيير</w:t>
            </w:r>
          </w:p>
        </w:tc>
        <w:tc>
          <w:tcPr>
            <w:tcW w:type="dxa" w:w="1814"/>
            <w:shd w:val="clear" w:color="auto" w:fill="1F3864"/>
            <w:tcW w:w="1500" w:type="dxa"/>
          </w:tcPr>
          <w:p>
            <w:pPr>
              <w:bidi w:val="1"/>
              <w:jc w:val="center"/>
            </w:pPr>
            <w:r>
              <w:rPr>
                <w:rFonts w:ascii="Times New Roman" w:hAnsi="Times New Roman" w:cs="Times New Roman"/>
                <w:b/>
                <w:color w:val="FFFFFF"/>
                <w:sz w:val="18"/>
                <w:rtl w:val="1"/>
              </w:rPr>
              <w:t>تاريخ الإصدار</w:t>
            </w:r>
          </w:p>
        </w:tc>
        <w:tc>
          <w:tcPr>
            <w:tcW w:type="dxa" w:w="1814"/>
            <w:shd w:val="clear" w:color="auto" w:fill="1F3864"/>
            <w:tcW w:w="900" w:type="dxa"/>
          </w:tcPr>
          <w:p>
            <w:pPr>
              <w:bidi w:val="1"/>
              <w:jc w:val="center"/>
            </w:pPr>
            <w:r>
              <w:rPr>
                <w:rFonts w:ascii="Times New Roman" w:hAnsi="Times New Roman" w:cs="Times New Roman"/>
                <w:b/>
                <w:color w:val="FFFFFF"/>
                <w:sz w:val="18"/>
                <w:rtl w:val="1"/>
              </w:rPr>
              <w:t>رقم الإصدار</w:t>
            </w:r>
          </w:p>
        </w:tc>
      </w:tr>
      <w:tr>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4600" w:type="dxa"/>
          </w:tcPr>
          <w:p>
            <w:pPr>
              <w:bidi w:val="1"/>
              <w:jc w:val="right"/>
            </w:pPr>
            <w:r>
              <w:rPr>
                <w:rFonts w:ascii="Times New Roman" w:hAnsi="Times New Roman" w:cs="Times New Roman"/>
                <w:b w:val="0"/>
                <w:color w:val="000000"/>
                <w:sz w:val="18"/>
                <w:rtl w:val="1"/>
              </w:rPr>
              <w:t>الإصدار الأول من وثيقة ترتيب أولويات البيانات</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يونيو 2026</w:t>
            </w:r>
          </w:p>
        </w:tc>
        <w:tc>
          <w:tcPr>
            <w:tcW w:type="dxa" w:w="1814"/>
            <w:shd w:val="clear" w:color="auto" w:fill="EBF3FB"/>
            <w:tcW w:w="900" w:type="dxa"/>
          </w:tcPr>
          <w:p>
            <w:pPr>
              <w:bidi w:val="1"/>
              <w:jc w:val="right"/>
            </w:pPr>
            <w:r>
              <w:rPr>
                <w:rFonts w:ascii="Times New Roman" w:hAnsi="Times New Roman" w:cs="Times New Roman"/>
                <w:b w:val="0"/>
                <w:color w:val="000000"/>
                <w:sz w:val="18"/>
                <w:rtl w:val="1"/>
              </w:rPr>
              <w:t>1.0</w:t>
            </w:r>
          </w:p>
        </w:tc>
      </w:tr>
    </w:tbl>
    <w:p>
      <w:r>
        <w:br w:type="page"/>
      </w:r>
    </w:p>
    <w:p>
      <w:pPr>
        <w:bidi w:val="1"/>
        <w:jc w:val="right"/>
        <w:pBdr>
          <w:bottom w:val="single" w:sz="12" w:space="1" w:color="2E75B6"/>
        </w:pBdr>
      </w:pPr>
      <w:r>
        <w:rPr>
          <w:rFonts w:ascii="Times New Roman" w:hAnsi="Times New Roman" w:cs="Times New Roman"/>
          <w:b/>
          <w:color w:val="1F3864"/>
          <w:sz w:val="28"/>
          <w:rtl w:val="1"/>
        </w:rPr>
        <w:t>1.  المقدمة</w:t>
      </w:r>
    </w:p>
    <w:p/>
    <w:p>
      <w:pPr>
        <w:bidi w:val="1"/>
        <w:jc w:val="right"/>
      </w:pPr>
      <w:r>
        <w:rPr>
          <w:rFonts w:ascii="Times New Roman" w:hAnsi="Times New Roman" w:cs="Times New Roman"/>
          <w:b w:val="0"/>
          <w:sz w:val="22"/>
          <w:rtl w:val="1"/>
        </w:rPr>
        <w:t>تمتلك هيئة الخدمات الحكومية الذكية (SGSA) ثروة بيانية متنوعة وضخمة تشمل مئات المجموعات والسجلات التي تُنتَج وتُعالَج يومياً عبر منظومة خدماتها الرقمية وعملياتها المؤسسية الداخلية. ويُمثّل تصنيف هذه البيانات وفق إطار NDMO ركيزةً جوهرية لحوكمة البيانات وأمنها، غير أن الموارد البشرية والتقنية المخصصة لعمليات التصنيف محدودة وتستلزم توجيهاً مدروساً لضمان الاستفادة المثلى منها.</w:t>
      </w:r>
    </w:p>
    <w:p/>
    <w:p>
      <w:pPr>
        <w:bidi w:val="1"/>
        <w:jc w:val="right"/>
      </w:pPr>
      <w:r>
        <w:rPr>
          <w:rFonts w:ascii="Times New Roman" w:hAnsi="Times New Roman" w:cs="Times New Roman"/>
          <w:b w:val="0"/>
          <w:sz w:val="22"/>
          <w:rtl w:val="1"/>
        </w:rPr>
        <w:t>من هذا المنطلق تُعدّ هذه الوثيقة الإطارَ التنظيمي والعملي لترتيب أولويات مجموعات البيانات والسجلات التي يجب تصنيفها، إذ تُحدد المنهجية المعتمدة في تحديد الأولويات وتُقدّم قائمة مفصّلة بمجموعات البيانات الأولوية مرتّبةً حسب درجة الإلحاح والحساسية والأثر المؤسسي، بما يُمكّن فرق التصنيف من العمل بصورة منهجية ومتسقة.</w:t>
      </w:r>
    </w:p>
    <w:p/>
    <w:p>
      <w:pPr>
        <w:bidi w:val="1"/>
        <w:jc w:val="right"/>
      </w:pPr>
      <w:r>
        <w:rPr>
          <w:rFonts w:ascii="Times New Roman" w:hAnsi="Times New Roman" w:cs="Times New Roman"/>
          <w:b w:val="0"/>
          <w:sz w:val="22"/>
          <w:rtl w:val="1"/>
        </w:rPr>
        <w:t>تستند هذه الوثيقة إلى سياسة تصنيف البيانات (DC.M.6) وإلى نتائج مسح مخزون البيانات المؤسسية (DC.M.5)، وتُوفّر الأساس المرجعي لتنفيذ متطلب NDMO المتعلق بترتيب أولويات التصنيف.</w:t>
      </w:r>
    </w:p>
    <w:p/>
    <w:p>
      <w:pPr>
        <w:bidi w:val="1"/>
        <w:jc w:val="right"/>
        <w:pBdr>
          <w:bottom w:val="single" w:sz="12" w:space="1" w:color="2E75B6"/>
        </w:pBdr>
      </w:pPr>
      <w:r>
        <w:rPr>
          <w:rFonts w:ascii="Times New Roman" w:hAnsi="Times New Roman" w:cs="Times New Roman"/>
          <w:b/>
          <w:color w:val="1F3864"/>
          <w:sz w:val="28"/>
          <w:rtl w:val="1"/>
        </w:rPr>
        <w:t>2.  الهدف</w:t>
      </w:r>
    </w:p>
    <w:p/>
    <w:p>
      <w:pPr>
        <w:bidi w:val="1"/>
        <w:jc w:val="right"/>
      </w:pPr>
      <w:r>
        <w:rPr>
          <w:rFonts w:ascii="Times New Roman" w:hAnsi="Times New Roman" w:cs="Times New Roman"/>
          <w:b w:val="0"/>
          <w:sz w:val="22"/>
          <w:rtl w:val="1"/>
        </w:rPr>
        <w:t>تهدف هذه الوثيقة إلى:</w:t>
      </w:r>
    </w:p>
    <w:p>
      <w:pPr>
        <w:bidi w:val="1"/>
        <w:jc w:val="right"/>
      </w:pPr>
      <w:r>
        <w:rPr>
          <w:rFonts w:ascii="Times New Roman" w:hAnsi="Times New Roman" w:cs="Times New Roman"/>
          <w:b w:val="0"/>
          <w:sz w:val="22"/>
          <w:rtl w:val="1"/>
        </w:rPr>
        <w:t>•  تحديد قائمة منظَّمة بمجموعات البيانات والسجلات ذات الأولوية القصوى والعالية التي يجب تصنيفها أولاً.</w:t>
      </w:r>
    </w:p>
    <w:p>
      <w:pPr>
        <w:bidi w:val="1"/>
        <w:jc w:val="right"/>
      </w:pPr>
      <w:r>
        <w:rPr>
          <w:rFonts w:ascii="Times New Roman" w:hAnsi="Times New Roman" w:cs="Times New Roman"/>
          <w:b w:val="0"/>
          <w:sz w:val="22"/>
          <w:rtl w:val="1"/>
        </w:rPr>
        <w:t>•  توفير منهجية موضوعية وشفافة لتحديد الأولويات تستند إلى معايير قابلة للقياس والتطبيق.</w:t>
      </w:r>
    </w:p>
    <w:p>
      <w:pPr>
        <w:bidi w:val="1"/>
        <w:jc w:val="right"/>
      </w:pPr>
      <w:r>
        <w:rPr>
          <w:rFonts w:ascii="Times New Roman" w:hAnsi="Times New Roman" w:cs="Times New Roman"/>
          <w:b w:val="0"/>
          <w:sz w:val="22"/>
          <w:rtl w:val="1"/>
        </w:rPr>
        <w:t>•  تمكين مكتب إدارة البيانات وفرق التصنيف من توجيه جهودهم نحو المجموعات الأشد حساسية وأعلى تأثيراً.</w:t>
      </w:r>
    </w:p>
    <w:p>
      <w:pPr>
        <w:bidi w:val="1"/>
        <w:jc w:val="right"/>
      </w:pPr>
      <w:r>
        <w:rPr>
          <w:rFonts w:ascii="Times New Roman" w:hAnsi="Times New Roman" w:cs="Times New Roman"/>
          <w:b w:val="0"/>
          <w:sz w:val="22"/>
          <w:rtl w:val="1"/>
        </w:rPr>
        <w:t>•  ضمان الامتثال لمتطلبات إطار NDMO المتعلقة بتصنيف البيانات ذات الأولوية.</w:t>
      </w:r>
    </w:p>
    <w:p>
      <w:pPr>
        <w:bidi w:val="1"/>
        <w:jc w:val="right"/>
      </w:pPr>
      <w:r>
        <w:rPr>
          <w:rFonts w:ascii="Times New Roman" w:hAnsi="Times New Roman" w:cs="Times New Roman"/>
          <w:b w:val="0"/>
          <w:sz w:val="22"/>
          <w:rtl w:val="1"/>
        </w:rPr>
        <w:t>•  إرساء مرجع مؤسسي معتمد لترتيب الأولويات يُراجَع ويُحدَّث بصفة منتظمة.</w:t>
      </w:r>
    </w:p>
    <w:p>
      <w:pPr>
        <w:bidi w:val="1"/>
        <w:jc w:val="right"/>
      </w:pPr>
      <w:r>
        <w:rPr>
          <w:rFonts w:ascii="Times New Roman" w:hAnsi="Times New Roman" w:cs="Times New Roman"/>
          <w:b w:val="0"/>
          <w:sz w:val="22"/>
          <w:rtl w:val="1"/>
        </w:rPr>
        <w:t>•  تفادي المخاطر الناجمة عن التأخر في تصنيف البيانات عالية الحساسية أو الحيوية تشغيلياً.</w:t>
      </w:r>
    </w:p>
    <w:p/>
    <w:p>
      <w:pPr>
        <w:bidi w:val="1"/>
        <w:jc w:val="right"/>
        <w:pBdr>
          <w:bottom w:val="single" w:sz="12" w:space="1" w:color="2E75B6"/>
        </w:pBdr>
      </w:pPr>
      <w:r>
        <w:rPr>
          <w:rFonts w:ascii="Times New Roman" w:hAnsi="Times New Roman" w:cs="Times New Roman"/>
          <w:b/>
          <w:color w:val="1F3864"/>
          <w:sz w:val="28"/>
          <w:rtl w:val="1"/>
        </w:rPr>
        <w:t>3.  نطاق التطبيق</w:t>
      </w:r>
    </w:p>
    <w:p/>
    <w:p>
      <w:pPr>
        <w:bidi w:val="1"/>
        <w:jc w:val="right"/>
      </w:pPr>
      <w:r>
        <w:rPr>
          <w:rFonts w:ascii="Times New Roman" w:hAnsi="Times New Roman" w:cs="Times New Roman"/>
          <w:b w:val="0"/>
          <w:sz w:val="22"/>
          <w:rtl w:val="1"/>
        </w:rPr>
        <w:t>تغطي هذه الوثيقة:</w:t>
      </w:r>
    </w:p>
    <w:p>
      <w:pPr>
        <w:bidi w:val="1"/>
        <w:jc w:val="right"/>
      </w:pPr>
      <w:r>
        <w:rPr>
          <w:rFonts w:ascii="Times New Roman" w:hAnsi="Times New Roman" w:cs="Times New Roman"/>
          <w:b w:val="0"/>
          <w:sz w:val="22"/>
          <w:rtl w:val="1"/>
        </w:rPr>
        <w:t>•  جميع مجموعات البيانات والسجلات المُوثَّقة في مخزون البيانات المؤسسية للهيئة (DC.M.5).</w:t>
      </w:r>
    </w:p>
    <w:p>
      <w:pPr>
        <w:bidi w:val="1"/>
        <w:jc w:val="right"/>
      </w:pPr>
      <w:r>
        <w:rPr>
          <w:rFonts w:ascii="Times New Roman" w:hAnsi="Times New Roman" w:cs="Times New Roman"/>
          <w:b w:val="0"/>
          <w:sz w:val="22"/>
          <w:rtl w:val="1"/>
        </w:rPr>
        <w:t>•  البيانات التي تُنتجها إدارات الهيئة المختلفة أو تستلمها أو تعالجها أو تخزّنها.</w:t>
      </w:r>
    </w:p>
    <w:p>
      <w:pPr>
        <w:bidi w:val="1"/>
        <w:jc w:val="right"/>
      </w:pPr>
      <w:r>
        <w:rPr>
          <w:rFonts w:ascii="Times New Roman" w:hAnsi="Times New Roman" w:cs="Times New Roman"/>
          <w:b w:val="0"/>
          <w:sz w:val="22"/>
          <w:rtl w:val="1"/>
        </w:rPr>
        <w:t>•  البيانات الرقمية والورقية بصرف النظر عن وسيلة حفظها أو موقع تخزينها.</w:t>
      </w:r>
    </w:p>
    <w:p>
      <w:pPr>
        <w:bidi w:val="1"/>
        <w:jc w:val="right"/>
      </w:pPr>
      <w:r>
        <w:rPr>
          <w:rFonts w:ascii="Times New Roman" w:hAnsi="Times New Roman" w:cs="Times New Roman"/>
          <w:b w:val="0"/>
          <w:sz w:val="22"/>
          <w:rtl w:val="1"/>
        </w:rPr>
        <w:t>•  البيانات التشغيلية والإدارية والأمنية والمالية التي تندرج ضمن نطاق عمل الهيئة.</w:t>
      </w:r>
    </w:p>
    <w:p>
      <w:pPr>
        <w:bidi w:val="1"/>
        <w:jc w:val="right"/>
      </w:pPr>
      <w:r>
        <w:rPr>
          <w:rFonts w:ascii="Times New Roman" w:hAnsi="Times New Roman" w:cs="Times New Roman"/>
          <w:b w:val="0"/>
          <w:sz w:val="22"/>
          <w:rtl w:val="1"/>
        </w:rPr>
        <w:t>•  مجموعات البيانات المشتركة مع الجهات الحكومية الأخرى والمتعلقة بخدمات التكامل الرقمي.</w:t>
      </w:r>
    </w:p>
    <w:p/>
    <w:p>
      <w:pPr>
        <w:bidi w:val="1"/>
        <w:jc w:val="right"/>
      </w:pPr>
      <w:r>
        <w:rPr>
          <w:rFonts w:ascii="Times New Roman" w:hAnsi="Times New Roman" w:cs="Times New Roman"/>
          <w:b w:val="0"/>
          <w:sz w:val="22"/>
          <w:rtl w:val="1"/>
        </w:rPr>
        <w:t>لا تشمل هذه الوثيقة البيانات الشخصية للمواطنين خارج نطاق خدمات الهيئة، ولا البيانات التي تملكها جهات أخرى وتُشارَك مع الهيئة بموجب اتفاقيات تقضي بأن التصنيف مسؤولية الجهة المالكة الأصلية.</w:t>
      </w:r>
    </w:p>
    <w:p/>
    <w:p>
      <w:pPr>
        <w:bidi w:val="1"/>
        <w:jc w:val="right"/>
        <w:pBdr>
          <w:bottom w:val="single" w:sz="12" w:space="1" w:color="2E75B6"/>
        </w:pBdr>
      </w:pPr>
      <w:r>
        <w:rPr>
          <w:rFonts w:ascii="Times New Roman" w:hAnsi="Times New Roman" w:cs="Times New Roman"/>
          <w:b/>
          <w:color w:val="1F3864"/>
          <w:sz w:val="28"/>
          <w:rtl w:val="1"/>
        </w:rPr>
        <w:t>4.  الوثائق المرتبطة</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4500" w:type="dxa"/>
          </w:tcPr>
          <w:p>
            <w:pPr>
              <w:bidi w:val="1"/>
              <w:jc w:val="center"/>
            </w:pPr>
            <w:r>
              <w:rPr>
                <w:rFonts w:ascii="Times New Roman" w:hAnsi="Times New Roman" w:cs="Times New Roman"/>
                <w:b/>
                <w:color w:val="FFFFFF"/>
                <w:sz w:val="18"/>
                <w:rtl w:val="1"/>
              </w:rPr>
              <w:t>العلاقة</w:t>
            </w:r>
          </w:p>
        </w:tc>
        <w:tc>
          <w:tcPr>
            <w:tcW w:type="dxa" w:w="3024"/>
            <w:shd w:val="clear" w:color="auto" w:fill="1F3864"/>
            <w:tcW w:w="4000" w:type="dxa"/>
          </w:tcPr>
          <w:p>
            <w:pPr>
              <w:bidi w:val="1"/>
              <w:jc w:val="center"/>
            </w:pPr>
            <w:r>
              <w:rPr>
                <w:rFonts w:ascii="Times New Roman" w:hAnsi="Times New Roman" w:cs="Times New Roman"/>
                <w:b/>
                <w:color w:val="FFFFFF"/>
                <w:sz w:val="18"/>
                <w:rtl w:val="1"/>
              </w:rPr>
              <w:t>اسم الوثيقة</w:t>
            </w:r>
          </w:p>
        </w:tc>
        <w:tc>
          <w:tcPr>
            <w:tcW w:type="dxa" w:w="3024"/>
            <w:shd w:val="clear" w:color="auto" w:fill="1F3864"/>
            <w:tcW w:w="1500" w:type="dxa"/>
          </w:tcPr>
          <w:p>
            <w:pPr>
              <w:bidi w:val="1"/>
              <w:jc w:val="center"/>
            </w:pPr>
            <w:r>
              <w:rPr>
                <w:rFonts w:ascii="Times New Roman" w:hAnsi="Times New Roman" w:cs="Times New Roman"/>
                <w:b/>
                <w:color w:val="FFFFFF"/>
                <w:sz w:val="18"/>
                <w:rtl w:val="1"/>
              </w:rPr>
              <w:t>رمز الوثيقة</w:t>
            </w:r>
          </w:p>
        </w:tc>
      </w:tr>
      <w:tr>
        <w:tc>
          <w:tcPr>
            <w:tcW w:type="dxa" w:w="3024"/>
            <w:shd w:val="clear" w:color="auto" w:fill="EBF3FB"/>
            <w:tcW w:w="4500" w:type="dxa"/>
          </w:tcPr>
          <w:p>
            <w:pPr>
              <w:bidi w:val="1"/>
              <w:jc w:val="right"/>
            </w:pPr>
            <w:r>
              <w:rPr>
                <w:rFonts w:ascii="Times New Roman" w:hAnsi="Times New Roman" w:cs="Times New Roman"/>
                <w:b w:val="0"/>
                <w:color w:val="000000"/>
                <w:sz w:val="18"/>
                <w:rtl w:val="1"/>
              </w:rPr>
              <w:t>المصدر الرئيسي لقائمة مجموعات البيانات المُراد تصنيفها</w:t>
            </w:r>
          </w:p>
        </w:tc>
        <w:tc>
          <w:tcPr>
            <w:tcW w:type="dxa" w:w="3024"/>
            <w:shd w:val="clear" w:color="auto" w:fill="EBF3FB"/>
            <w:tcW w:w="4000" w:type="dxa"/>
          </w:tcPr>
          <w:p>
            <w:pPr>
              <w:bidi w:val="1"/>
              <w:jc w:val="right"/>
            </w:pPr>
            <w:r>
              <w:rPr>
                <w:rFonts w:ascii="Times New Roman" w:hAnsi="Times New Roman" w:cs="Times New Roman"/>
                <w:b w:val="0"/>
                <w:color w:val="000000"/>
                <w:sz w:val="18"/>
                <w:rtl w:val="1"/>
              </w:rPr>
              <w:t>كتالوج مخزون البيانات المؤسسية</w:t>
            </w:r>
          </w:p>
        </w:tc>
        <w:tc>
          <w:tcPr>
            <w:tcW w:type="dxa" w:w="3024"/>
            <w:shd w:val="clear" w:color="auto" w:fill="EBF3FB"/>
            <w:tcW w:w="1500" w:type="dxa"/>
          </w:tcPr>
          <w:p>
            <w:pPr>
              <w:bidi w:val="1"/>
              <w:jc w:val="right"/>
            </w:pPr>
            <w:r>
              <w:rPr>
                <w:rFonts w:ascii="Times New Roman" w:hAnsi="Times New Roman" w:cs="Times New Roman"/>
                <w:b w:val="0"/>
                <w:color w:val="000000"/>
                <w:sz w:val="18"/>
                <w:rtl w:val="1"/>
              </w:rPr>
              <w:t>DC.M.5</w:t>
            </w:r>
          </w:p>
        </w:tc>
      </w:tr>
      <w:tr>
        <w:tc>
          <w:tcPr>
            <w:tcW w:type="dxa" w:w="3024"/>
            <w:shd w:val="clear" w:color="auto" w:fill="FFFFFF"/>
            <w:tcW w:w="4500" w:type="dxa"/>
          </w:tcPr>
          <w:p>
            <w:pPr>
              <w:bidi w:val="1"/>
              <w:jc w:val="right"/>
            </w:pPr>
            <w:r>
              <w:rPr>
                <w:rFonts w:ascii="Times New Roman" w:hAnsi="Times New Roman" w:cs="Times New Roman"/>
                <w:b w:val="0"/>
                <w:color w:val="000000"/>
                <w:sz w:val="18"/>
                <w:rtl w:val="1"/>
              </w:rPr>
              <w:t>تحدد معايير التصنيف ومستوياته المعتمدة</w:t>
            </w:r>
          </w:p>
        </w:tc>
        <w:tc>
          <w:tcPr>
            <w:tcW w:type="dxa" w:w="3024"/>
            <w:shd w:val="clear" w:color="auto" w:fill="FFFFFF"/>
            <w:tcW w:w="4000" w:type="dxa"/>
          </w:tcPr>
          <w:p>
            <w:pPr>
              <w:bidi w:val="1"/>
              <w:jc w:val="right"/>
            </w:pPr>
            <w:r>
              <w:rPr>
                <w:rFonts w:ascii="Times New Roman" w:hAnsi="Times New Roman" w:cs="Times New Roman"/>
                <w:b w:val="0"/>
                <w:color w:val="000000"/>
                <w:sz w:val="18"/>
                <w:rtl w:val="1"/>
              </w:rPr>
              <w:t>سياسة تصنيف البيانات</w:t>
            </w:r>
          </w:p>
        </w:tc>
        <w:tc>
          <w:tcPr>
            <w:tcW w:type="dxa" w:w="3024"/>
            <w:shd w:val="clear" w:color="auto" w:fill="FFFFFF"/>
            <w:tcW w:w="1500" w:type="dxa"/>
          </w:tcPr>
          <w:p>
            <w:pPr>
              <w:bidi w:val="1"/>
              <w:jc w:val="right"/>
            </w:pPr>
            <w:r>
              <w:rPr>
                <w:rFonts w:ascii="Times New Roman" w:hAnsi="Times New Roman" w:cs="Times New Roman"/>
                <w:b w:val="0"/>
                <w:color w:val="000000"/>
                <w:sz w:val="18"/>
                <w:rtl w:val="1"/>
              </w:rPr>
              <w:t>DC.M.6</w:t>
            </w:r>
          </w:p>
        </w:tc>
      </w:tr>
      <w:tr>
        <w:tc>
          <w:tcPr>
            <w:tcW w:type="dxa" w:w="3024"/>
            <w:shd w:val="clear" w:color="auto" w:fill="EBF3FB"/>
            <w:tcW w:w="4500" w:type="dxa"/>
          </w:tcPr>
          <w:p>
            <w:pPr>
              <w:bidi w:val="1"/>
              <w:jc w:val="right"/>
            </w:pPr>
            <w:r>
              <w:rPr>
                <w:rFonts w:ascii="Times New Roman" w:hAnsi="Times New Roman" w:cs="Times New Roman"/>
                <w:b w:val="0"/>
                <w:color w:val="000000"/>
                <w:sz w:val="18"/>
                <w:rtl w:val="1"/>
              </w:rPr>
              <w:t>تُطبَّق هذه الضوابط على البيانات بعد تصنيفها</w:t>
            </w:r>
          </w:p>
        </w:tc>
        <w:tc>
          <w:tcPr>
            <w:tcW w:type="dxa" w:w="3024"/>
            <w:shd w:val="clear" w:color="auto" w:fill="EBF3FB"/>
            <w:tcW w:w="4000" w:type="dxa"/>
          </w:tcPr>
          <w:p>
            <w:pPr>
              <w:bidi w:val="1"/>
              <w:jc w:val="right"/>
            </w:pPr>
            <w:r>
              <w:rPr>
                <w:rFonts w:ascii="Times New Roman" w:hAnsi="Times New Roman" w:cs="Times New Roman"/>
                <w:b w:val="0"/>
                <w:color w:val="000000"/>
                <w:sz w:val="18"/>
                <w:rtl w:val="1"/>
              </w:rPr>
              <w:t>ضوابط معالجة وحماية البيانات</w:t>
            </w:r>
          </w:p>
        </w:tc>
        <w:tc>
          <w:tcPr>
            <w:tcW w:type="dxa" w:w="3024"/>
            <w:shd w:val="clear" w:color="auto" w:fill="EBF3FB"/>
            <w:tcW w:w="1500" w:type="dxa"/>
          </w:tcPr>
          <w:p>
            <w:pPr>
              <w:bidi w:val="1"/>
              <w:jc w:val="right"/>
            </w:pPr>
            <w:r>
              <w:rPr>
                <w:rFonts w:ascii="Times New Roman" w:hAnsi="Times New Roman" w:cs="Times New Roman"/>
                <w:b w:val="0"/>
                <w:color w:val="000000"/>
                <w:sz w:val="18"/>
                <w:rtl w:val="1"/>
              </w:rPr>
              <w:t>DC.C.2.1</w:t>
            </w:r>
          </w:p>
        </w:tc>
      </w:tr>
      <w:tr>
        <w:tc>
          <w:tcPr>
            <w:tcW w:type="dxa" w:w="3024"/>
            <w:shd w:val="clear" w:color="auto" w:fill="FFFFFF"/>
            <w:tcW w:w="4500" w:type="dxa"/>
          </w:tcPr>
          <w:p>
            <w:pPr>
              <w:bidi w:val="1"/>
              <w:jc w:val="right"/>
            </w:pPr>
            <w:r>
              <w:rPr>
                <w:rFonts w:ascii="Times New Roman" w:hAnsi="Times New Roman" w:cs="Times New Roman"/>
                <w:b w:val="0"/>
                <w:color w:val="000000"/>
                <w:sz w:val="18"/>
                <w:rtl w:val="1"/>
              </w:rPr>
              <w:t>المرجع التنفيذي لتطبيق برنامج تصنيف البيانات</w:t>
            </w:r>
          </w:p>
        </w:tc>
        <w:tc>
          <w:tcPr>
            <w:tcW w:type="dxa" w:w="3024"/>
            <w:shd w:val="clear" w:color="auto" w:fill="FFFFFF"/>
            <w:tcW w:w="4000" w:type="dxa"/>
          </w:tcPr>
          <w:p>
            <w:pPr>
              <w:bidi w:val="1"/>
              <w:jc w:val="right"/>
            </w:pPr>
            <w:r>
              <w:rPr>
                <w:rFonts w:ascii="Times New Roman" w:hAnsi="Times New Roman" w:cs="Times New Roman"/>
                <w:b w:val="0"/>
                <w:color w:val="000000"/>
                <w:sz w:val="18"/>
                <w:rtl w:val="1"/>
              </w:rPr>
              <w:t>الخطة المعرفة والمعتمدة لتصنيف البيانات</w:t>
            </w:r>
          </w:p>
        </w:tc>
        <w:tc>
          <w:tcPr>
            <w:tcW w:type="dxa" w:w="3024"/>
            <w:shd w:val="clear" w:color="auto" w:fill="FFFFFF"/>
            <w:tcW w:w="1500" w:type="dxa"/>
          </w:tcPr>
          <w:p>
            <w:pPr>
              <w:bidi w:val="1"/>
              <w:jc w:val="right"/>
            </w:pPr>
            <w:r>
              <w:rPr>
                <w:rFonts w:ascii="Times New Roman" w:hAnsi="Times New Roman" w:cs="Times New Roman"/>
                <w:b w:val="0"/>
                <w:color w:val="000000"/>
                <w:sz w:val="18"/>
                <w:rtl w:val="1"/>
              </w:rPr>
              <w:t>DC.C.1.1</w:t>
            </w:r>
          </w:p>
        </w:tc>
      </w:tr>
    </w:tbl>
    <w:p/>
    <w:p>
      <w:pPr>
        <w:bidi w:val="1"/>
        <w:jc w:val="right"/>
        <w:pBdr>
          <w:bottom w:val="single" w:sz="12" w:space="1" w:color="2E75B6"/>
        </w:pBdr>
      </w:pPr>
      <w:r>
        <w:rPr>
          <w:rFonts w:ascii="Times New Roman" w:hAnsi="Times New Roman" w:cs="Times New Roman"/>
          <w:b/>
          <w:color w:val="1F3864"/>
          <w:sz w:val="28"/>
          <w:rtl w:val="1"/>
        </w:rPr>
        <w:t>5.  المراجع التنظيمية</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3500" w:type="dxa"/>
          </w:tcPr>
          <w:p>
            <w:pPr>
              <w:bidi w:val="1"/>
              <w:jc w:val="center"/>
            </w:pPr>
            <w:r>
              <w:rPr>
                <w:rFonts w:ascii="Times New Roman" w:hAnsi="Times New Roman" w:cs="Times New Roman"/>
                <w:b/>
                <w:color w:val="FFFFFF"/>
                <w:sz w:val="18"/>
                <w:rtl w:val="1"/>
              </w:rPr>
              <w:t>الجهة المُصدِرة</w:t>
            </w:r>
          </w:p>
        </w:tc>
        <w:tc>
          <w:tcPr>
            <w:tcW w:type="dxa" w:w="3024"/>
            <w:shd w:val="clear" w:color="auto" w:fill="1F3864"/>
            <w:tcW w:w="6000" w:type="dxa"/>
          </w:tcPr>
          <w:p>
            <w:pPr>
              <w:bidi w:val="1"/>
              <w:jc w:val="center"/>
            </w:pPr>
            <w:r>
              <w:rPr>
                <w:rFonts w:ascii="Times New Roman" w:hAnsi="Times New Roman" w:cs="Times New Roman"/>
                <w:b/>
                <w:color w:val="FFFFFF"/>
                <w:sz w:val="18"/>
                <w:rtl w:val="1"/>
              </w:rPr>
              <w:t>المرجع</w:t>
            </w:r>
          </w:p>
        </w:tc>
        <w:tc>
          <w:tcPr>
            <w:tcW w:type="dxa" w:w="3024"/>
            <w:shd w:val="clear" w:color="auto" w:fill="1F3864"/>
            <w:tcW w:w="500" w:type="dxa"/>
          </w:tcPr>
          <w:p>
            <w:pPr>
              <w:bidi w:val="1"/>
              <w:jc w:val="center"/>
            </w:pPr>
            <w:r>
              <w:rPr>
                <w:rFonts w:ascii="Times New Roman" w:hAnsi="Times New Roman" w:cs="Times New Roman"/>
                <w:b/>
                <w:color w:val="FFFFFF"/>
                <w:sz w:val="18"/>
                <w:rtl w:val="1"/>
              </w:rPr>
              <w:t>م</w:t>
            </w:r>
          </w:p>
        </w:tc>
      </w:tr>
      <w:tr>
        <w:tc>
          <w:tcPr>
            <w:tcW w:type="dxa" w:w="3024"/>
            <w:shd w:val="clear" w:color="auto" w:fill="EBF3FB"/>
            <w:tcW w:w="3500" w:type="dxa"/>
          </w:tcPr>
          <w:p>
            <w:pPr>
              <w:bidi w:val="1"/>
              <w:jc w:val="right"/>
            </w:pPr>
            <w:r>
              <w:rPr>
                <w:rFonts w:ascii="Times New Roman" w:hAnsi="Times New Roman" w:cs="Times New Roman"/>
                <w:b w:val="0"/>
                <w:color w:val="000000"/>
                <w:sz w:val="18"/>
                <w:rtl w:val="1"/>
              </w:rPr>
              <w:t>الهيئة السعودية للبيانات والذكاء الاصطناعي (سدايا)</w:t>
            </w:r>
          </w:p>
        </w:tc>
        <w:tc>
          <w:tcPr>
            <w:tcW w:type="dxa" w:w="3024"/>
            <w:shd w:val="clear" w:color="auto" w:fill="EBF3FB"/>
            <w:tcW w:w="6000" w:type="dxa"/>
          </w:tcPr>
          <w:p>
            <w:pPr>
              <w:bidi w:val="1"/>
              <w:jc w:val="right"/>
            </w:pPr>
            <w:r>
              <w:rPr>
                <w:rFonts w:ascii="Times New Roman" w:hAnsi="Times New Roman" w:cs="Times New Roman"/>
                <w:b w:val="0"/>
                <w:color w:val="000000"/>
                <w:sz w:val="18"/>
                <w:rtl w:val="1"/>
              </w:rPr>
              <w:t>إطار إدارة البيانات الوطنية (NDMO Framework)</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1</w:t>
            </w:r>
          </w:p>
        </w:tc>
      </w:tr>
      <w:tr>
        <w:tc>
          <w:tcPr>
            <w:tcW w:type="dxa" w:w="3024"/>
            <w:shd w:val="clear" w:color="auto" w:fill="FFFFFF"/>
            <w:tcW w:w="3500" w:type="dxa"/>
          </w:tcPr>
          <w:p>
            <w:pPr>
              <w:bidi w:val="1"/>
              <w:jc w:val="right"/>
            </w:pPr>
            <w:r>
              <w:rPr>
                <w:rFonts w:ascii="Times New Roman" w:hAnsi="Times New Roman" w:cs="Times New Roman"/>
                <w:b w:val="0"/>
                <w:color w:val="000000"/>
                <w:sz w:val="18"/>
                <w:rtl w:val="1"/>
              </w:rPr>
              <w:t>سدايا</w:t>
            </w:r>
          </w:p>
        </w:tc>
        <w:tc>
          <w:tcPr>
            <w:tcW w:type="dxa" w:w="3024"/>
            <w:shd w:val="clear" w:color="auto" w:fill="FFFFFF"/>
            <w:tcW w:w="6000" w:type="dxa"/>
          </w:tcPr>
          <w:p>
            <w:pPr>
              <w:bidi w:val="1"/>
              <w:jc w:val="right"/>
            </w:pPr>
            <w:r>
              <w:rPr>
                <w:rFonts w:ascii="Times New Roman" w:hAnsi="Times New Roman" w:cs="Times New Roman"/>
                <w:b w:val="0"/>
                <w:color w:val="000000"/>
                <w:sz w:val="18"/>
                <w:rtl w:val="1"/>
              </w:rPr>
              <w:t>المبادرة الوطنية للبيانات (NDI) — إطار نضج إدارة البيانات</w:t>
            </w:r>
          </w:p>
        </w:tc>
        <w:tc>
          <w:tcPr>
            <w:tcW w:type="dxa" w:w="3024"/>
            <w:shd w:val="clear" w:color="auto" w:fill="FFFFFF"/>
            <w:tcW w:w="500" w:type="dxa"/>
          </w:tcPr>
          <w:p>
            <w:pPr>
              <w:bidi w:val="1"/>
              <w:jc w:val="right"/>
            </w:pPr>
            <w:r>
              <w:rPr>
                <w:rFonts w:ascii="Times New Roman" w:hAnsi="Times New Roman" w:cs="Times New Roman"/>
                <w:b w:val="0"/>
                <w:color w:val="000000"/>
                <w:sz w:val="18"/>
                <w:rtl w:val="1"/>
              </w:rPr>
              <w:t>2</w:t>
            </w:r>
          </w:p>
        </w:tc>
      </w:tr>
      <w:tr>
        <w:tc>
          <w:tcPr>
            <w:tcW w:type="dxa" w:w="3024"/>
            <w:shd w:val="clear" w:color="auto" w:fill="EBF3FB"/>
            <w:tcW w:w="3500" w:type="dxa"/>
          </w:tcPr>
          <w:p>
            <w:pPr>
              <w:bidi w:val="1"/>
              <w:jc w:val="right"/>
            </w:pPr>
            <w:r>
              <w:rPr>
                <w:rFonts w:ascii="Times New Roman" w:hAnsi="Times New Roman" w:cs="Times New Roman"/>
                <w:b w:val="0"/>
                <w:color w:val="000000"/>
                <w:sz w:val="18"/>
                <w:rtl w:val="1"/>
              </w:rPr>
              <w:t>الهيئة الوطنية للأمن السيبراني</w:t>
            </w:r>
          </w:p>
        </w:tc>
        <w:tc>
          <w:tcPr>
            <w:tcW w:type="dxa" w:w="3024"/>
            <w:shd w:val="clear" w:color="auto" w:fill="EBF3FB"/>
            <w:tcW w:w="6000" w:type="dxa"/>
          </w:tcPr>
          <w:p>
            <w:pPr>
              <w:bidi w:val="1"/>
              <w:jc w:val="right"/>
            </w:pPr>
            <w:r>
              <w:rPr>
                <w:rFonts w:ascii="Times New Roman" w:hAnsi="Times New Roman" w:cs="Times New Roman"/>
                <w:b w:val="0"/>
                <w:color w:val="000000"/>
                <w:sz w:val="18"/>
                <w:rtl w:val="1"/>
              </w:rPr>
              <w:t>الإطار الوطني للأمن السيبراني (NCA ECC-1:2018)</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3</w:t>
            </w:r>
          </w:p>
        </w:tc>
      </w:tr>
      <w:tr>
        <w:tc>
          <w:tcPr>
            <w:tcW w:type="dxa" w:w="3024"/>
            <w:shd w:val="clear" w:color="auto" w:fill="FFFFFF"/>
            <w:tcW w:w="3500" w:type="dxa"/>
          </w:tcPr>
          <w:p>
            <w:pPr>
              <w:bidi w:val="1"/>
              <w:jc w:val="right"/>
            </w:pPr>
            <w:r>
              <w:rPr>
                <w:rFonts w:ascii="Times New Roman" w:hAnsi="Times New Roman" w:cs="Times New Roman"/>
                <w:b w:val="0"/>
                <w:color w:val="000000"/>
                <w:sz w:val="18"/>
                <w:rtl w:val="1"/>
              </w:rPr>
              <w:t>هيئة حماية البيانات الشخصية</w:t>
            </w:r>
          </w:p>
        </w:tc>
        <w:tc>
          <w:tcPr>
            <w:tcW w:type="dxa" w:w="3024"/>
            <w:shd w:val="clear" w:color="auto" w:fill="FFFFFF"/>
            <w:tcW w:w="6000" w:type="dxa"/>
          </w:tcPr>
          <w:p>
            <w:pPr>
              <w:bidi w:val="1"/>
              <w:jc w:val="right"/>
            </w:pPr>
            <w:r>
              <w:rPr>
                <w:rFonts w:ascii="Times New Roman" w:hAnsi="Times New Roman" w:cs="Times New Roman"/>
                <w:b w:val="0"/>
                <w:color w:val="000000"/>
                <w:sz w:val="18"/>
                <w:rtl w:val="1"/>
              </w:rPr>
              <w:t>نظام حماية البيانات الشخصية ولوائحه التنفيذية</w:t>
            </w:r>
          </w:p>
        </w:tc>
        <w:tc>
          <w:tcPr>
            <w:tcW w:type="dxa" w:w="3024"/>
            <w:shd w:val="clear" w:color="auto" w:fill="FFFFFF"/>
            <w:tcW w:w="500" w:type="dxa"/>
          </w:tcPr>
          <w:p>
            <w:pPr>
              <w:bidi w:val="1"/>
              <w:jc w:val="right"/>
            </w:pPr>
            <w:r>
              <w:rPr>
                <w:rFonts w:ascii="Times New Roman" w:hAnsi="Times New Roman" w:cs="Times New Roman"/>
                <w:b w:val="0"/>
                <w:color w:val="000000"/>
                <w:sz w:val="18"/>
                <w:rtl w:val="1"/>
              </w:rPr>
              <w:t>4</w:t>
            </w:r>
          </w:p>
        </w:tc>
      </w:tr>
      <w:tr>
        <w:tc>
          <w:tcPr>
            <w:tcW w:type="dxa" w:w="3024"/>
            <w:shd w:val="clear" w:color="auto" w:fill="EBF3FB"/>
            <w:tcW w:w="3500" w:type="dxa"/>
          </w:tcPr>
          <w:p>
            <w:pPr>
              <w:bidi w:val="1"/>
              <w:jc w:val="right"/>
            </w:pPr>
            <w:r>
              <w:rPr>
                <w:rFonts w:ascii="Times New Roman" w:hAnsi="Times New Roman" w:cs="Times New Roman"/>
                <w:b w:val="0"/>
                <w:color w:val="000000"/>
                <w:sz w:val="18"/>
                <w:rtl w:val="1"/>
              </w:rPr>
              <w:t>ISACA</w:t>
            </w:r>
          </w:p>
        </w:tc>
        <w:tc>
          <w:tcPr>
            <w:tcW w:type="dxa" w:w="3024"/>
            <w:shd w:val="clear" w:color="auto" w:fill="EBF3FB"/>
            <w:tcW w:w="6000" w:type="dxa"/>
          </w:tcPr>
          <w:p>
            <w:pPr>
              <w:bidi w:val="1"/>
              <w:jc w:val="right"/>
            </w:pPr>
            <w:r>
              <w:rPr>
                <w:rFonts w:ascii="Times New Roman" w:hAnsi="Times New Roman" w:cs="Times New Roman"/>
                <w:b w:val="0"/>
                <w:color w:val="000000"/>
                <w:sz w:val="18"/>
                <w:rtl w:val="1"/>
              </w:rPr>
              <w:t>معيار الحوكمة والإدارة لتقنية المعلومات (COBIT 2019)</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5</w:t>
            </w:r>
          </w:p>
        </w:tc>
      </w:tr>
    </w:tbl>
    <w:p/>
    <w:p>
      <w:r>
        <w:br w:type="page"/>
      </w:r>
    </w:p>
    <w:p>
      <w:pPr>
        <w:bidi w:val="1"/>
        <w:jc w:val="right"/>
        <w:pBdr>
          <w:bottom w:val="single" w:sz="12" w:space="1" w:color="2E75B6"/>
        </w:pBdr>
      </w:pPr>
      <w:r>
        <w:rPr>
          <w:rFonts w:ascii="Times New Roman" w:hAnsi="Times New Roman" w:cs="Times New Roman"/>
          <w:b/>
          <w:color w:val="1F3864"/>
          <w:sz w:val="28"/>
          <w:rtl w:val="1"/>
        </w:rPr>
        <w:t>6.  منهجية تحديد الأولويات</w:t>
      </w:r>
    </w:p>
    <w:p/>
    <w:p>
      <w:pPr>
        <w:bidi w:val="1"/>
        <w:jc w:val="right"/>
      </w:pPr>
      <w:r>
        <w:rPr>
          <w:rFonts w:ascii="Times New Roman" w:hAnsi="Times New Roman" w:cs="Times New Roman"/>
          <w:b w:val="0"/>
          <w:sz w:val="22"/>
          <w:rtl w:val="1"/>
        </w:rPr>
        <w:t>تعتمد الهيئة منهجية موضوعية متعددة المعايير لترتيب أولويات تصنيف مجموعات البيانات، تستند إلى ثمانية معايير رئيسية يُقيَّم كل منها بمقياس من ثلاثة مستويات: منخفض (1) — متوسط (2) — عالٍ/بالغ (3). ويُحدَّد مستوى الأولوية الكلي بناءً على المجموع التراكمي للدرجات وفق الجدول التالي:</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6000" w:type="dxa"/>
          </w:tcPr>
          <w:p>
            <w:pPr>
              <w:bidi w:val="1"/>
              <w:jc w:val="center"/>
            </w:pPr>
            <w:r>
              <w:rPr>
                <w:rFonts w:ascii="Times New Roman" w:hAnsi="Times New Roman" w:cs="Times New Roman"/>
                <w:b/>
                <w:color w:val="FFFFFF"/>
                <w:sz w:val="18"/>
                <w:rtl w:val="1"/>
              </w:rPr>
              <w:t>الإجراء المطلوب</w:t>
            </w:r>
          </w:p>
        </w:tc>
        <w:tc>
          <w:tcPr>
            <w:tcW w:type="dxa" w:w="3024"/>
            <w:shd w:val="clear" w:color="auto" w:fill="1F3864"/>
            <w:tcW w:w="2000" w:type="dxa"/>
          </w:tcPr>
          <w:p>
            <w:pPr>
              <w:bidi w:val="1"/>
              <w:jc w:val="center"/>
            </w:pPr>
            <w:r>
              <w:rPr>
                <w:rFonts w:ascii="Times New Roman" w:hAnsi="Times New Roman" w:cs="Times New Roman"/>
                <w:b/>
                <w:color w:val="FFFFFF"/>
                <w:sz w:val="18"/>
                <w:rtl w:val="1"/>
              </w:rPr>
              <w:t>مستوى الأولوية</w:t>
            </w:r>
          </w:p>
        </w:tc>
        <w:tc>
          <w:tcPr>
            <w:tcW w:type="dxa" w:w="3024"/>
            <w:shd w:val="clear" w:color="auto" w:fill="1F3864"/>
            <w:tcW w:w="2000" w:type="dxa"/>
          </w:tcPr>
          <w:p>
            <w:pPr>
              <w:bidi w:val="1"/>
              <w:jc w:val="center"/>
            </w:pPr>
            <w:r>
              <w:rPr>
                <w:rFonts w:ascii="Times New Roman" w:hAnsi="Times New Roman" w:cs="Times New Roman"/>
                <w:b/>
                <w:color w:val="FFFFFF"/>
                <w:sz w:val="18"/>
                <w:rtl w:val="1"/>
              </w:rPr>
              <w:t>مجموع الدرجات</w:t>
            </w:r>
          </w:p>
        </w:tc>
      </w:tr>
      <w:tr>
        <w:tc>
          <w:tcPr>
            <w:tcW w:type="dxa" w:w="3024"/>
            <w:shd w:val="clear" w:color="auto" w:fill="EBF3FB"/>
            <w:tcW w:w="6000" w:type="dxa"/>
          </w:tcPr>
          <w:p>
            <w:pPr>
              <w:bidi w:val="1"/>
              <w:jc w:val="right"/>
            </w:pPr>
            <w:r>
              <w:rPr>
                <w:rFonts w:ascii="Times New Roman" w:hAnsi="Times New Roman" w:cs="Times New Roman"/>
                <w:b w:val="0"/>
                <w:color w:val="000000"/>
                <w:sz w:val="18"/>
                <w:rtl w:val="1"/>
              </w:rPr>
              <w:t>يُبدأ بالتصنيف فوراً — لا يُقبَل أي تأخير</w:t>
            </w:r>
          </w:p>
        </w:tc>
        <w:tc>
          <w:tcPr>
            <w:tcW w:type="dxa" w:w="3024"/>
            <w:shd w:val="clear" w:color="auto" w:fill="EBF3FB"/>
            <w:tcW w:w="2000" w:type="dxa"/>
          </w:tcPr>
          <w:p>
            <w:pPr>
              <w:bidi w:val="1"/>
              <w:jc w:val="right"/>
            </w:pPr>
            <w:r>
              <w:rPr>
                <w:rFonts w:ascii="Times New Roman" w:hAnsi="Times New Roman" w:cs="Times New Roman"/>
                <w:b w:val="0"/>
                <w:color w:val="000000"/>
                <w:sz w:val="18"/>
                <w:rtl w:val="1"/>
              </w:rPr>
              <w:t>قصوى</w:t>
            </w:r>
          </w:p>
        </w:tc>
        <w:tc>
          <w:tcPr>
            <w:tcW w:type="dxa" w:w="3024"/>
            <w:shd w:val="clear" w:color="auto" w:fill="EBF3FB"/>
            <w:tcW w:w="2000" w:type="dxa"/>
          </w:tcPr>
          <w:p>
            <w:pPr>
              <w:bidi w:val="1"/>
              <w:jc w:val="right"/>
            </w:pPr>
            <w:r>
              <w:rPr>
                <w:rFonts w:ascii="Times New Roman" w:hAnsi="Times New Roman" w:cs="Times New Roman"/>
                <w:b w:val="0"/>
                <w:color w:val="000000"/>
                <w:sz w:val="18"/>
                <w:rtl w:val="1"/>
              </w:rPr>
              <w:t>20–24</w:t>
            </w:r>
          </w:p>
        </w:tc>
      </w:tr>
      <w:tr>
        <w:tc>
          <w:tcPr>
            <w:tcW w:type="dxa" w:w="3024"/>
            <w:shd w:val="clear" w:color="auto" w:fill="FFFFFF"/>
            <w:tcW w:w="6000" w:type="dxa"/>
          </w:tcPr>
          <w:p>
            <w:pPr>
              <w:bidi w:val="1"/>
              <w:jc w:val="right"/>
            </w:pPr>
            <w:r>
              <w:rPr>
                <w:rFonts w:ascii="Times New Roman" w:hAnsi="Times New Roman" w:cs="Times New Roman"/>
                <w:b w:val="0"/>
                <w:color w:val="000000"/>
                <w:sz w:val="18"/>
                <w:rtl w:val="1"/>
              </w:rPr>
              <w:t>يُصنَّف خلال الشهر الأول من خطة التصنيف</w:t>
            </w:r>
          </w:p>
        </w:tc>
        <w:tc>
          <w:tcPr>
            <w:tcW w:type="dxa" w:w="3024"/>
            <w:shd w:val="clear" w:color="auto" w:fill="FFFFFF"/>
            <w:tcW w:w="2000" w:type="dxa"/>
          </w:tcPr>
          <w:p>
            <w:pPr>
              <w:bidi w:val="1"/>
              <w:jc w:val="right"/>
            </w:pPr>
            <w:r>
              <w:rPr>
                <w:rFonts w:ascii="Times New Roman" w:hAnsi="Times New Roman" w:cs="Times New Roman"/>
                <w:b w:val="0"/>
                <w:color w:val="000000"/>
                <w:sz w:val="18"/>
                <w:rtl w:val="1"/>
              </w:rPr>
              <w:t>عالية</w:t>
            </w:r>
          </w:p>
        </w:tc>
        <w:tc>
          <w:tcPr>
            <w:tcW w:type="dxa" w:w="3024"/>
            <w:shd w:val="clear" w:color="auto" w:fill="FFFFFF"/>
            <w:tcW w:w="2000" w:type="dxa"/>
          </w:tcPr>
          <w:p>
            <w:pPr>
              <w:bidi w:val="1"/>
              <w:jc w:val="right"/>
            </w:pPr>
            <w:r>
              <w:rPr>
                <w:rFonts w:ascii="Times New Roman" w:hAnsi="Times New Roman" w:cs="Times New Roman"/>
                <w:b w:val="0"/>
                <w:color w:val="000000"/>
                <w:sz w:val="18"/>
                <w:rtl w:val="1"/>
              </w:rPr>
              <w:t>13–19</w:t>
            </w:r>
          </w:p>
        </w:tc>
      </w:tr>
      <w:tr>
        <w:tc>
          <w:tcPr>
            <w:tcW w:type="dxa" w:w="3024"/>
            <w:shd w:val="clear" w:color="auto" w:fill="EBF3FB"/>
            <w:tcW w:w="6000" w:type="dxa"/>
          </w:tcPr>
          <w:p>
            <w:pPr>
              <w:bidi w:val="1"/>
              <w:jc w:val="right"/>
            </w:pPr>
            <w:r>
              <w:rPr>
                <w:rFonts w:ascii="Times New Roman" w:hAnsi="Times New Roman" w:cs="Times New Roman"/>
                <w:b w:val="0"/>
                <w:color w:val="000000"/>
                <w:sz w:val="18"/>
                <w:rtl w:val="1"/>
              </w:rPr>
              <w:t>يُصنَّف خلال الربع الأول من السنة التشغيلية</w:t>
            </w:r>
          </w:p>
        </w:tc>
        <w:tc>
          <w:tcPr>
            <w:tcW w:type="dxa" w:w="3024"/>
            <w:shd w:val="clear" w:color="auto" w:fill="EBF3FB"/>
            <w:tcW w:w="2000" w:type="dxa"/>
          </w:tcPr>
          <w:p>
            <w:pPr>
              <w:bidi w:val="1"/>
              <w:jc w:val="right"/>
            </w:pPr>
            <w:r>
              <w:rPr>
                <w:rFonts w:ascii="Times New Roman" w:hAnsi="Times New Roman" w:cs="Times New Roman"/>
                <w:b w:val="0"/>
                <w:color w:val="000000"/>
                <w:sz w:val="18"/>
                <w:rtl w:val="1"/>
              </w:rPr>
              <w:t>متوسطة</w:t>
            </w:r>
          </w:p>
        </w:tc>
        <w:tc>
          <w:tcPr>
            <w:tcW w:type="dxa" w:w="3024"/>
            <w:shd w:val="clear" w:color="auto" w:fill="EBF3FB"/>
            <w:tcW w:w="2000" w:type="dxa"/>
          </w:tcPr>
          <w:p>
            <w:pPr>
              <w:bidi w:val="1"/>
              <w:jc w:val="right"/>
            </w:pPr>
            <w:r>
              <w:rPr>
                <w:rFonts w:ascii="Times New Roman" w:hAnsi="Times New Roman" w:cs="Times New Roman"/>
                <w:b w:val="0"/>
                <w:color w:val="000000"/>
                <w:sz w:val="18"/>
                <w:rtl w:val="1"/>
              </w:rPr>
              <w:t>7–12</w:t>
            </w:r>
          </w:p>
        </w:tc>
      </w:tr>
      <w:tr>
        <w:tc>
          <w:tcPr>
            <w:tcW w:type="dxa" w:w="3024"/>
            <w:shd w:val="clear" w:color="auto" w:fill="FFFFFF"/>
            <w:tcW w:w="6000" w:type="dxa"/>
          </w:tcPr>
          <w:p>
            <w:pPr>
              <w:bidi w:val="1"/>
              <w:jc w:val="right"/>
            </w:pPr>
            <w:r>
              <w:rPr>
                <w:rFonts w:ascii="Times New Roman" w:hAnsi="Times New Roman" w:cs="Times New Roman"/>
                <w:b w:val="0"/>
                <w:color w:val="000000"/>
                <w:sz w:val="18"/>
                <w:rtl w:val="1"/>
              </w:rPr>
              <w:t>يُصنَّف وفق الخطة السنوية المعتمدة</w:t>
            </w:r>
          </w:p>
        </w:tc>
        <w:tc>
          <w:tcPr>
            <w:tcW w:type="dxa" w:w="3024"/>
            <w:shd w:val="clear" w:color="auto" w:fill="FFFFFF"/>
            <w:tcW w:w="2000" w:type="dxa"/>
          </w:tcPr>
          <w:p>
            <w:pPr>
              <w:bidi w:val="1"/>
              <w:jc w:val="right"/>
            </w:pPr>
            <w:r>
              <w:rPr>
                <w:rFonts w:ascii="Times New Roman" w:hAnsi="Times New Roman" w:cs="Times New Roman"/>
                <w:b w:val="0"/>
                <w:color w:val="000000"/>
                <w:sz w:val="18"/>
                <w:rtl w:val="1"/>
              </w:rPr>
              <w:t>منخفضة</w:t>
            </w:r>
          </w:p>
        </w:tc>
        <w:tc>
          <w:tcPr>
            <w:tcW w:type="dxa" w:w="3024"/>
            <w:shd w:val="clear" w:color="auto" w:fill="FFFFFF"/>
            <w:tcW w:w="2000" w:type="dxa"/>
          </w:tcPr>
          <w:p>
            <w:pPr>
              <w:bidi w:val="1"/>
              <w:jc w:val="right"/>
            </w:pPr>
            <w:r>
              <w:rPr>
                <w:rFonts w:ascii="Times New Roman" w:hAnsi="Times New Roman" w:cs="Times New Roman"/>
                <w:b w:val="0"/>
                <w:color w:val="000000"/>
                <w:sz w:val="18"/>
                <w:rtl w:val="1"/>
              </w:rPr>
              <w:t>≤ 6</w:t>
            </w:r>
          </w:p>
        </w:tc>
      </w:tr>
    </w:tbl>
    <w:p/>
    <w:p>
      <w:pPr>
        <w:bidi w:val="1"/>
        <w:jc w:val="right"/>
      </w:pPr>
      <w:r>
        <w:rPr>
          <w:rFonts w:ascii="Times New Roman" w:hAnsi="Times New Roman" w:cs="Times New Roman"/>
          <w:b/>
          <w:color w:val="2E75B6"/>
          <w:sz w:val="24"/>
          <w:rtl w:val="1"/>
        </w:rPr>
        <w:t>6.1  المعايير الثمانية لتحديد الأولويات</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1400" w:type="dxa"/>
          </w:tcPr>
          <w:p>
            <w:pPr>
              <w:bidi w:val="1"/>
              <w:jc w:val="center"/>
            </w:pPr>
            <w:r>
              <w:rPr>
                <w:rFonts w:ascii="Times New Roman" w:hAnsi="Times New Roman" w:cs="Times New Roman"/>
                <w:b/>
                <w:color w:val="FFFFFF"/>
                <w:sz w:val="18"/>
                <w:rtl w:val="1"/>
              </w:rPr>
              <w:t>الحد الأقصى للدرجة</w:t>
            </w:r>
          </w:p>
        </w:tc>
        <w:tc>
          <w:tcPr>
            <w:tcW w:type="dxa" w:w="2268"/>
            <w:shd w:val="clear" w:color="auto" w:fill="1F3864"/>
            <w:tcW w:w="4600" w:type="dxa"/>
          </w:tcPr>
          <w:p>
            <w:pPr>
              <w:bidi w:val="1"/>
              <w:jc w:val="center"/>
            </w:pPr>
            <w:r>
              <w:rPr>
                <w:rFonts w:ascii="Times New Roman" w:hAnsi="Times New Roman" w:cs="Times New Roman"/>
                <w:b/>
                <w:color w:val="FFFFFF"/>
                <w:sz w:val="18"/>
                <w:rtl w:val="1"/>
              </w:rPr>
              <w:t>المؤشرات الرئيسية</w:t>
            </w:r>
          </w:p>
        </w:tc>
        <w:tc>
          <w:tcPr>
            <w:tcW w:type="dxa" w:w="2268"/>
            <w:shd w:val="clear" w:color="auto" w:fill="1F3864"/>
            <w:tcW w:w="2500" w:type="dxa"/>
          </w:tcPr>
          <w:p>
            <w:pPr>
              <w:bidi w:val="1"/>
              <w:jc w:val="center"/>
            </w:pPr>
            <w:r>
              <w:rPr>
                <w:rFonts w:ascii="Times New Roman" w:hAnsi="Times New Roman" w:cs="Times New Roman"/>
                <w:b/>
                <w:color w:val="FFFFFF"/>
                <w:sz w:val="18"/>
                <w:rtl w:val="1"/>
              </w:rPr>
              <w:t>المعيار</w:t>
            </w:r>
          </w:p>
        </w:tc>
        <w:tc>
          <w:tcPr>
            <w:tcW w:type="dxa" w:w="2268"/>
            <w:shd w:val="clear" w:color="auto" w:fill="1F3864"/>
            <w:tcW w:w="5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3</w:t>
            </w:r>
          </w:p>
        </w:tc>
        <w:tc>
          <w:tcPr>
            <w:tcW w:type="dxa" w:w="2268"/>
            <w:shd w:val="clear" w:color="auto" w:fill="EBF3FB"/>
            <w:tcW w:w="4600" w:type="dxa"/>
          </w:tcPr>
          <w:p>
            <w:pPr>
              <w:bidi w:val="1"/>
              <w:jc w:val="right"/>
            </w:pPr>
            <w:r>
              <w:rPr>
                <w:rFonts w:ascii="Times New Roman" w:hAnsi="Times New Roman" w:cs="Times New Roman"/>
                <w:b w:val="0"/>
                <w:color w:val="000000"/>
                <w:sz w:val="18"/>
                <w:rtl w:val="1"/>
              </w:rPr>
              <w:t>مستوى تصنيف البيانات المتوقع (عام / مقيّد / سري / سري للغاية) وتأثير الكشف غير المصرح به عليها</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حساسية البيانات</w:t>
            </w:r>
          </w:p>
        </w:tc>
        <w:tc>
          <w:tcPr>
            <w:tcW w:type="dxa" w:w="2268"/>
            <w:shd w:val="clear" w:color="auto" w:fill="EBF3FB"/>
            <w:tcW w:w="5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3</w:t>
            </w:r>
          </w:p>
        </w:tc>
        <w:tc>
          <w:tcPr>
            <w:tcW w:type="dxa" w:w="2268"/>
            <w:shd w:val="clear" w:color="auto" w:fill="FFFFFF"/>
            <w:tcW w:w="4600" w:type="dxa"/>
          </w:tcPr>
          <w:p>
            <w:pPr>
              <w:bidi w:val="1"/>
              <w:jc w:val="right"/>
            </w:pPr>
            <w:r>
              <w:rPr>
                <w:rFonts w:ascii="Times New Roman" w:hAnsi="Times New Roman" w:cs="Times New Roman"/>
                <w:b w:val="0"/>
                <w:color w:val="000000"/>
                <w:sz w:val="18"/>
                <w:rtl w:val="1"/>
              </w:rPr>
              <w:t>مدى ارتباط البيانات بالعمليات الحيوية اليومية ومدى تأثير توقفها على استمرارية الأعمال</w:t>
            </w:r>
          </w:p>
        </w:tc>
        <w:tc>
          <w:tcPr>
            <w:tcW w:type="dxa" w:w="2268"/>
            <w:shd w:val="clear" w:color="auto" w:fill="FFFFFF"/>
            <w:tcW w:w="2500" w:type="dxa"/>
          </w:tcPr>
          <w:p>
            <w:pPr>
              <w:bidi w:val="1"/>
              <w:jc w:val="right"/>
            </w:pPr>
            <w:r>
              <w:rPr>
                <w:rFonts w:ascii="Times New Roman" w:hAnsi="Times New Roman" w:cs="Times New Roman"/>
                <w:b w:val="0"/>
                <w:color w:val="000000"/>
                <w:sz w:val="18"/>
                <w:rtl w:val="1"/>
              </w:rPr>
              <w:t>الأهمية التشغيلية</w:t>
            </w:r>
          </w:p>
        </w:tc>
        <w:tc>
          <w:tcPr>
            <w:tcW w:type="dxa" w:w="2268"/>
            <w:shd w:val="clear" w:color="auto" w:fill="FFFFFF"/>
            <w:tcW w:w="5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3</w:t>
            </w:r>
          </w:p>
        </w:tc>
        <w:tc>
          <w:tcPr>
            <w:tcW w:type="dxa" w:w="2268"/>
            <w:shd w:val="clear" w:color="auto" w:fill="EBF3FB"/>
            <w:tcW w:w="4600" w:type="dxa"/>
          </w:tcPr>
          <w:p>
            <w:pPr>
              <w:bidi w:val="1"/>
              <w:jc w:val="right"/>
            </w:pPr>
            <w:r>
              <w:rPr>
                <w:rFonts w:ascii="Times New Roman" w:hAnsi="Times New Roman" w:cs="Times New Roman"/>
                <w:b w:val="0"/>
                <w:color w:val="000000"/>
                <w:sz w:val="18"/>
                <w:rtl w:val="1"/>
              </w:rPr>
              <w:t>وجود اشتراطات ملزمة من NDMO أو NCA أو هيئة حماية البيانات الشخصية أو أنظمة حكومية أخرى</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المتطلبات التنظيمية</w:t>
            </w:r>
          </w:p>
        </w:tc>
        <w:tc>
          <w:tcPr>
            <w:tcW w:type="dxa" w:w="2268"/>
            <w:shd w:val="clear" w:color="auto" w:fill="EBF3FB"/>
            <w:tcW w:w="5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3</w:t>
            </w:r>
          </w:p>
        </w:tc>
        <w:tc>
          <w:tcPr>
            <w:tcW w:type="dxa" w:w="2268"/>
            <w:shd w:val="clear" w:color="auto" w:fill="FFFFFF"/>
            <w:tcW w:w="4600" w:type="dxa"/>
          </w:tcPr>
          <w:p>
            <w:pPr>
              <w:bidi w:val="1"/>
              <w:jc w:val="right"/>
            </w:pPr>
            <w:r>
              <w:rPr>
                <w:rFonts w:ascii="Times New Roman" w:hAnsi="Times New Roman" w:cs="Times New Roman"/>
                <w:b w:val="0"/>
                <w:color w:val="000000"/>
                <w:sz w:val="18"/>
                <w:rtl w:val="1"/>
              </w:rPr>
              <w:t>احتواء مجموعة البيانات على بيانات شخصية تندرج ضمن نظام حماية البيانات الشخصية</w:t>
            </w:r>
          </w:p>
        </w:tc>
        <w:tc>
          <w:tcPr>
            <w:tcW w:type="dxa" w:w="2268"/>
            <w:shd w:val="clear" w:color="auto" w:fill="FFFFFF"/>
            <w:tcW w:w="2500" w:type="dxa"/>
          </w:tcPr>
          <w:p>
            <w:pPr>
              <w:bidi w:val="1"/>
              <w:jc w:val="right"/>
            </w:pPr>
            <w:r>
              <w:rPr>
                <w:rFonts w:ascii="Times New Roman" w:hAnsi="Times New Roman" w:cs="Times New Roman"/>
                <w:b w:val="0"/>
                <w:color w:val="000000"/>
                <w:sz w:val="18"/>
                <w:rtl w:val="1"/>
              </w:rPr>
              <w:t>وجود بيانات شخصية</w:t>
            </w:r>
          </w:p>
        </w:tc>
        <w:tc>
          <w:tcPr>
            <w:tcW w:type="dxa" w:w="2268"/>
            <w:shd w:val="clear" w:color="auto" w:fill="FFFFFF"/>
            <w:tcW w:w="5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3</w:t>
            </w:r>
          </w:p>
        </w:tc>
        <w:tc>
          <w:tcPr>
            <w:tcW w:type="dxa" w:w="2268"/>
            <w:shd w:val="clear" w:color="auto" w:fill="EBF3FB"/>
            <w:tcW w:w="4600" w:type="dxa"/>
          </w:tcPr>
          <w:p>
            <w:pPr>
              <w:bidi w:val="1"/>
              <w:jc w:val="right"/>
            </w:pPr>
            <w:r>
              <w:rPr>
                <w:rFonts w:ascii="Times New Roman" w:hAnsi="Times New Roman" w:cs="Times New Roman"/>
                <w:b w:val="0"/>
                <w:color w:val="000000"/>
                <w:sz w:val="18"/>
                <w:rtl w:val="1"/>
              </w:rPr>
              <w:t>ارتباط البيانات بالتكامل مع المنصات الحكومية الوطنية أو بالأمن والسيادة الرقمية</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الأثر الوطني</w:t>
            </w:r>
          </w:p>
        </w:tc>
        <w:tc>
          <w:tcPr>
            <w:tcW w:type="dxa" w:w="2268"/>
            <w:shd w:val="clear" w:color="auto" w:fill="EBF3FB"/>
            <w:tcW w:w="5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3</w:t>
            </w:r>
          </w:p>
        </w:tc>
        <w:tc>
          <w:tcPr>
            <w:tcW w:type="dxa" w:w="2268"/>
            <w:shd w:val="clear" w:color="auto" w:fill="FFFFFF"/>
            <w:tcW w:w="4600" w:type="dxa"/>
          </w:tcPr>
          <w:p>
            <w:pPr>
              <w:bidi w:val="1"/>
              <w:jc w:val="right"/>
            </w:pPr>
            <w:r>
              <w:rPr>
                <w:rFonts w:ascii="Times New Roman" w:hAnsi="Times New Roman" w:cs="Times New Roman"/>
                <w:b w:val="0"/>
                <w:color w:val="000000"/>
                <w:sz w:val="18"/>
                <w:rtl w:val="1"/>
              </w:rPr>
              <w:t>حجم العمليات المتأثرة بتلك البيانات وعدد الموظفين والمستفيدين المعتمدين عليها</w:t>
            </w:r>
          </w:p>
        </w:tc>
        <w:tc>
          <w:tcPr>
            <w:tcW w:type="dxa" w:w="2268"/>
            <w:shd w:val="clear" w:color="auto" w:fill="FFFFFF"/>
            <w:tcW w:w="2500" w:type="dxa"/>
          </w:tcPr>
          <w:p>
            <w:pPr>
              <w:bidi w:val="1"/>
              <w:jc w:val="right"/>
            </w:pPr>
            <w:r>
              <w:rPr>
                <w:rFonts w:ascii="Times New Roman" w:hAnsi="Times New Roman" w:cs="Times New Roman"/>
                <w:b w:val="0"/>
                <w:color w:val="000000"/>
                <w:sz w:val="18"/>
                <w:rtl w:val="1"/>
              </w:rPr>
              <w:t>الأثر التشغيلي</w:t>
            </w:r>
          </w:p>
        </w:tc>
        <w:tc>
          <w:tcPr>
            <w:tcW w:type="dxa" w:w="2268"/>
            <w:shd w:val="clear" w:color="auto" w:fill="FFFFFF"/>
            <w:tcW w:w="500" w:type="dxa"/>
          </w:tcPr>
          <w:p>
            <w:pPr>
              <w:bidi w:val="1"/>
              <w:jc w:val="right"/>
            </w:pPr>
            <w:r>
              <w:rPr>
                <w:rFonts w:ascii="Times New Roman" w:hAnsi="Times New Roman" w:cs="Times New Roman"/>
                <w:b w:val="0"/>
                <w:color w:val="000000"/>
                <w:sz w:val="18"/>
                <w:rtl w:val="1"/>
              </w:rPr>
              <w:t>6</w:t>
            </w:r>
          </w:p>
        </w:tc>
      </w:tr>
      <w:tr>
        <w:tc>
          <w:tcPr>
            <w:tcW w:type="dxa" w:w="2268"/>
            <w:shd w:val="clear" w:color="auto" w:fill="EBF3FB"/>
            <w:tcW w:w="1400" w:type="dxa"/>
          </w:tcPr>
          <w:p>
            <w:pPr>
              <w:bidi w:val="1"/>
              <w:jc w:val="right"/>
            </w:pPr>
            <w:r>
              <w:rPr>
                <w:rFonts w:ascii="Times New Roman" w:hAnsi="Times New Roman" w:cs="Times New Roman"/>
                <w:b w:val="0"/>
                <w:color w:val="000000"/>
                <w:sz w:val="18"/>
                <w:rtl w:val="1"/>
              </w:rPr>
              <w:t>3</w:t>
            </w:r>
          </w:p>
        </w:tc>
        <w:tc>
          <w:tcPr>
            <w:tcW w:type="dxa" w:w="2268"/>
            <w:shd w:val="clear" w:color="auto" w:fill="EBF3FB"/>
            <w:tcW w:w="4600" w:type="dxa"/>
          </w:tcPr>
          <w:p>
            <w:pPr>
              <w:bidi w:val="1"/>
              <w:jc w:val="right"/>
            </w:pPr>
            <w:r>
              <w:rPr>
                <w:rFonts w:ascii="Times New Roman" w:hAnsi="Times New Roman" w:cs="Times New Roman"/>
                <w:b w:val="0"/>
                <w:color w:val="000000"/>
                <w:sz w:val="18"/>
                <w:rtl w:val="1"/>
              </w:rPr>
              <w:t>إمكانية استخدام تلك البيانات في هجمات سيبرانية أو اختراقات أو تهديدات للبنية التحتية</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الأثر الأمني</w:t>
            </w:r>
          </w:p>
        </w:tc>
        <w:tc>
          <w:tcPr>
            <w:tcW w:type="dxa" w:w="2268"/>
            <w:shd w:val="clear" w:color="auto" w:fill="EBF3FB"/>
            <w:tcW w:w="500" w:type="dxa"/>
          </w:tcPr>
          <w:p>
            <w:pPr>
              <w:bidi w:val="1"/>
              <w:jc w:val="right"/>
            </w:pPr>
            <w:r>
              <w:rPr>
                <w:rFonts w:ascii="Times New Roman" w:hAnsi="Times New Roman" w:cs="Times New Roman"/>
                <w:b w:val="0"/>
                <w:color w:val="000000"/>
                <w:sz w:val="18"/>
                <w:rtl w:val="1"/>
              </w:rPr>
              <w:t>7</w:t>
            </w:r>
          </w:p>
        </w:tc>
      </w:tr>
      <w:tr>
        <w:tc>
          <w:tcPr>
            <w:tcW w:type="dxa" w:w="2268"/>
            <w:shd w:val="clear" w:color="auto" w:fill="FFFFFF"/>
            <w:tcW w:w="1400" w:type="dxa"/>
          </w:tcPr>
          <w:p>
            <w:pPr>
              <w:bidi w:val="1"/>
              <w:jc w:val="right"/>
            </w:pPr>
            <w:r>
              <w:rPr>
                <w:rFonts w:ascii="Times New Roman" w:hAnsi="Times New Roman" w:cs="Times New Roman"/>
                <w:b w:val="0"/>
                <w:color w:val="000000"/>
                <w:sz w:val="18"/>
                <w:rtl w:val="1"/>
              </w:rPr>
              <w:t>3</w:t>
            </w:r>
          </w:p>
        </w:tc>
        <w:tc>
          <w:tcPr>
            <w:tcW w:type="dxa" w:w="2268"/>
            <w:shd w:val="clear" w:color="auto" w:fill="FFFFFF"/>
            <w:tcW w:w="4600" w:type="dxa"/>
          </w:tcPr>
          <w:p>
            <w:pPr>
              <w:bidi w:val="1"/>
              <w:jc w:val="right"/>
            </w:pPr>
            <w:r>
              <w:rPr>
                <w:rFonts w:ascii="Times New Roman" w:hAnsi="Times New Roman" w:cs="Times New Roman"/>
                <w:b w:val="0"/>
                <w:color w:val="000000"/>
                <w:sz w:val="18"/>
                <w:rtl w:val="1"/>
              </w:rPr>
              <w:t>مدى الحاجة لمشاركة تلك البيانات مع جهات خارجية أو داخلية متعددة مما يرفع مخاطر الإفصاح</w:t>
            </w:r>
          </w:p>
        </w:tc>
        <w:tc>
          <w:tcPr>
            <w:tcW w:type="dxa" w:w="2268"/>
            <w:shd w:val="clear" w:color="auto" w:fill="FFFFFF"/>
            <w:tcW w:w="2500" w:type="dxa"/>
          </w:tcPr>
          <w:p>
            <w:pPr>
              <w:bidi w:val="1"/>
              <w:jc w:val="right"/>
            </w:pPr>
            <w:r>
              <w:rPr>
                <w:rFonts w:ascii="Times New Roman" w:hAnsi="Times New Roman" w:cs="Times New Roman"/>
                <w:b w:val="0"/>
                <w:color w:val="000000"/>
                <w:sz w:val="18"/>
                <w:rtl w:val="1"/>
              </w:rPr>
              <w:t>متطلبات مشاركة البيانات</w:t>
            </w:r>
          </w:p>
        </w:tc>
        <w:tc>
          <w:tcPr>
            <w:tcW w:type="dxa" w:w="2268"/>
            <w:shd w:val="clear" w:color="auto" w:fill="FFFFFF"/>
            <w:tcW w:w="500" w:type="dxa"/>
          </w:tcPr>
          <w:p>
            <w:pPr>
              <w:bidi w:val="1"/>
              <w:jc w:val="right"/>
            </w:pPr>
            <w:r>
              <w:rPr>
                <w:rFonts w:ascii="Times New Roman" w:hAnsi="Times New Roman" w:cs="Times New Roman"/>
                <w:b w:val="0"/>
                <w:color w:val="000000"/>
                <w:sz w:val="18"/>
                <w:rtl w:val="1"/>
              </w:rPr>
              <w:t>8</w:t>
            </w:r>
          </w:p>
        </w:tc>
      </w:tr>
    </w:tbl>
    <w:p/>
    <w:p>
      <w:pPr>
        <w:bidi w:val="1"/>
        <w:jc w:val="right"/>
      </w:pPr>
      <w:r>
        <w:rPr>
          <w:rFonts w:ascii="Times New Roman" w:hAnsi="Times New Roman" w:cs="Times New Roman"/>
          <w:b/>
          <w:color w:val="2E75B6"/>
          <w:sz w:val="24"/>
          <w:rtl w:val="1"/>
        </w:rPr>
        <w:t>6.2  آلية تطبيق المنهجية</w:t>
      </w:r>
    </w:p>
    <w:p/>
    <w:p>
      <w:pPr>
        <w:bidi w:val="1"/>
        <w:jc w:val="right"/>
      </w:pPr>
      <w:r>
        <w:rPr>
          <w:rFonts w:ascii="Times New Roman" w:hAnsi="Times New Roman" w:cs="Times New Roman"/>
          <w:b w:val="0"/>
          <w:sz w:val="22"/>
          <w:rtl w:val="1"/>
        </w:rPr>
        <w:t>•  يُجري مكتب إدارة البيانات جلسة تقييم تشاركية مع مالكي البيانات ومسؤولي التصنيف.</w:t>
      </w:r>
    </w:p>
    <w:p>
      <w:pPr>
        <w:bidi w:val="1"/>
        <w:jc w:val="right"/>
      </w:pPr>
      <w:r>
        <w:rPr>
          <w:rFonts w:ascii="Times New Roman" w:hAnsi="Times New Roman" w:cs="Times New Roman"/>
          <w:b w:val="0"/>
          <w:sz w:val="22"/>
          <w:rtl w:val="1"/>
        </w:rPr>
        <w:t>•  يُقيَّم كل معيار من المعايير الثمانية بدرجة من 1 إلى 3 لكل مجموعة بيانات.</w:t>
      </w:r>
    </w:p>
    <w:p>
      <w:pPr>
        <w:bidi w:val="1"/>
        <w:jc w:val="right"/>
      </w:pPr>
      <w:r>
        <w:rPr>
          <w:rFonts w:ascii="Times New Roman" w:hAnsi="Times New Roman" w:cs="Times New Roman"/>
          <w:b w:val="0"/>
          <w:sz w:val="22"/>
          <w:rtl w:val="1"/>
        </w:rPr>
        <w:t>•  تُجمَع درجات المعايير الثمانية للحصول على المجموع التراكمي (الحد الأقصى 24 درجة).</w:t>
      </w:r>
    </w:p>
    <w:p>
      <w:pPr>
        <w:bidi w:val="1"/>
        <w:jc w:val="right"/>
      </w:pPr>
      <w:r>
        <w:rPr>
          <w:rFonts w:ascii="Times New Roman" w:hAnsi="Times New Roman" w:cs="Times New Roman"/>
          <w:b w:val="0"/>
          <w:sz w:val="22"/>
          <w:rtl w:val="1"/>
        </w:rPr>
        <w:t>•  يُصنَّف مستوى الأولوية وفق جدول تحويل الدرجات الوارد في القسم 6.</w:t>
      </w:r>
    </w:p>
    <w:p>
      <w:pPr>
        <w:bidi w:val="1"/>
        <w:jc w:val="right"/>
      </w:pPr>
      <w:r>
        <w:rPr>
          <w:rFonts w:ascii="Times New Roman" w:hAnsi="Times New Roman" w:cs="Times New Roman"/>
          <w:b w:val="0"/>
          <w:sz w:val="22"/>
          <w:rtl w:val="1"/>
        </w:rPr>
        <w:t>•  تُوضَع النتائج في قائمة الأولويات وتُعرَض على مدير عام الهيئة للاعتماد.</w:t>
      </w:r>
    </w:p>
    <w:p>
      <w:pPr>
        <w:bidi w:val="1"/>
        <w:jc w:val="right"/>
      </w:pPr>
      <w:r>
        <w:rPr>
          <w:rFonts w:ascii="Times New Roman" w:hAnsi="Times New Roman" w:cs="Times New Roman"/>
          <w:b w:val="0"/>
          <w:sz w:val="22"/>
          <w:rtl w:val="1"/>
        </w:rPr>
        <w:t>•  تُراجَع القائمة سنوياً أو عند حدوث تغييرات جوهرية في بيئة البيانات أو التنظيمية.</w:t>
      </w:r>
    </w:p>
    <w:p/>
    <w:p>
      <w:r>
        <w:br w:type="page"/>
      </w:r>
    </w:p>
    <w:p>
      <w:pPr>
        <w:bidi w:val="1"/>
        <w:jc w:val="right"/>
        <w:pBdr>
          <w:bottom w:val="single" w:sz="12" w:space="1" w:color="2E75B6"/>
        </w:pBdr>
      </w:pPr>
      <w:r>
        <w:rPr>
          <w:rFonts w:ascii="Times New Roman" w:hAnsi="Times New Roman" w:cs="Times New Roman"/>
          <w:b/>
          <w:color w:val="1F3864"/>
          <w:sz w:val="28"/>
          <w:rtl w:val="1"/>
        </w:rPr>
        <w:t>7.  قائمة مجموعات البيانات والسجلات ذات الأولوية</w:t>
      </w:r>
    </w:p>
    <w:p/>
    <w:p>
      <w:pPr>
        <w:bidi w:val="1"/>
        <w:jc w:val="right"/>
      </w:pPr>
      <w:r>
        <w:rPr>
          <w:rFonts w:ascii="Times New Roman" w:hAnsi="Times New Roman" w:cs="Times New Roman"/>
          <w:b w:val="0"/>
          <w:sz w:val="22"/>
          <w:rtl w:val="1"/>
        </w:rPr>
        <w:t>تُوضّح القائمة التالية مجموعات البيانات والسجلات المعتمدة للتصنيف وفق ترتيب أولويتها المحدَّد بناءً على المنهجية الواردة في القسم السادس. وقد اعتُمدت خمسة وعشرون مجموعة بيانات تغطي مختلف نطاقات عمل الهيئة مُوزَّعة على مستويات الأولوية الأربعة.</w:t>
      </w:r>
    </w:p>
    <w:p/>
    <w:tbl>
      <w:tblPr>
        <w:tblStyle w:val="TableGrid"/>
        <w:tblW w:type="auto" w:w="0"/>
        <w:tblLook w:firstColumn="1" w:firstRow="1" w:lastColumn="0" w:lastRow="0" w:noHBand="0" w:noVBand="1" w:val="04A0"/>
        <w:bidiVisual w:val="1"/>
      </w:tblPr>
      <w:tblGrid>
        <w:gridCol w:w="1134"/>
        <w:gridCol w:w="1134"/>
        <w:gridCol w:w="1134"/>
        <w:gridCol w:w="1134"/>
        <w:gridCol w:w="1134"/>
        <w:gridCol w:w="1134"/>
        <w:gridCol w:w="1134"/>
        <w:gridCol w:w="1134"/>
      </w:tblGrid>
      <w:tr>
        <w:tc>
          <w:tcPr>
            <w:tcW w:type="dxa" w:w="1134"/>
            <w:shd w:val="clear" w:color="auto" w:fill="1F3864"/>
            <w:tcW w:w="690" w:type="dxa"/>
          </w:tcPr>
          <w:p>
            <w:pPr>
              <w:bidi w:val="1"/>
              <w:jc w:val="center"/>
            </w:pPr>
            <w:r>
              <w:rPr>
                <w:rFonts w:ascii="Times New Roman" w:hAnsi="Times New Roman" w:cs="Times New Roman"/>
                <w:b/>
                <w:color w:val="FFFFFF"/>
                <w:sz w:val="16"/>
                <w:rtl w:val="1"/>
              </w:rPr>
              <w:t>أولوية التصنيف</w:t>
            </w:r>
          </w:p>
        </w:tc>
        <w:tc>
          <w:tcPr>
            <w:tcW w:type="dxa" w:w="1134"/>
            <w:shd w:val="clear" w:color="auto" w:fill="1F3864"/>
            <w:tcW w:w="820" w:type="dxa"/>
          </w:tcPr>
          <w:p>
            <w:pPr>
              <w:bidi w:val="1"/>
              <w:jc w:val="center"/>
            </w:pPr>
            <w:r>
              <w:rPr>
                <w:rFonts w:ascii="Times New Roman" w:hAnsi="Times New Roman" w:cs="Times New Roman"/>
                <w:b/>
                <w:color w:val="FFFFFF"/>
                <w:sz w:val="16"/>
                <w:rtl w:val="1"/>
              </w:rPr>
              <w:t>مستوى الحساسية</w:t>
            </w:r>
          </w:p>
        </w:tc>
        <w:tc>
          <w:tcPr>
            <w:tcW w:type="dxa" w:w="1134"/>
            <w:shd w:val="clear" w:color="auto" w:fill="1F3864"/>
            <w:tcW w:w="680" w:type="dxa"/>
          </w:tcPr>
          <w:p>
            <w:pPr>
              <w:bidi w:val="1"/>
              <w:jc w:val="center"/>
            </w:pPr>
            <w:r>
              <w:rPr>
                <w:rFonts w:ascii="Times New Roman" w:hAnsi="Times New Roman" w:cs="Times New Roman"/>
                <w:b/>
                <w:color w:val="FFFFFF"/>
                <w:sz w:val="16"/>
                <w:rtl w:val="1"/>
              </w:rPr>
              <w:t>مستوى التأثير</w:t>
            </w:r>
          </w:p>
        </w:tc>
        <w:tc>
          <w:tcPr>
            <w:tcW w:type="dxa" w:w="1134"/>
            <w:shd w:val="clear" w:color="auto" w:fill="1F3864"/>
            <w:tcW w:w="1680" w:type="dxa"/>
          </w:tcPr>
          <w:p>
            <w:pPr>
              <w:bidi w:val="1"/>
              <w:jc w:val="center"/>
            </w:pPr>
            <w:r>
              <w:rPr>
                <w:rFonts w:ascii="Times New Roman" w:hAnsi="Times New Roman" w:cs="Times New Roman"/>
                <w:b/>
                <w:color w:val="FFFFFF"/>
                <w:sz w:val="16"/>
                <w:rtl w:val="1"/>
              </w:rPr>
              <w:t>سبب الأولوية</w:t>
            </w:r>
          </w:p>
        </w:tc>
        <w:tc>
          <w:tcPr>
            <w:tcW w:type="dxa" w:w="1134"/>
            <w:shd w:val="clear" w:color="auto" w:fill="1F3864"/>
            <w:tcW w:w="1120" w:type="dxa"/>
          </w:tcPr>
          <w:p>
            <w:pPr>
              <w:bidi w:val="1"/>
              <w:jc w:val="center"/>
            </w:pPr>
            <w:r>
              <w:rPr>
                <w:rFonts w:ascii="Times New Roman" w:hAnsi="Times New Roman" w:cs="Times New Roman"/>
                <w:b/>
                <w:color w:val="FFFFFF"/>
                <w:sz w:val="16"/>
                <w:rtl w:val="1"/>
              </w:rPr>
              <w:t>مالك البيانات</w:t>
            </w:r>
          </w:p>
        </w:tc>
        <w:tc>
          <w:tcPr>
            <w:tcW w:type="dxa" w:w="1134"/>
            <w:shd w:val="clear" w:color="auto" w:fill="1F3864"/>
            <w:tcW w:w="1380" w:type="dxa"/>
          </w:tcPr>
          <w:p>
            <w:pPr>
              <w:bidi w:val="1"/>
              <w:jc w:val="center"/>
            </w:pPr>
            <w:r>
              <w:rPr>
                <w:rFonts w:ascii="Times New Roman" w:hAnsi="Times New Roman" w:cs="Times New Roman"/>
                <w:b/>
                <w:color w:val="FFFFFF"/>
                <w:sz w:val="16"/>
                <w:rtl w:val="1"/>
              </w:rPr>
              <w:t>الإدارة المالكة</w:t>
            </w:r>
          </w:p>
        </w:tc>
        <w:tc>
          <w:tcPr>
            <w:tcW w:type="dxa" w:w="1134"/>
            <w:shd w:val="clear" w:color="auto" w:fill="1F3864"/>
            <w:tcW w:w="1850" w:type="dxa"/>
          </w:tcPr>
          <w:p>
            <w:pPr>
              <w:bidi w:val="1"/>
              <w:jc w:val="center"/>
            </w:pPr>
            <w:r>
              <w:rPr>
                <w:rFonts w:ascii="Times New Roman" w:hAnsi="Times New Roman" w:cs="Times New Roman"/>
                <w:b/>
                <w:color w:val="FFFFFF"/>
                <w:sz w:val="16"/>
                <w:rtl w:val="1"/>
              </w:rPr>
              <w:t>اسم مجموعة البيانات / السجل</w:t>
            </w:r>
          </w:p>
        </w:tc>
        <w:tc>
          <w:tcPr>
            <w:tcW w:type="dxa" w:w="1134"/>
            <w:shd w:val="clear" w:color="auto" w:fill="1F3864"/>
            <w:tcW w:w="380" w:type="dxa"/>
          </w:tcPr>
          <w:p>
            <w:pPr>
              <w:bidi w:val="1"/>
              <w:jc w:val="center"/>
            </w:pPr>
            <w:r>
              <w:rPr>
                <w:rFonts w:ascii="Times New Roman" w:hAnsi="Times New Roman" w:cs="Times New Roman"/>
                <w:b/>
                <w:color w:val="FFFFFF"/>
                <w:sz w:val="16"/>
                <w:rtl w:val="1"/>
              </w:rPr>
              <w:t>م</w:t>
            </w:r>
          </w:p>
        </w:tc>
      </w:tr>
      <w:tr>
        <w:tc>
          <w:tcPr>
            <w:tcW w:type="dxa" w:w="1134"/>
            <w:shd w:val="clear" w:color="auto" w:fill="FFDCE1"/>
            <w:tcW w:w="690" w:type="dxa"/>
          </w:tcPr>
          <w:p>
            <w:pPr>
              <w:bidi w:val="1"/>
              <w:jc w:val="center"/>
            </w:pPr>
            <w:r>
              <w:rPr>
                <w:rFonts w:ascii="Times New Roman" w:hAnsi="Times New Roman" w:cs="Times New Roman"/>
                <w:b/>
                <w:color w:val="C00000"/>
                <w:sz w:val="16"/>
                <w:rtl w:val="1"/>
              </w:rPr>
              <w:t>قصوى</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سري للغاية</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بالغ</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ربط مباشر بمنصة النفاذ الوطني — بيانات سيادية</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الهوية الرقمية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الهوية الرقمية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الهوية والتحقق الإلكتروني</w:t>
            </w:r>
          </w:p>
        </w:tc>
        <w:tc>
          <w:tcPr>
            <w:tcW w:type="dxa" w:w="1134"/>
            <w:shd w:val="clear" w:color="auto" w:fill="1F3864"/>
            <w:tcW w:w="380" w:type="dxa"/>
          </w:tcPr>
          <w:p>
            <w:pPr>
              <w:bidi w:val="1"/>
              <w:jc w:val="center"/>
            </w:pPr>
            <w:r>
              <w:rPr>
                <w:rFonts w:ascii="Times New Roman" w:hAnsi="Times New Roman" w:cs="Times New Roman"/>
                <w:b/>
                <w:color w:val="FFFFFF"/>
                <w:sz w:val="16"/>
                <w:rtl w:val="1"/>
              </w:rPr>
              <w:t>1</w:t>
            </w:r>
          </w:p>
        </w:tc>
      </w:tr>
      <w:tr>
        <w:tc>
          <w:tcPr>
            <w:tcW w:type="dxa" w:w="1134"/>
            <w:shd w:val="clear" w:color="auto" w:fill="FFDCE1"/>
            <w:tcW w:w="690" w:type="dxa"/>
          </w:tcPr>
          <w:p>
            <w:pPr>
              <w:bidi w:val="1"/>
              <w:jc w:val="center"/>
            </w:pPr>
            <w:r>
              <w:rPr>
                <w:rFonts w:ascii="Times New Roman" w:hAnsi="Times New Roman" w:cs="Times New Roman"/>
                <w:b/>
                <w:color w:val="C00000"/>
                <w:sz w:val="16"/>
                <w:rtl w:val="1"/>
              </w:rPr>
              <w:t>قصوى</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سري للغاية</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بالغ</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رصد التهديدات وتوثيق الاختراقات — حرجة لأمن الهيئة</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الأمن السيبراني</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الأمن السيبراني</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سجلات الأحداث والتنبيهات الأمنية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2</w:t>
            </w:r>
          </w:p>
        </w:tc>
      </w:tr>
      <w:tr>
        <w:tc>
          <w:tcPr>
            <w:tcW w:type="dxa" w:w="1134"/>
            <w:shd w:val="clear" w:color="auto" w:fill="FFDCE1"/>
            <w:tcW w:w="690" w:type="dxa"/>
          </w:tcPr>
          <w:p>
            <w:pPr>
              <w:bidi w:val="1"/>
              <w:jc w:val="center"/>
            </w:pPr>
            <w:r>
              <w:rPr>
                <w:rFonts w:ascii="Times New Roman" w:hAnsi="Times New Roman" w:cs="Times New Roman"/>
                <w:b/>
                <w:color w:val="C00000"/>
                <w:sz w:val="16"/>
                <w:rtl w:val="1"/>
              </w:rPr>
              <w:t>قصوى</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بالغ</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تحكم في الوصول لجميع أنظمة الهيئة — مفتاح الوصول</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تقنية المعلومات</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الصلاحيات وإدارة الهوية (IAM)</w:t>
            </w:r>
          </w:p>
        </w:tc>
        <w:tc>
          <w:tcPr>
            <w:tcW w:type="dxa" w:w="1134"/>
            <w:shd w:val="clear" w:color="auto" w:fill="1F3864"/>
            <w:tcW w:w="380" w:type="dxa"/>
          </w:tcPr>
          <w:p>
            <w:pPr>
              <w:bidi w:val="1"/>
              <w:jc w:val="center"/>
            </w:pPr>
            <w:r>
              <w:rPr>
                <w:rFonts w:ascii="Times New Roman" w:hAnsi="Times New Roman" w:cs="Times New Roman"/>
                <w:b/>
                <w:color w:val="FFFFFF"/>
                <w:sz w:val="16"/>
                <w:rtl w:val="1"/>
              </w:rPr>
              <w:t>3</w:t>
            </w:r>
          </w:p>
        </w:tc>
      </w:tr>
      <w:tr>
        <w:tc>
          <w:tcPr>
            <w:tcW w:type="dxa" w:w="1134"/>
            <w:shd w:val="clear" w:color="auto" w:fill="FFDCE1"/>
            <w:tcW w:w="690" w:type="dxa"/>
          </w:tcPr>
          <w:p>
            <w:pPr>
              <w:bidi w:val="1"/>
              <w:jc w:val="center"/>
            </w:pPr>
            <w:r>
              <w:rPr>
                <w:rFonts w:ascii="Times New Roman" w:hAnsi="Times New Roman" w:cs="Times New Roman"/>
                <w:b/>
                <w:color w:val="C00000"/>
                <w:sz w:val="16"/>
                <w:rtl w:val="1"/>
              </w:rPr>
              <w:t>قصوى</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بالغ</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تكامل وطني مع أكثر من 12 جهة — تأثير سيادي</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الشراكات</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الشراكات الحكومية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التكامل مع الجهات الحكومية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4</w:t>
            </w:r>
          </w:p>
        </w:tc>
      </w:tr>
      <w:tr>
        <w:tc>
          <w:tcPr>
            <w:tcW w:type="dxa" w:w="1134"/>
            <w:shd w:val="clear" w:color="auto" w:fill="FFDCE1"/>
            <w:tcW w:w="690" w:type="dxa"/>
          </w:tcPr>
          <w:p>
            <w:pPr>
              <w:bidi w:val="1"/>
              <w:jc w:val="center"/>
            </w:pPr>
            <w:r>
              <w:rPr>
                <w:rFonts w:ascii="Times New Roman" w:hAnsi="Times New Roman" w:cs="Times New Roman"/>
                <w:b/>
                <w:color w:val="C00000"/>
                <w:sz w:val="16"/>
                <w:rtl w:val="1"/>
              </w:rPr>
              <w:t>قصوى</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بالغ</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بيانات مالية شخصية حساسة — متطلب نظام العمل والتأمينات</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الموارد البشرية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الرواتب والمزايا الوظيفية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5</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معاملات مالية — التزامات نظام الإجراءات الحكومية المالية</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المدير المالي</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الإدارة المالية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المدفوعات والمعاملات المالية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6</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بيانات شخصية وظيفية — نظام حماية البيانات الشخصية</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الموارد البشرية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الموظفين والملفات الوظيفية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7</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التزامات قانونية وتعاقدية — مخاطر قانونية عند الكشف</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المستشار القانوني</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الشؤون القانونية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العقود والاتفاقيات</w:t>
            </w:r>
          </w:p>
        </w:tc>
        <w:tc>
          <w:tcPr>
            <w:tcW w:type="dxa" w:w="1134"/>
            <w:shd w:val="clear" w:color="auto" w:fill="1F3864"/>
            <w:tcW w:w="380" w:type="dxa"/>
          </w:tcPr>
          <w:p>
            <w:pPr>
              <w:bidi w:val="1"/>
              <w:jc w:val="center"/>
            </w:pPr>
            <w:r>
              <w:rPr>
                <w:rFonts w:ascii="Times New Roman" w:hAnsi="Times New Roman" w:cs="Times New Roman"/>
                <w:b/>
                <w:color w:val="FFFFFF"/>
                <w:sz w:val="16"/>
                <w:rtl w:val="1"/>
              </w:rPr>
              <w:t>8</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حوكمة ورقابة مؤسسية — مرجع للجهات الرقابية</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التدقيق الداخلي</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التدقيق الداخلي</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سجلات التدقيق الداخلي والرقابة</w:t>
            </w:r>
          </w:p>
        </w:tc>
        <w:tc>
          <w:tcPr>
            <w:tcW w:type="dxa" w:w="1134"/>
            <w:shd w:val="clear" w:color="auto" w:fill="1F3864"/>
            <w:tcW w:w="380" w:type="dxa"/>
          </w:tcPr>
          <w:p>
            <w:pPr>
              <w:bidi w:val="1"/>
              <w:jc w:val="center"/>
            </w:pPr>
            <w:r>
              <w:rPr>
                <w:rFonts w:ascii="Times New Roman" w:hAnsi="Times New Roman" w:cs="Times New Roman"/>
                <w:b/>
                <w:color w:val="FFFFFF"/>
                <w:sz w:val="16"/>
                <w:rtl w:val="1"/>
              </w:rPr>
              <w:t>9</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سري</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توجيه مؤسسي — الكشف يُخل بالتفوق التنافسي والتخطيط</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التخطيط الاستراتيجي</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مكتب الاستراتيجية والتخطيط</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الأهداف والخطط الاستراتيجية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10</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بيانات شخصية مستفيدين — متطلب نظام حماية البيانات</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الخدمات الرقمية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المستخدمين والمستفيدين</w:t>
            </w:r>
          </w:p>
        </w:tc>
        <w:tc>
          <w:tcPr>
            <w:tcW w:type="dxa" w:w="1134"/>
            <w:shd w:val="clear" w:color="auto" w:fill="1F3864"/>
            <w:tcW w:w="380" w:type="dxa"/>
          </w:tcPr>
          <w:p>
            <w:pPr>
              <w:bidi w:val="1"/>
              <w:jc w:val="center"/>
            </w:pPr>
            <w:r>
              <w:rPr>
                <w:rFonts w:ascii="Times New Roman" w:hAnsi="Times New Roman" w:cs="Times New Roman"/>
                <w:b/>
                <w:color w:val="FFFFFF"/>
                <w:sz w:val="16"/>
                <w:rtl w:val="1"/>
              </w:rPr>
              <w:t>11</w:t>
            </w:r>
          </w:p>
        </w:tc>
      </w:tr>
      <w:tr>
        <w:tc>
          <w:tcPr>
            <w:tcW w:type="dxa" w:w="1134"/>
            <w:shd w:val="clear" w:color="auto" w:fill="FCE4D6"/>
            <w:tcW w:w="690" w:type="dxa"/>
          </w:tcPr>
          <w:p>
            <w:pPr>
              <w:bidi w:val="1"/>
              <w:jc w:val="center"/>
            </w:pPr>
            <w:r>
              <w:rPr>
                <w:rFonts w:ascii="Times New Roman" w:hAnsi="Times New Roman" w:cs="Times New Roman"/>
                <w:b/>
                <w:color w:val="C55A11"/>
                <w:sz w:val="16"/>
                <w:rtl w:val="1"/>
              </w:rPr>
              <w:t>عالية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عالٍ</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عمليات يومية حرجة — تتضمن بيانات حساسة للمستفيدين</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العمليات الرقمية</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طلبات ومعاملات المستفيدين</w:t>
            </w:r>
          </w:p>
        </w:tc>
        <w:tc>
          <w:tcPr>
            <w:tcW w:type="dxa" w:w="1134"/>
            <w:shd w:val="clear" w:color="auto" w:fill="1F3864"/>
            <w:tcW w:w="380" w:type="dxa"/>
          </w:tcPr>
          <w:p>
            <w:pPr>
              <w:bidi w:val="1"/>
              <w:jc w:val="center"/>
            </w:pPr>
            <w:r>
              <w:rPr>
                <w:rFonts w:ascii="Times New Roman" w:hAnsi="Times New Roman" w:cs="Times New Roman"/>
                <w:b/>
                <w:color w:val="FFFFFF"/>
                <w:sz w:val="16"/>
                <w:rtl w:val="1"/>
              </w:rPr>
              <w:t>12</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وصف وإعدادات الخدمات — تأثير على تجربة المستفيد</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التحول الرقمي</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التحول الرقمي</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الخدمات الحكومية الرقمية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13</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علاقات تعاقدية — بيانات ائتمانية ومالية للموردين</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المشتريات</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المشتريات</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الموردين والمتعاقدين</w:t>
            </w:r>
          </w:p>
        </w:tc>
        <w:tc>
          <w:tcPr>
            <w:tcW w:type="dxa" w:w="1134"/>
            <w:shd w:val="clear" w:color="auto" w:fill="1F3864"/>
            <w:tcW w:w="380" w:type="dxa"/>
          </w:tcPr>
          <w:p>
            <w:pPr>
              <w:bidi w:val="1"/>
              <w:jc w:val="center"/>
            </w:pPr>
            <w:r>
              <w:rPr>
                <w:rFonts w:ascii="Times New Roman" w:hAnsi="Times New Roman" w:cs="Times New Roman"/>
                <w:b/>
                <w:color w:val="FFFFFF"/>
                <w:sz w:val="16"/>
                <w:rtl w:val="1"/>
              </w:rPr>
              <w:t>14</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وثائق رسمية — قد تحمل قرارات أو توجيهات حساسة</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مكتب المدير العام</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مكتب المدير العام</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المراسلات والخطابات الرسمية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15</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قرارات مؤسسية رسمية — وثائق مرجعية قانونية</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مسؤول الحوكمة المؤسسية</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مكتب الحوكمة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سجلات الاجتماعات واللجان الحوكمية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16</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خرائط الأنظمة — معلومات مفيدة للجهات المهاجِمة</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البنية التحتية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الأصول والبنية التحتية التقنية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17</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إطار تشغيلي داخلي — يكشف آليات العمل الداخلي</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إدارة البيانات</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وثائق السياسات والإجراءات الداخلية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18</w:t>
            </w:r>
          </w:p>
        </w:tc>
      </w:tr>
      <w:tr>
        <w:tc>
          <w:tcPr>
            <w:tcW w:type="dxa" w:w="1134"/>
            <w:shd w:val="clear" w:color="auto" w:fill="FFF2CC"/>
            <w:tcW w:w="690" w:type="dxa"/>
          </w:tcPr>
          <w:p>
            <w:pPr>
              <w:bidi w:val="1"/>
              <w:jc w:val="center"/>
            </w:pPr>
            <w:r>
              <w:rPr>
                <w:rFonts w:ascii="Times New Roman" w:hAnsi="Times New Roman" w:cs="Times New Roman"/>
                <w:b/>
                <w:color w:val="7F6000"/>
                <w:sz w:val="16"/>
                <w:rtl w:val="1"/>
              </w:rPr>
              <w:t>متوسطة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متوسط</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كشف نقاط الضعف — معلومات قيّمة للمهاجمين المحتملين</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العمليات التقنية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سجلات الحوادث التقنية وطلبات الدعم</w:t>
            </w:r>
          </w:p>
        </w:tc>
        <w:tc>
          <w:tcPr>
            <w:tcW w:type="dxa" w:w="1134"/>
            <w:shd w:val="clear" w:color="auto" w:fill="1F3864"/>
            <w:tcW w:w="380" w:type="dxa"/>
          </w:tcPr>
          <w:p>
            <w:pPr>
              <w:bidi w:val="1"/>
              <w:jc w:val="center"/>
            </w:pPr>
            <w:r>
              <w:rPr>
                <w:rFonts w:ascii="Times New Roman" w:hAnsi="Times New Roman" w:cs="Times New Roman"/>
                <w:b/>
                <w:color w:val="FFFFFF"/>
                <w:sz w:val="16"/>
                <w:rtl w:val="1"/>
              </w:rPr>
              <w:t>19</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تطوير الكفاءات — محتوى تشغيلي محدود الحساسية</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التدريب والتطوير</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التدريب والتطوير الوظيفي</w:t>
            </w:r>
          </w:p>
        </w:tc>
        <w:tc>
          <w:tcPr>
            <w:tcW w:type="dxa" w:w="1134"/>
            <w:shd w:val="clear" w:color="auto" w:fill="1F3864"/>
            <w:tcW w:w="380" w:type="dxa"/>
          </w:tcPr>
          <w:p>
            <w:pPr>
              <w:bidi w:val="1"/>
              <w:jc w:val="center"/>
            </w:pPr>
            <w:r>
              <w:rPr>
                <w:rFonts w:ascii="Times New Roman" w:hAnsi="Times New Roman" w:cs="Times New Roman"/>
                <w:b/>
                <w:color w:val="FFFFFF"/>
                <w:sz w:val="16"/>
                <w:rtl w:val="1"/>
              </w:rPr>
              <w:t>20</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مقيّد</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متابعة الأداء — تُوزَّع داخلياً على نطاق واسع</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تقارير الأداء</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التقارير الإدارية الدورية</w:t>
            </w:r>
          </w:p>
        </w:tc>
        <w:tc>
          <w:tcPr>
            <w:tcW w:type="dxa" w:w="1134"/>
            <w:shd w:val="clear" w:color="auto" w:fill="1F3864"/>
            <w:tcW w:w="380" w:type="dxa"/>
          </w:tcPr>
          <w:p>
            <w:pPr>
              <w:bidi w:val="1"/>
              <w:jc w:val="center"/>
            </w:pPr>
            <w:r>
              <w:rPr>
                <w:rFonts w:ascii="Times New Roman" w:hAnsi="Times New Roman" w:cs="Times New Roman"/>
                <w:b/>
                <w:color w:val="FFFFFF"/>
                <w:sz w:val="16"/>
                <w:rtl w:val="1"/>
              </w:rPr>
              <w:t>21</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عام</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قياس جودة الخدمة — بيانات مجمَّعة غير شخصية</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تجربة المستخدم</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إدارة تجربة المستخدم</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بيانات استطلاعات رضا المستفيدين</w:t>
            </w:r>
          </w:p>
        </w:tc>
        <w:tc>
          <w:tcPr>
            <w:tcW w:type="dxa" w:w="1134"/>
            <w:shd w:val="clear" w:color="auto" w:fill="1F3864"/>
            <w:tcW w:w="380" w:type="dxa"/>
          </w:tcPr>
          <w:p>
            <w:pPr>
              <w:bidi w:val="1"/>
              <w:jc w:val="center"/>
            </w:pPr>
            <w:r>
              <w:rPr>
                <w:rFonts w:ascii="Times New Roman" w:hAnsi="Times New Roman" w:cs="Times New Roman"/>
                <w:b/>
                <w:color w:val="FFFFFF"/>
                <w:sz w:val="16"/>
                <w:rtl w:val="1"/>
              </w:rPr>
              <w:t>22</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عام</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توعية وتسويق — مُعَدّة للنشر العام</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العلاقات العامة</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بيانات فعاليات الهيئة وأحداثها</w:t>
            </w:r>
          </w:p>
        </w:tc>
        <w:tc>
          <w:tcPr>
            <w:tcW w:type="dxa" w:w="1134"/>
            <w:shd w:val="clear" w:color="auto" w:fill="1F3864"/>
            <w:tcW w:w="380" w:type="dxa"/>
          </w:tcPr>
          <w:p>
            <w:pPr>
              <w:bidi w:val="1"/>
              <w:jc w:val="center"/>
            </w:pPr>
            <w:r>
              <w:rPr>
                <w:rFonts w:ascii="Times New Roman" w:hAnsi="Times New Roman" w:cs="Times New Roman"/>
                <w:b/>
                <w:color w:val="FFFFFF"/>
                <w:sz w:val="16"/>
                <w:rtl w:val="1"/>
              </w:rPr>
              <w:t>23</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FFFFFF"/>
            <w:tcW w:w="820" w:type="dxa"/>
          </w:tcPr>
          <w:p>
            <w:pPr>
              <w:bidi w:val="1"/>
              <w:jc w:val="right"/>
            </w:pPr>
            <w:r>
              <w:rPr>
                <w:rFonts w:ascii="Times New Roman" w:hAnsi="Times New Roman" w:cs="Times New Roman"/>
                <w:b w:val="0"/>
                <w:color w:val="000000"/>
                <w:sz w:val="16"/>
                <w:rtl w:val="1"/>
              </w:rPr>
              <w:t>عام</w:t>
            </w:r>
          </w:p>
        </w:tc>
        <w:tc>
          <w:tcPr>
            <w:tcW w:type="dxa" w:w="1134"/>
            <w:shd w:val="clear" w:color="auto" w:fill="FFFFFF"/>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FFFFFF"/>
            <w:tcW w:w="1680" w:type="dxa"/>
          </w:tcPr>
          <w:p>
            <w:pPr>
              <w:bidi w:val="1"/>
              <w:jc w:val="right"/>
            </w:pPr>
            <w:r>
              <w:rPr>
                <w:rFonts w:ascii="Times New Roman" w:hAnsi="Times New Roman" w:cs="Times New Roman"/>
                <w:b w:val="0"/>
                <w:color w:val="000000"/>
                <w:sz w:val="16"/>
                <w:rtl w:val="1"/>
              </w:rPr>
              <w:t>شفافية بيانات مؤسسية — مُعتمَدة للنشر الخارجي</w:t>
            </w:r>
          </w:p>
        </w:tc>
        <w:tc>
          <w:tcPr>
            <w:tcW w:type="dxa" w:w="1134"/>
            <w:shd w:val="clear" w:color="auto" w:fill="FFFFFF"/>
            <w:tcW w:w="1120" w:type="dxa"/>
          </w:tcPr>
          <w:p>
            <w:pPr>
              <w:bidi w:val="1"/>
              <w:jc w:val="right"/>
            </w:pPr>
            <w:r>
              <w:rPr>
                <w:rFonts w:ascii="Times New Roman" w:hAnsi="Times New Roman" w:cs="Times New Roman"/>
                <w:b w:val="0"/>
                <w:color w:val="000000"/>
                <w:sz w:val="16"/>
                <w:rtl w:val="1"/>
              </w:rPr>
              <w:t>مدير مكتب إدارة البيانات</w:t>
            </w:r>
          </w:p>
        </w:tc>
        <w:tc>
          <w:tcPr>
            <w:tcW w:type="dxa" w:w="1134"/>
            <w:shd w:val="clear" w:color="auto" w:fill="FFFFFF"/>
            <w:tcW w:w="138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FFFFFF"/>
            <w:tcW w:w="1850" w:type="dxa"/>
          </w:tcPr>
          <w:p>
            <w:pPr>
              <w:bidi w:val="1"/>
              <w:jc w:val="right"/>
            </w:pPr>
            <w:r>
              <w:rPr>
                <w:rFonts w:ascii="Times New Roman" w:hAnsi="Times New Roman" w:cs="Times New Roman"/>
                <w:b w:val="0"/>
                <w:color w:val="000000"/>
                <w:sz w:val="16"/>
                <w:rtl w:val="1"/>
              </w:rPr>
              <w:t>الإحصاءات والتقارير المنشورة للعموم</w:t>
            </w:r>
          </w:p>
        </w:tc>
        <w:tc>
          <w:tcPr>
            <w:tcW w:type="dxa" w:w="1134"/>
            <w:shd w:val="clear" w:color="auto" w:fill="1F3864"/>
            <w:tcW w:w="380" w:type="dxa"/>
          </w:tcPr>
          <w:p>
            <w:pPr>
              <w:bidi w:val="1"/>
              <w:jc w:val="center"/>
            </w:pPr>
            <w:r>
              <w:rPr>
                <w:rFonts w:ascii="Times New Roman" w:hAnsi="Times New Roman" w:cs="Times New Roman"/>
                <w:b/>
                <w:color w:val="FFFFFF"/>
                <w:sz w:val="16"/>
                <w:rtl w:val="1"/>
              </w:rPr>
              <w:t>24</w:t>
            </w:r>
          </w:p>
        </w:tc>
      </w:tr>
      <w:tr>
        <w:tc>
          <w:tcPr>
            <w:tcW w:type="dxa" w:w="1134"/>
            <w:shd w:val="clear" w:color="auto" w:fill="E2EFDA"/>
            <w:tcW w:w="690" w:type="dxa"/>
          </w:tcPr>
          <w:p>
            <w:pPr>
              <w:bidi w:val="1"/>
              <w:jc w:val="center"/>
            </w:pPr>
            <w:r>
              <w:rPr>
                <w:rFonts w:ascii="Times New Roman" w:hAnsi="Times New Roman" w:cs="Times New Roman"/>
                <w:b/>
                <w:color w:val="107C41"/>
                <w:sz w:val="16"/>
                <w:rtl w:val="1"/>
              </w:rPr>
              <w:t>منخفضة</w:t>
            </w:r>
          </w:p>
        </w:tc>
        <w:tc>
          <w:tcPr>
            <w:tcW w:type="dxa" w:w="1134"/>
            <w:shd w:val="clear" w:color="auto" w:fill="EBF3FB"/>
            <w:tcW w:w="820" w:type="dxa"/>
          </w:tcPr>
          <w:p>
            <w:pPr>
              <w:bidi w:val="1"/>
              <w:jc w:val="right"/>
            </w:pPr>
            <w:r>
              <w:rPr>
                <w:rFonts w:ascii="Times New Roman" w:hAnsi="Times New Roman" w:cs="Times New Roman"/>
                <w:b w:val="0"/>
                <w:color w:val="000000"/>
                <w:sz w:val="16"/>
                <w:rtl w:val="1"/>
              </w:rPr>
              <w:t>عام</w:t>
            </w:r>
          </w:p>
        </w:tc>
        <w:tc>
          <w:tcPr>
            <w:tcW w:type="dxa" w:w="1134"/>
            <w:shd w:val="clear" w:color="auto" w:fill="EBF3FB"/>
            <w:tcW w:w="680" w:type="dxa"/>
          </w:tcPr>
          <w:p>
            <w:pPr>
              <w:bidi w:val="1"/>
              <w:jc w:val="right"/>
            </w:pPr>
            <w:r>
              <w:rPr>
                <w:rFonts w:ascii="Times New Roman" w:hAnsi="Times New Roman" w:cs="Times New Roman"/>
                <w:b w:val="0"/>
                <w:color w:val="000000"/>
                <w:sz w:val="16"/>
                <w:rtl w:val="1"/>
              </w:rPr>
              <w:t>منخفض</w:t>
            </w:r>
          </w:p>
        </w:tc>
        <w:tc>
          <w:tcPr>
            <w:tcW w:type="dxa" w:w="1134"/>
            <w:shd w:val="clear" w:color="auto" w:fill="EBF3FB"/>
            <w:tcW w:w="1680" w:type="dxa"/>
          </w:tcPr>
          <w:p>
            <w:pPr>
              <w:bidi w:val="1"/>
              <w:jc w:val="right"/>
            </w:pPr>
            <w:r>
              <w:rPr>
                <w:rFonts w:ascii="Times New Roman" w:hAnsi="Times New Roman" w:cs="Times New Roman"/>
                <w:b w:val="0"/>
                <w:color w:val="000000"/>
                <w:sz w:val="16"/>
                <w:rtl w:val="1"/>
              </w:rPr>
              <w:t>محتوى عام مُوجَّه للجمهور — لا قيود على التوزيع</w:t>
            </w:r>
          </w:p>
        </w:tc>
        <w:tc>
          <w:tcPr>
            <w:tcW w:type="dxa" w:w="1134"/>
            <w:shd w:val="clear" w:color="auto" w:fill="EBF3FB"/>
            <w:tcW w:w="1120" w:type="dxa"/>
          </w:tcPr>
          <w:p>
            <w:pPr>
              <w:bidi w:val="1"/>
              <w:jc w:val="right"/>
            </w:pPr>
            <w:r>
              <w:rPr>
                <w:rFonts w:ascii="Times New Roman" w:hAnsi="Times New Roman" w:cs="Times New Roman"/>
                <w:b w:val="0"/>
                <w:color w:val="000000"/>
                <w:sz w:val="16"/>
                <w:rtl w:val="1"/>
              </w:rPr>
              <w:t>مدير الاتصال الرقمي</w:t>
            </w:r>
          </w:p>
        </w:tc>
        <w:tc>
          <w:tcPr>
            <w:tcW w:type="dxa" w:w="1134"/>
            <w:shd w:val="clear" w:color="auto" w:fill="EBF3FB"/>
            <w:tcW w:w="138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EBF3FB"/>
            <w:tcW w:w="1850" w:type="dxa"/>
          </w:tcPr>
          <w:p>
            <w:pPr>
              <w:bidi w:val="1"/>
              <w:jc w:val="right"/>
            </w:pPr>
            <w:r>
              <w:rPr>
                <w:rFonts w:ascii="Times New Roman" w:hAnsi="Times New Roman" w:cs="Times New Roman"/>
                <w:b w:val="0"/>
                <w:color w:val="000000"/>
                <w:sz w:val="16"/>
                <w:rtl w:val="1"/>
              </w:rPr>
              <w:t>المحتوى الرقمي للموقع الإلكتروني الرسمي</w:t>
            </w:r>
          </w:p>
        </w:tc>
        <w:tc>
          <w:tcPr>
            <w:tcW w:type="dxa" w:w="1134"/>
            <w:shd w:val="clear" w:color="auto" w:fill="1F3864"/>
            <w:tcW w:w="380" w:type="dxa"/>
          </w:tcPr>
          <w:p>
            <w:pPr>
              <w:bidi w:val="1"/>
              <w:jc w:val="center"/>
            </w:pPr>
            <w:r>
              <w:rPr>
                <w:rFonts w:ascii="Times New Roman" w:hAnsi="Times New Roman" w:cs="Times New Roman"/>
                <w:b/>
                <w:color w:val="FFFFFF"/>
                <w:sz w:val="16"/>
                <w:rtl w:val="1"/>
              </w:rPr>
              <w:t>25</w:t>
            </w:r>
          </w:p>
        </w:tc>
      </w:tr>
    </w:tbl>
    <w:p/>
    <w:p>
      <w:pPr>
        <w:bidi w:val="1"/>
        <w:jc w:val="right"/>
      </w:pPr>
      <w:r>
        <w:rPr>
          <w:rFonts w:ascii="Times New Roman" w:hAnsi="Times New Roman" w:cs="Times New Roman"/>
          <w:b/>
          <w:color w:val="1F3864"/>
          <w:sz w:val="22"/>
          <w:rtl w:val="1"/>
        </w:rPr>
        <w:t>مفتاح مستويات الأولوية والحساسية</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FFDCE1"/>
            <w:tcW w:w="2250" w:type="dxa"/>
          </w:tcPr>
          <w:p>
            <w:pPr>
              <w:bidi w:val="1"/>
              <w:jc w:val="center"/>
            </w:pPr>
            <w:r>
              <w:rPr>
                <w:rFonts w:ascii="Times New Roman" w:hAnsi="Times New Roman" w:cs="Times New Roman"/>
                <w:b/>
                <w:color w:val="C00000"/>
                <w:sz w:val="18"/>
                <w:rtl w:val="1"/>
              </w:rPr>
              <w:t>أولوية قصوى</w:t>
            </w:r>
          </w:p>
        </w:tc>
        <w:tc>
          <w:tcPr>
            <w:tcW w:type="dxa" w:w="2268"/>
            <w:shd w:val="clear" w:color="auto" w:fill="FCE4D6"/>
            <w:tcW w:w="2250" w:type="dxa"/>
          </w:tcPr>
          <w:p>
            <w:pPr>
              <w:bidi w:val="1"/>
              <w:jc w:val="center"/>
            </w:pPr>
            <w:r>
              <w:rPr>
                <w:rFonts w:ascii="Times New Roman" w:hAnsi="Times New Roman" w:cs="Times New Roman"/>
                <w:b/>
                <w:color w:val="C55A11"/>
                <w:sz w:val="18"/>
                <w:rtl w:val="1"/>
              </w:rPr>
              <w:t>أولوية عالية</w:t>
            </w:r>
          </w:p>
        </w:tc>
        <w:tc>
          <w:tcPr>
            <w:tcW w:type="dxa" w:w="2268"/>
            <w:shd w:val="clear" w:color="auto" w:fill="FFF2CC"/>
            <w:tcW w:w="2250" w:type="dxa"/>
          </w:tcPr>
          <w:p>
            <w:pPr>
              <w:bidi w:val="1"/>
              <w:jc w:val="center"/>
            </w:pPr>
            <w:r>
              <w:rPr>
                <w:rFonts w:ascii="Times New Roman" w:hAnsi="Times New Roman" w:cs="Times New Roman"/>
                <w:b/>
                <w:color w:val="7F6000"/>
                <w:sz w:val="18"/>
                <w:rtl w:val="1"/>
              </w:rPr>
              <w:t>أولوية متوسطة</w:t>
            </w:r>
          </w:p>
        </w:tc>
        <w:tc>
          <w:tcPr>
            <w:tcW w:type="dxa" w:w="2268"/>
            <w:shd w:val="clear" w:color="auto" w:fill="E2EFDA"/>
            <w:tcW w:w="2250" w:type="dxa"/>
          </w:tcPr>
          <w:p>
            <w:pPr>
              <w:bidi w:val="1"/>
              <w:jc w:val="center"/>
            </w:pPr>
            <w:r>
              <w:rPr>
                <w:rFonts w:ascii="Times New Roman" w:hAnsi="Times New Roman" w:cs="Times New Roman"/>
                <w:b/>
                <w:color w:val="107C41"/>
                <w:sz w:val="18"/>
                <w:rtl w:val="1"/>
              </w:rPr>
              <w:t>أولوية منخفضة</w:t>
            </w:r>
          </w:p>
        </w:tc>
      </w:tr>
      <w:tr>
        <w:tc>
          <w:tcPr>
            <w:tcW w:type="dxa" w:w="2268"/>
            <w:shd w:val="clear" w:color="auto" w:fill="1F3864"/>
            <w:tcW w:w="2250" w:type="dxa"/>
          </w:tcPr>
          <w:p>
            <w:pPr>
              <w:bidi w:val="1"/>
              <w:jc w:val="center"/>
            </w:pPr>
            <w:r>
              <w:rPr>
                <w:rFonts w:ascii="Times New Roman" w:hAnsi="Times New Roman" w:cs="Times New Roman"/>
                <w:b/>
                <w:color w:val="FFFFFF"/>
                <w:sz w:val="18"/>
                <w:rtl w:val="1"/>
              </w:rPr>
              <w:t>سرّي للغاية (Top Secret)</w:t>
            </w:r>
          </w:p>
        </w:tc>
        <w:tc>
          <w:tcPr>
            <w:tcW w:type="dxa" w:w="2268"/>
            <w:shd w:val="clear" w:color="auto" w:fill="1F3864"/>
            <w:tcW w:w="2250" w:type="dxa"/>
          </w:tcPr>
          <w:p>
            <w:pPr>
              <w:bidi w:val="1"/>
              <w:jc w:val="center"/>
            </w:pPr>
            <w:r>
              <w:rPr>
                <w:rFonts w:ascii="Times New Roman" w:hAnsi="Times New Roman" w:cs="Times New Roman"/>
                <w:b/>
                <w:color w:val="FFFFFF"/>
                <w:sz w:val="18"/>
                <w:rtl w:val="1"/>
              </w:rPr>
              <w:t>سرّي (Secret)</w:t>
            </w:r>
          </w:p>
        </w:tc>
        <w:tc>
          <w:tcPr>
            <w:tcW w:type="dxa" w:w="2268"/>
            <w:shd w:val="clear" w:color="auto" w:fill="1F3864"/>
            <w:tcW w:w="2250" w:type="dxa"/>
          </w:tcPr>
          <w:p>
            <w:pPr>
              <w:bidi w:val="1"/>
              <w:jc w:val="center"/>
            </w:pPr>
            <w:r>
              <w:rPr>
                <w:rFonts w:ascii="Times New Roman" w:hAnsi="Times New Roman" w:cs="Times New Roman"/>
                <w:b/>
                <w:color w:val="FFFFFF"/>
                <w:sz w:val="18"/>
                <w:rtl w:val="1"/>
              </w:rPr>
              <w:t>مقيّد (Confidential)</w:t>
            </w:r>
          </w:p>
        </w:tc>
        <w:tc>
          <w:tcPr>
            <w:tcW w:type="dxa" w:w="2268"/>
            <w:shd w:val="clear" w:color="auto" w:fill="1F3864"/>
            <w:tcW w:w="2250" w:type="dxa"/>
          </w:tcPr>
          <w:p>
            <w:pPr>
              <w:bidi w:val="1"/>
              <w:jc w:val="center"/>
            </w:pPr>
            <w:r>
              <w:rPr>
                <w:rFonts w:ascii="Times New Roman" w:hAnsi="Times New Roman" w:cs="Times New Roman"/>
                <w:b/>
                <w:color w:val="FFFFFF"/>
                <w:sz w:val="18"/>
                <w:rtl w:val="1"/>
              </w:rPr>
              <w:t>عام (Public)</w:t>
            </w:r>
          </w:p>
        </w:tc>
      </w:tr>
    </w:tbl>
    <w:p/>
    <w:p>
      <w:r>
        <w:br w:type="page"/>
      </w:r>
    </w:p>
    <w:p>
      <w:pPr>
        <w:bidi w:val="1"/>
        <w:jc w:val="right"/>
        <w:pBdr>
          <w:bottom w:val="single" w:sz="12" w:space="1" w:color="2E75B6"/>
        </w:pBdr>
      </w:pPr>
      <w:r>
        <w:rPr>
          <w:rFonts w:ascii="Times New Roman" w:hAnsi="Times New Roman" w:cs="Times New Roman"/>
          <w:b/>
          <w:color w:val="1F3864"/>
          <w:sz w:val="28"/>
          <w:rtl w:val="1"/>
        </w:rPr>
        <w:t>8.  مصفوفة تصنيف الأولويات</w:t>
      </w:r>
    </w:p>
    <w:p/>
    <w:p>
      <w:pPr>
        <w:bidi w:val="1"/>
        <w:jc w:val="right"/>
      </w:pPr>
      <w:r>
        <w:rPr>
          <w:rFonts w:ascii="Times New Roman" w:hAnsi="Times New Roman" w:cs="Times New Roman"/>
          <w:b w:val="0"/>
          <w:sz w:val="22"/>
          <w:rtl w:val="1"/>
        </w:rPr>
        <w:t>توضّح المصفوفة التالية التعريف التفصيلي لكل مستوى أولوية والمعايير المستخدمة لتحديده والإجراءات المطلوبة عند تصنيف البيانات ضمنه:</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7200" w:type="dxa"/>
          </w:tcPr>
          <w:p>
            <w:pPr>
              <w:bidi w:val="1"/>
              <w:jc w:val="center"/>
            </w:pPr>
            <w:r>
              <w:rPr>
                <w:rFonts w:ascii="Times New Roman" w:hAnsi="Times New Roman" w:cs="Times New Roman"/>
                <w:b/>
                <w:color w:val="FFFFFF"/>
                <w:sz w:val="20"/>
                <w:rtl w:val="1"/>
              </w:rPr>
              <w:t>التعريف والمعايير</w:t>
            </w:r>
          </w:p>
        </w:tc>
        <w:tc>
          <w:tcPr>
            <w:tcW w:type="dxa" w:w="4536"/>
            <w:shd w:val="clear" w:color="auto" w:fill="1F3864"/>
            <w:tcW w:w="1800" w:type="dxa"/>
          </w:tcPr>
          <w:p>
            <w:pPr>
              <w:bidi w:val="1"/>
              <w:jc w:val="center"/>
            </w:pPr>
            <w:r>
              <w:rPr>
                <w:rFonts w:ascii="Times New Roman" w:hAnsi="Times New Roman" w:cs="Times New Roman"/>
                <w:b/>
                <w:color w:val="FFFFFF"/>
                <w:sz w:val="20"/>
                <w:rtl w:val="1"/>
              </w:rPr>
              <w:t>مستوى الأولوية</w:t>
            </w:r>
          </w:p>
        </w:tc>
      </w:tr>
      <w:tr>
        <w:tc>
          <w:tcPr>
            <w:tcW w:type="dxa" w:w="4536"/>
            <w:shd w:val="clear" w:color="auto" w:fill="FFFFFF"/>
            <w:tcW w:w="7200" w:type="dxa"/>
          </w:tcPr>
          <w:p>
            <w:pPr>
              <w:bidi w:val="1"/>
              <w:jc w:val="right"/>
            </w:pPr>
            <w:r>
              <w:rPr>
                <w:rFonts w:ascii="Times New Roman" w:hAnsi="Times New Roman" w:cs="Times New Roman"/>
                <w:b w:val="0"/>
                <w:color w:val="000000"/>
                <w:sz w:val="20"/>
                <w:rtl w:val="1"/>
              </w:rPr>
              <w:t>البيانات التي يترتب على الكشف عنها أو فقدانها أو تلفها أضرارٌ بالغة على الهيئة أو على المستفيدين أو على الأمن الوطني. تتميز بحساسية عالية (سري / سري للغاية)، وتأثير تشغيلي وأمني بالغ، وارتباط مباشر بمتطلبات تنظيمية ملزمة ووجود بيانات شخصية حساسة أو بيانات تكامل وطني. يجب البدء فوراً بتصنيف هذه المجموعات.</w:t>
            </w:r>
          </w:p>
        </w:tc>
        <w:tc>
          <w:tcPr>
            <w:tcW w:type="dxa" w:w="4536"/>
            <w:shd w:val="clear" w:color="auto" w:fill="FFDCE1"/>
            <w:tcW w:w="1800" w:type="dxa"/>
          </w:tcPr>
          <w:p>
            <w:pPr>
              <w:bidi w:val="1"/>
              <w:jc w:val="center"/>
            </w:pPr>
            <w:r>
              <w:rPr>
                <w:rFonts w:ascii="Times New Roman" w:hAnsi="Times New Roman" w:cs="Times New Roman"/>
                <w:b/>
                <w:color w:val="C00000"/>
                <w:sz w:val="22"/>
                <w:rtl w:val="1"/>
              </w:rPr>
              <w:t>أولوية قصوى</w:t>
            </w:r>
          </w:p>
        </w:tc>
      </w:tr>
      <w:tr>
        <w:tc>
          <w:tcPr>
            <w:tcW w:type="dxa" w:w="4536"/>
            <w:shd w:val="clear" w:color="auto" w:fill="FFFFFF"/>
            <w:tcW w:w="7200" w:type="dxa"/>
          </w:tcPr>
          <w:p>
            <w:pPr>
              <w:bidi w:val="1"/>
              <w:jc w:val="right"/>
            </w:pPr>
            <w:r>
              <w:rPr>
                <w:rFonts w:ascii="Times New Roman" w:hAnsi="Times New Roman" w:cs="Times New Roman"/>
                <w:b w:val="0"/>
                <w:color w:val="000000"/>
                <w:sz w:val="20"/>
                <w:rtl w:val="1"/>
              </w:rPr>
              <w:t>البيانات التي يترتب على عدم تصنيفها في الوقت المناسب مخاطر مالية أو قانونية أو تشغيلية عالية. تشمل البيانات الشخصية التشغيلية والبيانات المالية والعقود والالتزامات القانونية. تُصنَّف مباشرة بعد استكمال تصنيف الأولوية القصوى.</w:t>
            </w:r>
          </w:p>
        </w:tc>
        <w:tc>
          <w:tcPr>
            <w:tcW w:type="dxa" w:w="4536"/>
            <w:shd w:val="clear" w:color="auto" w:fill="FCE4D6"/>
            <w:tcW w:w="1800" w:type="dxa"/>
          </w:tcPr>
          <w:p>
            <w:pPr>
              <w:bidi w:val="1"/>
              <w:jc w:val="center"/>
            </w:pPr>
            <w:r>
              <w:rPr>
                <w:rFonts w:ascii="Times New Roman" w:hAnsi="Times New Roman" w:cs="Times New Roman"/>
                <w:b/>
                <w:color w:val="C55A11"/>
                <w:sz w:val="22"/>
                <w:rtl w:val="1"/>
              </w:rPr>
              <w:t>أولوية عالية</w:t>
            </w:r>
          </w:p>
        </w:tc>
      </w:tr>
      <w:tr>
        <w:tc>
          <w:tcPr>
            <w:tcW w:type="dxa" w:w="4536"/>
            <w:shd w:val="clear" w:color="auto" w:fill="FFFFFF"/>
            <w:tcW w:w="7200" w:type="dxa"/>
          </w:tcPr>
          <w:p>
            <w:pPr>
              <w:bidi w:val="1"/>
              <w:jc w:val="right"/>
            </w:pPr>
            <w:r>
              <w:rPr>
                <w:rFonts w:ascii="Times New Roman" w:hAnsi="Times New Roman" w:cs="Times New Roman"/>
                <w:b w:val="0"/>
                <w:color w:val="000000"/>
                <w:sz w:val="20"/>
                <w:rtl w:val="1"/>
              </w:rPr>
              <w:t>البيانات ذات التأثير المتوسط على العمليات الداخلية والحساسية المحدودة (مقيّد). تشمل وثائق السياسات الداخلية والتقارير التشغيلية والمراسلات الرسمية. لا يترتب على تأخير تصنيفها أي تهديد فوري للعمليات أو لأمن البيانات.</w:t>
            </w:r>
          </w:p>
        </w:tc>
        <w:tc>
          <w:tcPr>
            <w:tcW w:type="dxa" w:w="4536"/>
            <w:shd w:val="clear" w:color="auto" w:fill="FFF2CC"/>
            <w:tcW w:w="1800" w:type="dxa"/>
          </w:tcPr>
          <w:p>
            <w:pPr>
              <w:bidi w:val="1"/>
              <w:jc w:val="center"/>
            </w:pPr>
            <w:r>
              <w:rPr>
                <w:rFonts w:ascii="Times New Roman" w:hAnsi="Times New Roman" w:cs="Times New Roman"/>
                <w:b/>
                <w:color w:val="7F6000"/>
                <w:sz w:val="22"/>
                <w:rtl w:val="1"/>
              </w:rPr>
              <w:t>أولوية متوسطة</w:t>
            </w:r>
          </w:p>
        </w:tc>
      </w:tr>
      <w:tr>
        <w:tc>
          <w:tcPr>
            <w:tcW w:type="dxa" w:w="4536"/>
            <w:shd w:val="clear" w:color="auto" w:fill="FFFFFF"/>
            <w:tcW w:w="7200" w:type="dxa"/>
          </w:tcPr>
          <w:p>
            <w:pPr>
              <w:bidi w:val="1"/>
              <w:jc w:val="right"/>
            </w:pPr>
            <w:r>
              <w:rPr>
                <w:rFonts w:ascii="Times New Roman" w:hAnsi="Times New Roman" w:cs="Times New Roman"/>
                <w:b w:val="0"/>
                <w:color w:val="000000"/>
                <w:sz w:val="20"/>
                <w:rtl w:val="1"/>
              </w:rPr>
              <w:t>البيانات المتاحة للعموم أو ذات الحساسية المنخفضة جداً (عام) التي لا تحمل متطلبات تنظيمية صارمة وتأثيرها التشغيلي محدود. يمكن تأجيل تصنيفها إلى مراحل لاحقة دون أي أثر سلبي على استمرارية العمل المؤسسي.</w:t>
            </w:r>
          </w:p>
        </w:tc>
        <w:tc>
          <w:tcPr>
            <w:tcW w:type="dxa" w:w="4536"/>
            <w:shd w:val="clear" w:color="auto" w:fill="E2EFDA"/>
            <w:tcW w:w="1800" w:type="dxa"/>
          </w:tcPr>
          <w:p>
            <w:pPr>
              <w:bidi w:val="1"/>
              <w:jc w:val="center"/>
            </w:pPr>
            <w:r>
              <w:rPr>
                <w:rFonts w:ascii="Times New Roman" w:hAnsi="Times New Roman" w:cs="Times New Roman"/>
                <w:b/>
                <w:color w:val="107C41"/>
                <w:sz w:val="22"/>
                <w:rtl w:val="1"/>
              </w:rPr>
              <w:t>أولوية منخفضة</w:t>
            </w:r>
          </w:p>
        </w:tc>
      </w:tr>
    </w:tbl>
    <w:p/>
    <w:p>
      <w:pPr>
        <w:bidi w:val="1"/>
        <w:jc w:val="right"/>
      </w:pPr>
      <w:r>
        <w:rPr>
          <w:rFonts w:ascii="Times New Roman" w:hAnsi="Times New Roman" w:cs="Times New Roman"/>
          <w:b/>
          <w:color w:val="2E75B6"/>
          <w:sz w:val="24"/>
          <w:rtl w:val="1"/>
        </w:rPr>
        <w:t>8.1  عوامل رفع مستوى الأولوية</w:t>
      </w:r>
    </w:p>
    <w:p/>
    <w:p>
      <w:pPr>
        <w:bidi w:val="1"/>
        <w:jc w:val="right"/>
      </w:pPr>
      <w:r>
        <w:rPr>
          <w:rFonts w:ascii="Times New Roman" w:hAnsi="Times New Roman" w:cs="Times New Roman"/>
          <w:b w:val="0"/>
          <w:sz w:val="22"/>
          <w:rtl w:val="1"/>
        </w:rPr>
        <w:t>يُرفَع مستوى أولوية مجموعة بيانات تلقائياً إلى المستوى الأعلى إذا توافر أيٌّ من العوامل الآتية:</w:t>
      </w:r>
    </w:p>
    <w:p>
      <w:pPr>
        <w:bidi w:val="1"/>
        <w:jc w:val="right"/>
      </w:pPr>
      <w:r>
        <w:rPr>
          <w:rFonts w:ascii="Times New Roman" w:hAnsi="Times New Roman" w:cs="Times New Roman"/>
          <w:b w:val="0"/>
          <w:sz w:val="22"/>
          <w:rtl w:val="1"/>
        </w:rPr>
        <w:t>•  صدور تعليمات رقابية ملزمة تشترط تصنيف بيانات بعينها بصفة عاجلة.</w:t>
      </w:r>
    </w:p>
    <w:p>
      <w:pPr>
        <w:bidi w:val="1"/>
        <w:jc w:val="right"/>
      </w:pPr>
      <w:r>
        <w:rPr>
          <w:rFonts w:ascii="Times New Roman" w:hAnsi="Times New Roman" w:cs="Times New Roman"/>
          <w:b w:val="0"/>
          <w:sz w:val="22"/>
          <w:rtl w:val="1"/>
        </w:rPr>
        <w:t>•  وقوع حادثة أمنية أو اختراق يُعرض نوعاً من البيانات للخطر.</w:t>
      </w:r>
    </w:p>
    <w:p>
      <w:pPr>
        <w:bidi w:val="1"/>
        <w:jc w:val="right"/>
      </w:pPr>
      <w:r>
        <w:rPr>
          <w:rFonts w:ascii="Times New Roman" w:hAnsi="Times New Roman" w:cs="Times New Roman"/>
          <w:b w:val="0"/>
          <w:sz w:val="22"/>
          <w:rtl w:val="1"/>
        </w:rPr>
        <w:t>•  تغيير جوهري في طبيعة البيانات أو مستوى حساسيتها (إضافة بيانات شخصية مثلاً).</w:t>
      </w:r>
    </w:p>
    <w:p>
      <w:pPr>
        <w:bidi w:val="1"/>
        <w:jc w:val="right"/>
      </w:pPr>
      <w:r>
        <w:rPr>
          <w:rFonts w:ascii="Times New Roman" w:hAnsi="Times New Roman" w:cs="Times New Roman"/>
          <w:b w:val="0"/>
          <w:sz w:val="22"/>
          <w:rtl w:val="1"/>
        </w:rPr>
        <w:t>•  قرار الإدارة العليا أو توصية لجنة التدقيق بمعالجة فئة بيانات بعينها بصفة أولى.</w:t>
      </w:r>
    </w:p>
    <w:p>
      <w:pPr>
        <w:bidi w:val="1"/>
        <w:jc w:val="right"/>
      </w:pPr>
      <w:r>
        <w:rPr>
          <w:rFonts w:ascii="Times New Roman" w:hAnsi="Times New Roman" w:cs="Times New Roman"/>
          <w:b w:val="0"/>
          <w:sz w:val="22"/>
          <w:rtl w:val="1"/>
        </w:rPr>
        <w:t>•  انضمام خدمة رقمية جديدة ذات مستوى مخاطر عالٍ إلى منظومة الهيئة.</w:t>
      </w:r>
    </w:p>
    <w:p/>
    <w:p>
      <w:pPr>
        <w:bidi w:val="1"/>
        <w:jc w:val="right"/>
      </w:pPr>
      <w:r>
        <w:rPr>
          <w:rFonts w:ascii="Times New Roman" w:hAnsi="Times New Roman" w:cs="Times New Roman"/>
          <w:b/>
          <w:color w:val="2E75B6"/>
          <w:sz w:val="24"/>
          <w:rtl w:val="1"/>
        </w:rPr>
        <w:t>8.2  عوامل خفض مستوى الأولوية</w:t>
      </w:r>
    </w:p>
    <w:p/>
    <w:p>
      <w:pPr>
        <w:bidi w:val="1"/>
        <w:jc w:val="right"/>
      </w:pPr>
      <w:r>
        <w:rPr>
          <w:rFonts w:ascii="Times New Roman" w:hAnsi="Times New Roman" w:cs="Times New Roman"/>
          <w:b w:val="0"/>
          <w:sz w:val="22"/>
          <w:rtl w:val="1"/>
        </w:rPr>
        <w:t>يُراجَع مستوى الأولوية ويُخفَّض إذا توافر أيٌّ من الآتي:</w:t>
      </w:r>
    </w:p>
    <w:p>
      <w:pPr>
        <w:bidi w:val="1"/>
        <w:jc w:val="right"/>
      </w:pPr>
      <w:r>
        <w:rPr>
          <w:rFonts w:ascii="Times New Roman" w:hAnsi="Times New Roman" w:cs="Times New Roman"/>
          <w:b w:val="0"/>
          <w:sz w:val="22"/>
          <w:rtl w:val="1"/>
        </w:rPr>
        <w:t>•  انتهاء الغرض من الاحتفاظ بالبيانات وإتلافها وفق جدول الاحتفاظ المعتمد.</w:t>
      </w:r>
    </w:p>
    <w:p>
      <w:pPr>
        <w:bidi w:val="1"/>
        <w:jc w:val="right"/>
      </w:pPr>
      <w:r>
        <w:rPr>
          <w:rFonts w:ascii="Times New Roman" w:hAnsi="Times New Roman" w:cs="Times New Roman"/>
          <w:b w:val="0"/>
          <w:sz w:val="22"/>
          <w:rtl w:val="1"/>
        </w:rPr>
        <w:t>•  تحويل ملكية مجموعة البيانات إلى جهة خارجية تتولى مسؤولية تصنيفها.</w:t>
      </w:r>
    </w:p>
    <w:p>
      <w:pPr>
        <w:bidi w:val="1"/>
        <w:jc w:val="right"/>
      </w:pPr>
      <w:r>
        <w:rPr>
          <w:rFonts w:ascii="Times New Roman" w:hAnsi="Times New Roman" w:cs="Times New Roman"/>
          <w:b w:val="0"/>
          <w:sz w:val="22"/>
          <w:rtl w:val="1"/>
        </w:rPr>
        <w:t>•  انخفاض مستوى حساسية البيانات بموجب قرار مكتب إدارة البيانات.</w:t>
      </w:r>
    </w:p>
    <w:p>
      <w:pPr>
        <w:bidi w:val="1"/>
        <w:jc w:val="right"/>
      </w:pPr>
      <w:r>
        <w:rPr>
          <w:rFonts w:ascii="Times New Roman" w:hAnsi="Times New Roman" w:cs="Times New Roman"/>
          <w:b w:val="0"/>
          <w:sz w:val="22"/>
          <w:rtl w:val="1"/>
        </w:rPr>
        <w:t>•  تصنيف البيانات فعلياً وإغلاق متطلب تصنيفها مع الاحتفاظ بنتائج التصنيف.</w:t>
      </w:r>
    </w:p>
    <w:p/>
    <w:p>
      <w:r>
        <w:br w:type="page"/>
      </w:r>
    </w:p>
    <w:p>
      <w:pPr>
        <w:bidi w:val="1"/>
        <w:jc w:val="right"/>
        <w:pBdr>
          <w:bottom w:val="single" w:sz="12" w:space="1" w:color="2E75B6"/>
        </w:pBdr>
      </w:pPr>
      <w:r>
        <w:rPr>
          <w:rFonts w:ascii="Times New Roman" w:hAnsi="Times New Roman" w:cs="Times New Roman"/>
          <w:b/>
          <w:color w:val="1F3864"/>
          <w:sz w:val="28"/>
          <w:rtl w:val="1"/>
        </w:rPr>
        <w:t>9.  عملية المراجعة والتحديث</w:t>
      </w:r>
    </w:p>
    <w:p/>
    <w:p>
      <w:pPr>
        <w:bidi w:val="1"/>
        <w:jc w:val="right"/>
      </w:pPr>
      <w:r>
        <w:rPr>
          <w:rFonts w:ascii="Times New Roman" w:hAnsi="Times New Roman" w:cs="Times New Roman"/>
          <w:b w:val="0"/>
          <w:sz w:val="22"/>
          <w:rtl w:val="1"/>
        </w:rPr>
        <w:t>تُعدّ قائمة أولويات البيانات وثيقةً حيّة تتطور مع تطور بيئة البيانات المؤسسية والمتطلبات التنظيمية. وتُحدَّد مواعيد المراجعة على النحو الآتي:</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2900" w:type="dxa"/>
          </w:tcPr>
          <w:p>
            <w:pPr>
              <w:bidi w:val="1"/>
              <w:jc w:val="center"/>
            </w:pPr>
            <w:r>
              <w:rPr>
                <w:rFonts w:ascii="Times New Roman" w:hAnsi="Times New Roman" w:cs="Times New Roman"/>
                <w:b/>
                <w:color w:val="FFFFFF"/>
                <w:sz w:val="18"/>
                <w:rtl w:val="1"/>
              </w:rPr>
              <w:t>مخرج المراجعة</w:t>
            </w:r>
          </w:p>
        </w:tc>
        <w:tc>
          <w:tcPr>
            <w:tcW w:type="dxa" w:w="1814"/>
            <w:shd w:val="clear" w:color="auto" w:fill="1F3864"/>
            <w:tcW w:w="2200" w:type="dxa"/>
          </w:tcPr>
          <w:p>
            <w:pPr>
              <w:bidi w:val="1"/>
              <w:jc w:val="center"/>
            </w:pPr>
            <w:r>
              <w:rPr>
                <w:rFonts w:ascii="Times New Roman" w:hAnsi="Times New Roman" w:cs="Times New Roman"/>
                <w:b/>
                <w:color w:val="FFFFFF"/>
                <w:sz w:val="18"/>
                <w:rtl w:val="1"/>
              </w:rPr>
              <w:t>المسؤول</w:t>
            </w:r>
          </w:p>
        </w:tc>
        <w:tc>
          <w:tcPr>
            <w:tcW w:type="dxa" w:w="1814"/>
            <w:shd w:val="clear" w:color="auto" w:fill="1F3864"/>
            <w:tcW w:w="2000" w:type="dxa"/>
          </w:tcPr>
          <w:p>
            <w:pPr>
              <w:bidi w:val="1"/>
              <w:jc w:val="center"/>
            </w:pPr>
            <w:r>
              <w:rPr>
                <w:rFonts w:ascii="Times New Roman" w:hAnsi="Times New Roman" w:cs="Times New Roman"/>
                <w:b/>
                <w:color w:val="FFFFFF"/>
                <w:sz w:val="18"/>
                <w:rtl w:val="1"/>
              </w:rPr>
              <w:t>التوقيت</w:t>
            </w:r>
          </w:p>
        </w:tc>
        <w:tc>
          <w:tcPr>
            <w:tcW w:type="dxa" w:w="1814"/>
            <w:shd w:val="clear" w:color="auto" w:fill="1F3864"/>
            <w:tcW w:w="2500" w:type="dxa"/>
          </w:tcPr>
          <w:p>
            <w:pPr>
              <w:bidi w:val="1"/>
              <w:jc w:val="center"/>
            </w:pPr>
            <w:r>
              <w:rPr>
                <w:rFonts w:ascii="Times New Roman" w:hAnsi="Times New Roman" w:cs="Times New Roman"/>
                <w:b/>
                <w:color w:val="FFFFFF"/>
                <w:sz w:val="18"/>
                <w:rtl w:val="1"/>
              </w:rPr>
              <w:t>محفّز المراجعة</w:t>
            </w:r>
          </w:p>
        </w:tc>
        <w:tc>
          <w:tcPr>
            <w:tcW w:type="dxa" w:w="1814"/>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1814"/>
            <w:shd w:val="clear" w:color="auto" w:fill="EBF3FB"/>
            <w:tcW w:w="2900" w:type="dxa"/>
          </w:tcPr>
          <w:p>
            <w:pPr>
              <w:bidi w:val="1"/>
              <w:jc w:val="right"/>
            </w:pPr>
            <w:r>
              <w:rPr>
                <w:rFonts w:ascii="Times New Roman" w:hAnsi="Times New Roman" w:cs="Times New Roman"/>
                <w:b w:val="0"/>
                <w:color w:val="000000"/>
                <w:sz w:val="18"/>
                <w:rtl w:val="1"/>
              </w:rPr>
              <w:t>قائمة أولويات محدَّثة معتمدة من مدير عام الهيئة</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مكتب إدارة البيانات</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يناير من كل سنة هجرية</w:t>
            </w:r>
          </w:p>
        </w:tc>
        <w:tc>
          <w:tcPr>
            <w:tcW w:type="dxa" w:w="1814"/>
            <w:shd w:val="clear" w:color="auto" w:fill="EBF3FB"/>
            <w:tcW w:w="2500" w:type="dxa"/>
          </w:tcPr>
          <w:p>
            <w:pPr>
              <w:bidi w:val="1"/>
              <w:jc w:val="right"/>
            </w:pPr>
            <w:r>
              <w:rPr>
                <w:rFonts w:ascii="Times New Roman" w:hAnsi="Times New Roman" w:cs="Times New Roman"/>
                <w:b w:val="0"/>
                <w:color w:val="000000"/>
                <w:sz w:val="18"/>
                <w:rtl w:val="1"/>
              </w:rPr>
              <w:t>المراجعة السنوية الدورية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1814"/>
            <w:shd w:val="clear" w:color="auto" w:fill="FFFFFF"/>
            <w:tcW w:w="2900" w:type="dxa"/>
          </w:tcPr>
          <w:p>
            <w:pPr>
              <w:bidi w:val="1"/>
              <w:jc w:val="right"/>
            </w:pPr>
            <w:r>
              <w:rPr>
                <w:rFonts w:ascii="Times New Roman" w:hAnsi="Times New Roman" w:cs="Times New Roman"/>
                <w:b w:val="0"/>
                <w:color w:val="000000"/>
                <w:sz w:val="18"/>
                <w:rtl w:val="1"/>
              </w:rPr>
              <w:t>إضافة المجموعة الجديدة وتحديد مستوى أولويتها</w:t>
            </w:r>
          </w:p>
        </w:tc>
        <w:tc>
          <w:tcPr>
            <w:tcW w:type="dxa" w:w="1814"/>
            <w:shd w:val="clear" w:color="auto" w:fill="FFFFFF"/>
            <w:tcW w:w="2200" w:type="dxa"/>
          </w:tcPr>
          <w:p>
            <w:pPr>
              <w:bidi w:val="1"/>
              <w:jc w:val="right"/>
            </w:pPr>
            <w:r>
              <w:rPr>
                <w:rFonts w:ascii="Times New Roman" w:hAnsi="Times New Roman" w:cs="Times New Roman"/>
                <w:b w:val="0"/>
                <w:color w:val="000000"/>
                <w:sz w:val="18"/>
                <w:rtl w:val="1"/>
              </w:rPr>
              <w:t>مالك البيانات + مكتب إدارة البيانات</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خلال 30 يوماً من التسجيل</w:t>
            </w:r>
          </w:p>
        </w:tc>
        <w:tc>
          <w:tcPr>
            <w:tcW w:type="dxa" w:w="1814"/>
            <w:shd w:val="clear" w:color="auto" w:fill="FFFFFF"/>
            <w:tcW w:w="2500" w:type="dxa"/>
          </w:tcPr>
          <w:p>
            <w:pPr>
              <w:bidi w:val="1"/>
              <w:jc w:val="right"/>
            </w:pPr>
            <w:r>
              <w:rPr>
                <w:rFonts w:ascii="Times New Roman" w:hAnsi="Times New Roman" w:cs="Times New Roman"/>
                <w:b w:val="0"/>
                <w:color w:val="000000"/>
                <w:sz w:val="18"/>
                <w:rtl w:val="1"/>
              </w:rPr>
              <w:t>إنشاء مجموعة بيانات جديدة</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1814"/>
            <w:shd w:val="clear" w:color="auto" w:fill="EBF3FB"/>
            <w:tcW w:w="2900" w:type="dxa"/>
          </w:tcPr>
          <w:p>
            <w:pPr>
              <w:bidi w:val="1"/>
              <w:jc w:val="right"/>
            </w:pPr>
            <w:r>
              <w:rPr>
                <w:rFonts w:ascii="Times New Roman" w:hAnsi="Times New Roman" w:cs="Times New Roman"/>
                <w:b w:val="0"/>
                <w:color w:val="000000"/>
                <w:sz w:val="18"/>
                <w:rtl w:val="1"/>
              </w:rPr>
              <w:t>مراجعة التأثير على مستويات الأولوية وتعديلها</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مكتب إدارة البيانات</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خلال 60 يوماً من صدور المتطلب</w:t>
            </w:r>
          </w:p>
        </w:tc>
        <w:tc>
          <w:tcPr>
            <w:tcW w:type="dxa" w:w="1814"/>
            <w:shd w:val="clear" w:color="auto" w:fill="EBF3FB"/>
            <w:tcW w:w="2500" w:type="dxa"/>
          </w:tcPr>
          <w:p>
            <w:pPr>
              <w:bidi w:val="1"/>
              <w:jc w:val="right"/>
            </w:pPr>
            <w:r>
              <w:rPr>
                <w:rFonts w:ascii="Times New Roman" w:hAnsi="Times New Roman" w:cs="Times New Roman"/>
                <w:b w:val="0"/>
                <w:color w:val="000000"/>
                <w:sz w:val="18"/>
                <w:rtl w:val="1"/>
              </w:rPr>
              <w:t>تغيير المتطلبات التنظيمية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1814"/>
            <w:shd w:val="clear" w:color="auto" w:fill="FFFFFF"/>
            <w:tcW w:w="2900" w:type="dxa"/>
          </w:tcPr>
          <w:p>
            <w:pPr>
              <w:bidi w:val="1"/>
              <w:jc w:val="right"/>
            </w:pPr>
            <w:r>
              <w:rPr>
                <w:rFonts w:ascii="Times New Roman" w:hAnsi="Times New Roman" w:cs="Times New Roman"/>
                <w:b w:val="0"/>
                <w:color w:val="000000"/>
                <w:sz w:val="18"/>
                <w:rtl w:val="1"/>
              </w:rPr>
              <w:t>تحديث معايير الأولوية للمجموعات المتأثرة</w:t>
            </w:r>
          </w:p>
        </w:tc>
        <w:tc>
          <w:tcPr>
            <w:tcW w:type="dxa" w:w="1814"/>
            <w:shd w:val="clear" w:color="auto" w:fill="FFFFFF"/>
            <w:tcW w:w="2200" w:type="dxa"/>
          </w:tcPr>
          <w:p>
            <w:pPr>
              <w:bidi w:val="1"/>
              <w:jc w:val="right"/>
            </w:pPr>
            <w:r>
              <w:rPr>
                <w:rFonts w:ascii="Times New Roman" w:hAnsi="Times New Roman" w:cs="Times New Roman"/>
                <w:b w:val="0"/>
                <w:color w:val="000000"/>
                <w:sz w:val="18"/>
                <w:rtl w:val="1"/>
              </w:rPr>
              <w:t>مالكو البيانات المتأثرون</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خلال 45 يوماً من التغيير</w:t>
            </w:r>
          </w:p>
        </w:tc>
        <w:tc>
          <w:tcPr>
            <w:tcW w:type="dxa" w:w="1814"/>
            <w:shd w:val="clear" w:color="auto" w:fill="FFFFFF"/>
            <w:tcW w:w="2500" w:type="dxa"/>
          </w:tcPr>
          <w:p>
            <w:pPr>
              <w:bidi w:val="1"/>
              <w:jc w:val="right"/>
            </w:pPr>
            <w:r>
              <w:rPr>
                <w:rFonts w:ascii="Times New Roman" w:hAnsi="Times New Roman" w:cs="Times New Roman"/>
                <w:b w:val="0"/>
                <w:color w:val="000000"/>
                <w:sz w:val="18"/>
                <w:rtl w:val="1"/>
              </w:rPr>
              <w:t>تغيير جوهري في الأعمال</w:t>
            </w:r>
          </w:p>
        </w:tc>
        <w:tc>
          <w:tcPr>
            <w:tcW w:type="dxa" w:w="1814"/>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1814"/>
            <w:shd w:val="clear" w:color="auto" w:fill="EBF3FB"/>
            <w:tcW w:w="2900" w:type="dxa"/>
          </w:tcPr>
          <w:p>
            <w:pPr>
              <w:bidi w:val="1"/>
              <w:jc w:val="right"/>
            </w:pPr>
            <w:r>
              <w:rPr>
                <w:rFonts w:ascii="Times New Roman" w:hAnsi="Times New Roman" w:cs="Times New Roman"/>
                <w:b w:val="0"/>
                <w:color w:val="000000"/>
                <w:sz w:val="18"/>
                <w:rtl w:val="1"/>
              </w:rPr>
              <w:t>رفع مستوى أولوية البيانات المعرَّضة للخطر فوراً</w:t>
            </w:r>
          </w:p>
        </w:tc>
        <w:tc>
          <w:tcPr>
            <w:tcW w:type="dxa" w:w="1814"/>
            <w:shd w:val="clear" w:color="auto" w:fill="EBF3FB"/>
            <w:tcW w:w="2200" w:type="dxa"/>
          </w:tcPr>
          <w:p>
            <w:pPr>
              <w:bidi w:val="1"/>
              <w:jc w:val="right"/>
            </w:pPr>
            <w:r>
              <w:rPr>
                <w:rFonts w:ascii="Times New Roman" w:hAnsi="Times New Roman" w:cs="Times New Roman"/>
                <w:b w:val="0"/>
                <w:color w:val="000000"/>
                <w:sz w:val="18"/>
                <w:rtl w:val="1"/>
              </w:rPr>
              <w:t>مدير الأمن السيبراني + مكتب إدارة البيانات</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فور استيعاب الحادثة</w:t>
            </w:r>
          </w:p>
        </w:tc>
        <w:tc>
          <w:tcPr>
            <w:tcW w:type="dxa" w:w="1814"/>
            <w:shd w:val="clear" w:color="auto" w:fill="EBF3FB"/>
            <w:tcW w:w="2500" w:type="dxa"/>
          </w:tcPr>
          <w:p>
            <w:pPr>
              <w:bidi w:val="1"/>
              <w:jc w:val="right"/>
            </w:pPr>
            <w:r>
              <w:rPr>
                <w:rFonts w:ascii="Times New Roman" w:hAnsi="Times New Roman" w:cs="Times New Roman"/>
                <w:b w:val="0"/>
                <w:color w:val="000000"/>
                <w:sz w:val="18"/>
                <w:rtl w:val="1"/>
              </w:rPr>
              <w:t>حادثة أمنية مؤثرة</w:t>
            </w:r>
          </w:p>
        </w:tc>
        <w:tc>
          <w:tcPr>
            <w:tcW w:type="dxa" w:w="1814"/>
            <w:shd w:val="clear" w:color="auto" w:fill="EBF3FB"/>
            <w:tcW w:w="400" w:type="dxa"/>
          </w:tcPr>
          <w:p>
            <w:pPr>
              <w:bidi w:val="1"/>
              <w:jc w:val="right"/>
            </w:pPr>
            <w:r>
              <w:rPr>
                <w:rFonts w:ascii="Times New Roman" w:hAnsi="Times New Roman" w:cs="Times New Roman"/>
                <w:b w:val="0"/>
                <w:color w:val="000000"/>
                <w:sz w:val="18"/>
                <w:rtl w:val="1"/>
              </w:rPr>
              <w:t>5</w:t>
            </w:r>
          </w:p>
        </w:tc>
      </w:tr>
    </w:tbl>
    <w:p/>
    <w:p>
      <w:pPr>
        <w:bidi w:val="1"/>
        <w:jc w:val="right"/>
      </w:pPr>
      <w:r>
        <w:rPr>
          <w:rFonts w:ascii="Times New Roman" w:hAnsi="Times New Roman" w:cs="Times New Roman"/>
          <w:b/>
          <w:color w:val="2E75B6"/>
          <w:sz w:val="24"/>
          <w:rtl w:val="1"/>
        </w:rPr>
        <w:t>9.1  إجراءات المراجعة</w:t>
      </w:r>
    </w:p>
    <w:p/>
    <w:p>
      <w:pPr>
        <w:bidi w:val="1"/>
        <w:jc w:val="right"/>
      </w:pPr>
      <w:r>
        <w:rPr>
          <w:rFonts w:ascii="Times New Roman" w:hAnsi="Times New Roman" w:cs="Times New Roman"/>
          <w:b w:val="0"/>
          <w:sz w:val="22"/>
          <w:rtl w:val="1"/>
        </w:rPr>
        <w:t>•  يُصدر مكتب إدارة البيانات إشعاراً رسمياً لجميع مالكي البيانات يطلب فيه تحديث معلومات مجموعاتهم.</w:t>
      </w:r>
    </w:p>
    <w:p>
      <w:pPr>
        <w:bidi w:val="1"/>
        <w:jc w:val="right"/>
      </w:pPr>
      <w:r>
        <w:rPr>
          <w:rFonts w:ascii="Times New Roman" w:hAnsi="Times New Roman" w:cs="Times New Roman"/>
          <w:b w:val="0"/>
          <w:sz w:val="22"/>
          <w:rtl w:val="1"/>
        </w:rPr>
        <w:t>•  يُجري كل مالك تقييماً ذاتياً للمعايير الثمانية لكل مجموعة بيانات يملكها.</w:t>
      </w:r>
    </w:p>
    <w:p>
      <w:pPr>
        <w:bidi w:val="1"/>
        <w:jc w:val="right"/>
      </w:pPr>
      <w:r>
        <w:rPr>
          <w:rFonts w:ascii="Times New Roman" w:hAnsi="Times New Roman" w:cs="Times New Roman"/>
          <w:b w:val="0"/>
          <w:sz w:val="22"/>
          <w:rtl w:val="1"/>
        </w:rPr>
        <w:t>•  يجتمع مكتب إدارة البيانات مع مالكي البيانات لمناقشة النتائج والتحقق من الدرجات.</w:t>
      </w:r>
    </w:p>
    <w:p>
      <w:pPr>
        <w:bidi w:val="1"/>
        <w:jc w:val="right"/>
      </w:pPr>
      <w:r>
        <w:rPr>
          <w:rFonts w:ascii="Times New Roman" w:hAnsi="Times New Roman" w:cs="Times New Roman"/>
          <w:b w:val="0"/>
          <w:sz w:val="22"/>
          <w:rtl w:val="1"/>
        </w:rPr>
        <w:t>•  يُعدّ مكتب إدارة البيانات القائمة المحدَّثة ويرفعها لاعتماد مدير عام الهيئة.</w:t>
      </w:r>
    </w:p>
    <w:p>
      <w:pPr>
        <w:bidi w:val="1"/>
        <w:jc w:val="right"/>
      </w:pPr>
      <w:r>
        <w:rPr>
          <w:rFonts w:ascii="Times New Roman" w:hAnsi="Times New Roman" w:cs="Times New Roman"/>
          <w:b w:val="0"/>
          <w:sz w:val="22"/>
          <w:rtl w:val="1"/>
        </w:rPr>
        <w:t>•  يُوزَّع النسخة المعتمدة على جميع مالكي البيانات والمعنيين بالتصنيف.</w:t>
      </w:r>
    </w:p>
    <w:p>
      <w:pPr>
        <w:bidi w:val="1"/>
        <w:jc w:val="right"/>
      </w:pPr>
      <w:r>
        <w:rPr>
          <w:rFonts w:ascii="Times New Roman" w:hAnsi="Times New Roman" w:cs="Times New Roman"/>
          <w:b w:val="0"/>
          <w:sz w:val="22"/>
          <w:rtl w:val="1"/>
        </w:rPr>
        <w:t>•  تُحفَظ النسخة السابقة في الأرشيف مع توثيق أسباب التغييرات.</w:t>
      </w:r>
    </w:p>
    <w:p/>
    <w:p>
      <w:pPr>
        <w:bidi w:val="1"/>
        <w:jc w:val="right"/>
        <w:pBdr>
          <w:bottom w:val="single" w:sz="12" w:space="1" w:color="2E75B6"/>
        </w:pBdr>
      </w:pPr>
      <w:r>
        <w:rPr>
          <w:rFonts w:ascii="Times New Roman" w:hAnsi="Times New Roman" w:cs="Times New Roman"/>
          <w:b/>
          <w:color w:val="1F3864"/>
          <w:sz w:val="28"/>
          <w:rtl w:val="1"/>
        </w:rPr>
        <w:t>10.  الأدوار والمسؤوليات</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7500" w:type="dxa"/>
          </w:tcPr>
          <w:p>
            <w:pPr>
              <w:bidi w:val="1"/>
              <w:jc w:val="center"/>
            </w:pPr>
            <w:r>
              <w:rPr>
                <w:rFonts w:ascii="Times New Roman" w:hAnsi="Times New Roman" w:cs="Times New Roman"/>
                <w:b/>
                <w:color w:val="FFFFFF"/>
                <w:sz w:val="18"/>
                <w:rtl w:val="1"/>
              </w:rPr>
              <w:t>المسؤوليات</w:t>
            </w:r>
          </w:p>
        </w:tc>
        <w:tc>
          <w:tcPr>
            <w:tcW w:type="dxa" w:w="4536"/>
            <w:shd w:val="clear" w:color="auto" w:fill="1F3864"/>
            <w:tcW w:w="2500" w:type="dxa"/>
          </w:tcPr>
          <w:p>
            <w:pPr>
              <w:bidi w:val="1"/>
              <w:jc w:val="center"/>
            </w:pPr>
            <w:r>
              <w:rPr>
                <w:rFonts w:ascii="Times New Roman" w:hAnsi="Times New Roman" w:cs="Times New Roman"/>
                <w:b/>
                <w:color w:val="FFFFFF"/>
                <w:sz w:val="18"/>
                <w:rtl w:val="1"/>
              </w:rPr>
              <w:t>الدور / الجهة</w:t>
            </w:r>
          </w:p>
        </w:tc>
      </w:tr>
      <w:tr>
        <w:tc>
          <w:tcPr>
            <w:tcW w:type="dxa" w:w="4536"/>
            <w:shd w:val="clear" w:color="auto" w:fill="EBF3FB"/>
            <w:tcW w:w="7500" w:type="dxa"/>
          </w:tcPr>
          <w:p>
            <w:pPr>
              <w:bidi w:val="1"/>
              <w:jc w:val="right"/>
            </w:pPr>
            <w:r>
              <w:rPr>
                <w:rFonts w:ascii="Times New Roman" w:hAnsi="Times New Roman" w:cs="Times New Roman"/>
                <w:b w:val="0"/>
                <w:color w:val="000000"/>
                <w:sz w:val="18"/>
                <w:rtl w:val="1"/>
              </w:rPr>
              <w:t>الإشراف على العملية الكاملة لتحديد الأولويات — تنسيق التقييمات — إعداد القائمة المعتمدة — مراجعتها دورياً</w:t>
            </w:r>
          </w:p>
        </w:tc>
        <w:tc>
          <w:tcPr>
            <w:tcW w:type="dxa" w:w="4536"/>
            <w:shd w:val="clear" w:color="auto" w:fill="EBF3FB"/>
            <w:tcW w:w="2500" w:type="dxa"/>
          </w:tcPr>
          <w:p>
            <w:pPr>
              <w:bidi w:val="1"/>
              <w:jc w:val="right"/>
            </w:pPr>
            <w:r>
              <w:rPr>
                <w:rFonts w:ascii="Times New Roman" w:hAnsi="Times New Roman" w:cs="Times New Roman"/>
                <w:b w:val="0"/>
                <w:color w:val="000000"/>
                <w:sz w:val="18"/>
                <w:rtl w:val="1"/>
              </w:rPr>
              <w:t>مكتب إدارة البيانات</w:t>
            </w:r>
          </w:p>
        </w:tc>
      </w:tr>
      <w:tr>
        <w:tc>
          <w:tcPr>
            <w:tcW w:type="dxa" w:w="4536"/>
            <w:shd w:val="clear" w:color="auto" w:fill="FFFFFF"/>
            <w:tcW w:w="7500" w:type="dxa"/>
          </w:tcPr>
          <w:p>
            <w:pPr>
              <w:bidi w:val="1"/>
              <w:jc w:val="right"/>
            </w:pPr>
            <w:r>
              <w:rPr>
                <w:rFonts w:ascii="Times New Roman" w:hAnsi="Times New Roman" w:cs="Times New Roman"/>
                <w:b w:val="0"/>
                <w:color w:val="000000"/>
                <w:sz w:val="18"/>
                <w:rtl w:val="1"/>
              </w:rPr>
              <w:t>تقييم مجموعاتهم وفق المعايير الثمانية — تحديث معلومات مجموعاتهم — الإبلاغ عن أي تغيير يؤثر في الأولوية</w:t>
            </w:r>
          </w:p>
        </w:tc>
        <w:tc>
          <w:tcPr>
            <w:tcW w:type="dxa" w:w="4536"/>
            <w:shd w:val="clear" w:color="auto" w:fill="FFFFFF"/>
            <w:tcW w:w="2500" w:type="dxa"/>
          </w:tcPr>
          <w:p>
            <w:pPr>
              <w:bidi w:val="1"/>
              <w:jc w:val="right"/>
            </w:pPr>
            <w:r>
              <w:rPr>
                <w:rFonts w:ascii="Times New Roman" w:hAnsi="Times New Roman" w:cs="Times New Roman"/>
                <w:b w:val="0"/>
                <w:color w:val="000000"/>
                <w:sz w:val="18"/>
                <w:rtl w:val="1"/>
              </w:rPr>
              <w:t>مالكو البيانات</w:t>
            </w:r>
          </w:p>
        </w:tc>
      </w:tr>
      <w:tr>
        <w:tc>
          <w:tcPr>
            <w:tcW w:type="dxa" w:w="4536"/>
            <w:shd w:val="clear" w:color="auto" w:fill="EBF3FB"/>
            <w:tcW w:w="7500" w:type="dxa"/>
          </w:tcPr>
          <w:p>
            <w:pPr>
              <w:bidi w:val="1"/>
              <w:jc w:val="right"/>
            </w:pPr>
            <w:r>
              <w:rPr>
                <w:rFonts w:ascii="Times New Roman" w:hAnsi="Times New Roman" w:cs="Times New Roman"/>
                <w:b w:val="0"/>
                <w:color w:val="000000"/>
                <w:sz w:val="18"/>
                <w:rtl w:val="1"/>
              </w:rPr>
              <w:t>تنفيذ عمليات التصنيف وفق قائمة الأولويات المعتمدة — الالتزام بترتيب الأولوية عند التخطيط</w:t>
            </w:r>
          </w:p>
        </w:tc>
        <w:tc>
          <w:tcPr>
            <w:tcW w:type="dxa" w:w="4536"/>
            <w:shd w:val="clear" w:color="auto" w:fill="EBF3FB"/>
            <w:tcW w:w="2500" w:type="dxa"/>
          </w:tcPr>
          <w:p>
            <w:pPr>
              <w:bidi w:val="1"/>
              <w:jc w:val="right"/>
            </w:pPr>
            <w:r>
              <w:rPr>
                <w:rFonts w:ascii="Times New Roman" w:hAnsi="Times New Roman" w:cs="Times New Roman"/>
                <w:b w:val="0"/>
                <w:color w:val="000000"/>
                <w:sz w:val="18"/>
                <w:rtl w:val="1"/>
              </w:rPr>
              <w:t>مسؤولو التصنيف</w:t>
            </w:r>
          </w:p>
        </w:tc>
      </w:tr>
      <w:tr>
        <w:tc>
          <w:tcPr>
            <w:tcW w:type="dxa" w:w="4536"/>
            <w:shd w:val="clear" w:color="auto" w:fill="FFFFFF"/>
            <w:tcW w:w="7500" w:type="dxa"/>
          </w:tcPr>
          <w:p>
            <w:pPr>
              <w:bidi w:val="1"/>
              <w:jc w:val="right"/>
            </w:pPr>
            <w:r>
              <w:rPr>
                <w:rFonts w:ascii="Times New Roman" w:hAnsi="Times New Roman" w:cs="Times New Roman"/>
                <w:b w:val="0"/>
                <w:color w:val="000000"/>
                <w:sz w:val="18"/>
                <w:rtl w:val="1"/>
              </w:rPr>
              <w:t>تقديم التقييم الأمني لمجموعات البيانات — رفع توصيات برفع أولوية البيانات عالية المخاطر الأمنية</w:t>
            </w:r>
          </w:p>
        </w:tc>
        <w:tc>
          <w:tcPr>
            <w:tcW w:type="dxa" w:w="4536"/>
            <w:shd w:val="clear" w:color="auto" w:fill="FFFFFF"/>
            <w:tcW w:w="2500" w:type="dxa"/>
          </w:tcPr>
          <w:p>
            <w:pPr>
              <w:bidi w:val="1"/>
              <w:jc w:val="right"/>
            </w:pPr>
            <w:r>
              <w:rPr>
                <w:rFonts w:ascii="Times New Roman" w:hAnsi="Times New Roman" w:cs="Times New Roman"/>
                <w:b w:val="0"/>
                <w:color w:val="000000"/>
                <w:sz w:val="18"/>
                <w:rtl w:val="1"/>
              </w:rPr>
              <w:t>إدارة الأمن السيبراني</w:t>
            </w:r>
          </w:p>
        </w:tc>
      </w:tr>
      <w:tr>
        <w:tc>
          <w:tcPr>
            <w:tcW w:type="dxa" w:w="4536"/>
            <w:shd w:val="clear" w:color="auto" w:fill="EBF3FB"/>
            <w:tcW w:w="7500" w:type="dxa"/>
          </w:tcPr>
          <w:p>
            <w:pPr>
              <w:bidi w:val="1"/>
              <w:jc w:val="right"/>
            </w:pPr>
            <w:r>
              <w:rPr>
                <w:rFonts w:ascii="Times New Roman" w:hAnsi="Times New Roman" w:cs="Times New Roman"/>
                <w:b w:val="0"/>
                <w:color w:val="000000"/>
                <w:sz w:val="18"/>
                <w:rtl w:val="1"/>
              </w:rPr>
              <w:t>اعتماد قائمة الأولويات ومراجعتها السنوية — البت في طلبات الاستثناء والتعديلات الجوهرية</w:t>
            </w:r>
          </w:p>
        </w:tc>
        <w:tc>
          <w:tcPr>
            <w:tcW w:type="dxa" w:w="4536"/>
            <w:shd w:val="clear" w:color="auto" w:fill="EBF3FB"/>
            <w:tcW w:w="2500" w:type="dxa"/>
          </w:tcPr>
          <w:p>
            <w:pPr>
              <w:bidi w:val="1"/>
              <w:jc w:val="right"/>
            </w:pPr>
            <w:r>
              <w:rPr>
                <w:rFonts w:ascii="Times New Roman" w:hAnsi="Times New Roman" w:cs="Times New Roman"/>
                <w:b w:val="0"/>
                <w:color w:val="000000"/>
                <w:sz w:val="18"/>
                <w:rtl w:val="1"/>
              </w:rPr>
              <w:t>مدير عام الهيئة</w:t>
            </w:r>
          </w:p>
        </w:tc>
      </w:tr>
    </w:tbl>
    <w:p/>
    <w:p>
      <w:r>
        <w:br w:type="page"/>
      </w:r>
    </w:p>
    <w:p>
      <w:pPr>
        <w:bidi w:val="1"/>
        <w:jc w:val="right"/>
        <w:pBdr>
          <w:bottom w:val="single" w:sz="12" w:space="1" w:color="2E75B6"/>
        </w:pBdr>
      </w:pPr>
      <w:r>
        <w:rPr>
          <w:rFonts w:ascii="Times New Roman" w:hAnsi="Times New Roman" w:cs="Times New Roman"/>
          <w:b/>
          <w:color w:val="1F3864"/>
          <w:sz w:val="28"/>
          <w:rtl w:val="1"/>
        </w:rPr>
        <w:t>11.  الاعتماد</w:t>
      </w:r>
    </w:p>
    <w:p/>
    <w:p>
      <w:pPr>
        <w:bidi w:val="1"/>
        <w:jc w:val="right"/>
      </w:pPr>
      <w:r>
        <w:rPr>
          <w:rFonts w:ascii="Times New Roman" w:hAnsi="Times New Roman" w:cs="Times New Roman"/>
          <w:b w:val="0"/>
          <w:sz w:val="22"/>
          <w:rtl w:val="1"/>
        </w:rPr>
        <w:t>اعتُمدت هذه الوثيقة من صاحب الصلاحية المخوّل، وتسري اعتباراً من تاريخ التوقيع أدناه.</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5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2000" w:type="dxa"/>
          </w:tcPr>
          <w:p>
            <w:pPr>
              <w:bidi w:val="1"/>
              <w:jc w:val="center"/>
            </w:pPr>
            <w:r>
              <w:rPr>
                <w:rFonts w:ascii="Times New Roman" w:hAnsi="Times New Roman" w:cs="Times New Roman"/>
                <w:b/>
                <w:color w:val="FFFFFF"/>
                <w:sz w:val="18"/>
                <w:rtl w:val="1"/>
              </w:rPr>
              <w:t>التوقيع</w:t>
            </w:r>
          </w:p>
        </w:tc>
        <w:tc>
          <w:tcPr>
            <w:tcW w:type="dxa" w:w="2268"/>
            <w:shd w:val="clear" w:color="auto" w:fill="1F3864"/>
            <w:tcW w:w="3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2500" w:type="dxa"/>
          </w:tcPr>
          <w:p>
            <w:pPr>
              <w:bidi w:val="1"/>
              <w:jc w:val="center"/>
            </w:pPr>
            <w:r>
              <w:rPr>
                <w:rFonts w:ascii="Times New Roman" w:hAnsi="Times New Roman" w:cs="Times New Roman"/>
                <w:b/>
                <w:color w:val="FFFFFF"/>
                <w:sz w:val="18"/>
                <w:rtl w:val="1"/>
              </w:rPr>
              <w:t>صاحب الصلاحية</w:t>
            </w:r>
          </w:p>
        </w:tc>
      </w:tr>
      <w:tr>
        <w:tc>
          <w:tcPr>
            <w:tcW w:type="dxa" w:w="2268"/>
            <w:shd w:val="clear" w:color="auto" w:fill="EBF3FB"/>
            <w:tcW w:w="25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________________</w:t>
            </w:r>
          </w:p>
        </w:tc>
        <w:tc>
          <w:tcPr>
            <w:tcW w:type="dxa" w:w="2268"/>
            <w:shd w:val="clear" w:color="auto" w:fill="EBF3FB"/>
            <w:tcW w:w="3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________________</w:t>
            </w:r>
          </w:p>
        </w:tc>
      </w:tr>
    </w:tbl>
    <w:p/>
    <w:p>
      <w:pPr>
        <w:bidi w:val="1"/>
        <w:jc w:val="center"/>
      </w:pPr>
      <w:r>
        <w:rPr>
          <w:rFonts w:ascii="Times New Roman" w:hAnsi="Times New Roman" w:cs="Times New Roman"/>
          <w:b/>
          <w:color w:val="1F3864"/>
          <w:sz w:val="22"/>
          <w:rtl w:val="1"/>
        </w:rPr>
        <w:t>— DC.C.1.2 · ترتيب أولويات مجموعات البيانات والسجلات · الإصدار 1.0 · يونيو 2026 —</w:t>
      </w:r>
    </w:p>
    <w:p>
      <w:pPr>
        <w:bidi w:val="1"/>
        <w:jc w:val="center"/>
      </w:pPr>
      <w:r>
        <w:rPr>
          <w:rFonts w:ascii="Times New Roman" w:hAnsi="Times New Roman" w:cs="Times New Roman"/>
          <w:b/>
          <w:color w:val="2E75B6"/>
          <w:sz w:val="22"/>
          <w:rtl w:val="1"/>
        </w:rPr>
        <w:t>هيئة الخدمات الحكومية الذكية (SGSA)</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