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10200"/>
      </w:tblGrid>
      <w:tr>
        <w:tc>
          <w:tcPr>
            <w:tcW w:type="dxa" w:w="10200"/>
            <w:shd w:fill="1B2A4E"/>
            <w:vAlign w:val="center"/>
          </w:tcPr>
          <w:p>
            <w:pPr>
              <w:bidi w:val="1"/>
              <w:spacing w:before="120" w:after="120"/>
              <w:jc w:val="right"/>
            </w:pPr>
            <w:r>
              <w:rPr>
                <w:rFonts w:cs="Arial"/>
                <w:b/>
                <w:color w:val="FFFFFF"/>
                <w:sz w:val="36"/>
                <w:rtl w:val="1"/>
              </w:rPr>
              <w:t>سجل أدلة التحسين المستمر لتصنيف البيانات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i w:val="0"/>
          <w:color w:val="29C79A"/>
          <w:sz w:val="21"/>
          <w:rtl w:val="1"/>
        </w:rPr>
        <w:t>منصة ذكية لإدارة وقياس الامتثال لمتطلبات المكتب الوطني لإدارة البيانات (NDMO)</w:t>
      </w:r>
    </w:p>
    <w:p>
      <w:pPr>
        <w:bidi w:val="1"/>
        <w:jc w:val="right"/>
      </w:pPr>
      <w:r>
        <w:rPr>
          <w:rFonts w:cs="Arial"/>
          <w:b/>
          <w:color w:val="1B2A4E"/>
          <w:sz w:val="28"/>
          <w:rtl w:val="1"/>
        </w:rPr>
        <w:t>أدلة التحسين — تصنيف البيانات</w:t>
      </w:r>
    </w:p>
    <w:p>
      <w:pPr>
        <w:bidi w:val="1"/>
        <w:jc w:val="right"/>
      </w:pPr>
      <w:r>
        <w:rPr>
          <w:rFonts w:cs="Arial"/>
          <w:b w:val="0"/>
          <w:i/>
          <w:color w:val="29C79A"/>
          <w:sz w:val="22"/>
          <w:rtl w:val="1"/>
        </w:rPr>
        <w:t>سجل التحسين المستمر لحوكمة تصنيف البيانات</w:t>
      </w:r>
    </w:p>
    <w:p/>
    <w:tbl>
      <w:tblPr>
        <w:tblW w:type="auto" w:w="0"/>
        <w:tblLayout w:type="autofit"/>
        <w:tblLook w:firstColumn="1" w:firstRow="1" w:lastColumn="0" w:lastRow="0" w:noHBand="0" w:noVBand="1" w:val="04A0"/>
        <w:bidiVisual w:val="1"/>
      </w:tblPr>
      <w:tblGrid>
        <w:gridCol w:w="6236"/>
        <w:gridCol w:w="2835"/>
      </w:tblGrid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هيئة الخدمات الحكومية الذكية (SGSA)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الجهة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مكتب إدارة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القسم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تصنيف البيانات (Data Classification)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النطاق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إطار حوكمة البيانات الوطني (NDMO)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الإطار المرجعي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DC.M.4 — تقرير مراجعة خطة تصنيف البيانات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المتطلب المدعوم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DC.MQ.1 — التحسين المستمر لخطة التصنيف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مستوى النضج المرجعي</w:t>
            </w:r>
          </w:p>
        </w:tc>
      </w:tr>
      <w:tr>
        <w:tc>
          <w:tcPr>
            <w:tcW w:type="dxa" w:w="6236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8"/>
                <w:rtl w:val="1"/>
              </w:rPr>
              <w:t>1 مايو 2026 – 15 يونيو 2026 (6 أسابيع)</w:t>
            </w:r>
          </w:p>
        </w:tc>
        <w:tc>
          <w:tcPr>
            <w:tcW w:type="dxa" w:w="2835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595959"/>
                <w:sz w:val="18"/>
                <w:rtl w:val="1"/>
              </w:rPr>
              <w:t>دورة المراجعة المرجعية</w:t>
            </w:r>
          </w:p>
        </w:tc>
      </w:tr>
    </w:tbl>
    <w:p/>
    <w:p>
      <w:pPr>
        <w:bidi w:val="1"/>
        <w:jc w:val="right"/>
      </w:pPr>
      <w:r>
        <w:rPr>
          <w:rFonts w:cs="Arial"/>
          <w:b/>
          <w:color w:val="1B2A4E"/>
          <w:sz w:val="25"/>
          <w:rtl w:val="1"/>
        </w:rPr>
        <w:t>الغرض من الوثيقة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توثّق هذه الوثيقة التحسينات المنفذة لدعم المتطلب DC.M.4 ضمن مجال تصنيف البيانات.</w:t>
      </w:r>
    </w:p>
    <w:p/>
    <w:p>
      <w:pPr>
        <w:bidi w:val="1"/>
        <w:jc w:val="right"/>
      </w:pPr>
      <w:r>
        <w:rPr>
          <w:rFonts w:cs="Arial"/>
          <w:b/>
          <w:color w:val="1B2A4E"/>
          <w:sz w:val="25"/>
          <w:rtl w:val="1"/>
        </w:rPr>
        <w:t>نطاق التحسين</w:t>
      </w:r>
    </w:p>
    <w:p>
      <w:pPr>
        <w:bidi w:val="1"/>
        <w:jc w:val="right"/>
      </w:pPr>
      <w:r>
        <w:rPr>
          <w:rFonts w:cs="Arial"/>
          <w:b w:val="0"/>
          <w:i w:val="0"/>
          <w:color w:val="262626"/>
          <w:sz w:val="19"/>
          <w:rtl w:val="1"/>
        </w:rPr>
        <w:t>ترتبط جميع أنشطة التحسين الواردة في هذه الوثيقة بضوابط تصنيف البيانات ونتائج المراجعات ذات العلاقة.</w:t>
      </w:r>
    </w:p>
    <w:p/>
    <w:p>
      <w:pPr>
        <w:bidi w:val="1"/>
        <w:jc w:val="right"/>
      </w:pPr>
      <w:r>
        <w:rPr>
          <w:rFonts w:cs="Arial"/>
          <w:b w:val="0"/>
          <w:i w:val="0"/>
          <w:color w:val="333333"/>
          <w:sz w:val="19"/>
          <w:rtl w:val="1"/>
        </w:rPr>
        <w:t>يوثّق هذا السجل إجراءات التحسين المنفذة عقب دورة مراجعة التصنيف للفترة من 1 مايو إلى 15 يونيو 2026، والتي شملت مراجعة جميع الأصول البيانية المصنفة الـ30 (18 مجموعة بيانات و12 سجلاً)، وأسفرت عن تثبيت تصنيف 26 أصلاً، وتعديل تصنيف 3 أصول (تخفيض)، وعدم حاجة أصل واحد لأي إجراء إضافي.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bidiVisual w:val="1"/>
      </w:tblPr>
      <w:tblGrid>
        <w:gridCol w:w="1814"/>
        <w:gridCol w:w="2438"/>
        <w:gridCol w:w="2721"/>
        <w:gridCol w:w="2268"/>
        <w:gridCol w:w="1020"/>
      </w:tblGrid>
      <w:tr>
        <w:trPr>
          <w:cantSplit/>
        </w:trPr>
        <w:tc>
          <w:tcPr>
            <w:tcW w:type="dxa" w:w="204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مبادرة التحسين</w:t>
            </w:r>
          </w:p>
        </w:tc>
        <w:tc>
          <w:tcPr>
            <w:tcW w:type="dxa" w:w="204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الوضع السابق</w:t>
            </w:r>
          </w:p>
        </w:tc>
        <w:tc>
          <w:tcPr>
            <w:tcW w:type="dxa" w:w="204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إجراء التحسين المنفذ</w:t>
            </w:r>
          </w:p>
        </w:tc>
        <w:tc>
          <w:tcPr>
            <w:tcW w:type="dxa" w:w="204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الأدلة الداعمة</w:t>
            </w:r>
          </w:p>
        </w:tc>
        <w:tc>
          <w:tcPr>
            <w:tcW w:type="dxa" w:w="2040"/>
            <w:shd w:fill="1B2A4E"/>
            <w:vAlign w:val="center"/>
          </w:tcPr>
          <w:p>
            <w:pPr>
              <w:bidi w:val="1"/>
              <w:jc w:val="center"/>
            </w:pPr>
            <w:r/>
            <w:r>
              <w:rPr>
                <w:rFonts w:cs="Arial"/>
                <w:b/>
                <w:color w:val="FFFFFF"/>
                <w:sz w:val="19"/>
                <w:rtl w:val="1"/>
              </w:rPr>
              <w:t>حالة التنفيذ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جودة بيانات التصنيف</w:t>
            </w:r>
          </w:p>
        </w:tc>
        <w:tc>
          <w:tcPr>
            <w:tcW w:type="dxa" w:w="243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كانت حقول البيانات الوصفية للأصول (المالك، النظام المصدر، تاريخ التصنيف) تُسجَّل بشكل غير متسق عبر الإدارات قبل دورة المراجعة.</w:t>
            </w:r>
          </w:p>
        </w:tc>
        <w:tc>
          <w:tcPr>
            <w:tcW w:type="dxa" w:w="272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طُبِّق نموذج بيانات وصفية موحَّد بشكل متسق على جميع الأصول الـ30 التي روجعت خلال دورة المراجعة (1 مايو – 15 يونيو 2026).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سجلات دورة المراجعة؛ تقرير بيانات المؤشرات الداعم (نسبة تغطية المراجعة: 100%)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7"/>
                <w:rtl w:val="1"/>
              </w:rPr>
              <w:t>مكتمل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تحديث سجل التصنيف (DC.C.5.1)</w:t>
            </w:r>
          </w:p>
        </w:tc>
        <w:tc>
          <w:tcPr>
            <w:tcW w:type="dxa" w:w="243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كان سجل التصنيف يعكس مستويات تصنيف الأصول كما كانت قبل نتيجة دورة المراجعة الحالية.</w:t>
            </w:r>
          </w:p>
        </w:tc>
        <w:tc>
          <w:tcPr>
            <w:tcW w:type="dxa" w:w="272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حُدِّث السجل ليعكس التغييرات الثلاثة في التصنيف (تخفيض) وتثبيت حالة الأصول الـ26 المتبقية الناتجة عن دورة المراجعة.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سجل قرارات المراجعة؛ قيود سجل التصنيف المُحدَّثة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7"/>
                <w:rtl w:val="1"/>
              </w:rPr>
              <w:t>مكتمل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متابعة الامتثال</w:t>
            </w:r>
          </w:p>
        </w:tc>
        <w:tc>
          <w:tcPr>
            <w:tcW w:type="dxa" w:w="243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كانت أنشطة المراجعة تُتابَع دون رؤية موحَّدة للمؤشرات تغطي التغطية وتغييرات التصنيف والمشاركة.</w:t>
            </w:r>
          </w:p>
        </w:tc>
        <w:tc>
          <w:tcPr>
            <w:tcW w:type="dxa" w:w="2721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أُدرِج تقرير موحَّد لبيانات المؤشرات الداعمة، يغطي نسبة تغطية المراجعة، والأصول التي تمت مراجعتها، وتغييرات التصنيف، ومدة المراجعة، ومشاركة ملاك البيانات.</w:t>
            </w:r>
          </w:p>
        </w:tc>
        <w:tc>
          <w:tcPr>
            <w:tcW w:type="dxa" w:w="2268"/>
            <w:vAlign w:val="center"/>
            <w:shd w:fill="F2F2F2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تقرير بيانات المؤشرات الداعم (يدعم DC.M.3 / DC.C.4.1 / DC.M.12)</w:t>
            </w:r>
          </w:p>
        </w:tc>
        <w:tc>
          <w:tcPr>
            <w:tcW w:type="dxa" w:w="1020"/>
            <w:vAlign w:val="center"/>
            <w:shd w:fill="F2F2F2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7"/>
                <w:rtl w:val="1"/>
              </w:rPr>
              <w:t>مكتمل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b/>
                <w:color w:val="1B2A4E"/>
                <w:sz w:val="17"/>
                <w:rtl w:val="1"/>
              </w:rPr>
              <w:t>دورة المراجعة الدورية</w:t>
            </w:r>
          </w:p>
        </w:tc>
        <w:tc>
          <w:tcPr>
            <w:tcW w:type="dxa" w:w="243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لم تكن أنشطة مراجعة التصنيف مُهيكَلة باستمرار ضمن دورة متكررة محدَّدة بتواريخ بدء وإغلاق واضحة.</w:t>
            </w:r>
          </w:p>
        </w:tc>
        <w:tc>
          <w:tcPr>
            <w:tcW w:type="dxa" w:w="2721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نُفِّذت دورة مراجعة مُهيكَلة مدتها 6 أسابيع (1 مايو – 15 يونيو 2026) من البداية حتى الإغلاق، بمشاركة 12 من ملاك البيانات عبر الإدارات، وشملت جميع الأصول الـ30 المصنفة (18 مجموعة بيانات، 12 سجلاً).</w:t>
            </w:r>
          </w:p>
        </w:tc>
        <w:tc>
          <w:tcPr>
            <w:tcW w:type="dxa" w:w="2268"/>
            <w:vAlign w:val="center"/>
          </w:tcPr>
          <w:p>
            <w:pPr>
              <w:bidi w:val="1"/>
              <w:jc w:val="right"/>
            </w:pPr>
            <w:r>
              <w:rPr>
                <w:rFonts w:cs="Arial"/>
                <w:color w:val="262626"/>
                <w:sz w:val="17"/>
                <w:rtl w:val="1"/>
              </w:rPr>
              <w:t>جدول دورة المراجعة؛ سجل مشاركة ملاك البيانات</w:t>
            </w:r>
          </w:p>
        </w:tc>
        <w:tc>
          <w:tcPr>
            <w:tcW w:type="dxa" w:w="1020"/>
            <w:vAlign w:val="center"/>
          </w:tcPr>
          <w:p>
            <w:pPr>
              <w:bidi w:val="1"/>
              <w:jc w:val="center"/>
            </w:pPr>
            <w:r>
              <w:rPr>
                <w:rFonts w:cs="Arial"/>
                <w:b/>
                <w:color w:val="1F6F43"/>
                <w:sz w:val="17"/>
                <w:rtl w:val="1"/>
              </w:rPr>
              <w:t>مكتمل</w:t>
            </w:r>
          </w:p>
        </w:tc>
      </w:tr>
    </w:tbl>
    <w:p/>
    <w:p/>
    <w:p>
      <w:pPr>
        <w:bidi w:val="1"/>
        <w:jc w:val="right"/>
      </w:pPr>
      <w:r>
        <w:rPr>
          <w:rFonts w:cs="Arial"/>
          <w:b/>
          <w:color w:val="1B2A4E"/>
          <w:sz w:val="25"/>
          <w:rtl w:val="1"/>
        </w:rPr>
        <w:t>مرجعية التحسينات</w:t>
      </w:r>
    </w:p>
    <w:p>
      <w:pPr>
        <w:bidi w:val="1"/>
        <w:jc w:val="right"/>
      </w:pPr>
      <w:r>
        <w:rPr>
          <w:rFonts w:cs="Arial"/>
          <w:b w:val="0"/>
          <w:i/>
          <w:color w:val="595959"/>
          <w:sz w:val="18"/>
          <w:rtl w:val="1"/>
        </w:rPr>
        <w:t>تستند جميع التحسينات المذكورة في هذه الوثيقة إلى نتائج مراجعات موثقة وأدلة داعمة ضمن مجال تصنيف البيانات.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