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bidiVisual w:val="1"/>
      </w:tblPr>
      <w:tblGrid>
        <w:gridCol w:w="10200"/>
      </w:tblGrid>
      <w:tr>
        <w:tc>
          <w:tcPr>
            <w:tcW w:type="dxa" w:w="10200"/>
            <w:shd w:fill="1B2A4E"/>
            <w:vAlign w:val="center"/>
          </w:tcPr>
          <w:p>
            <w:pPr>
              <w:bidi w:val="1"/>
              <w:spacing w:before="120" w:after="120"/>
              <w:jc w:val="right"/>
            </w:pPr>
            <w:r>
              <w:rPr>
                <w:rFonts w:cs="Arial"/>
                <w:b/>
                <w:color w:val="FFFFFF"/>
                <w:sz w:val="36"/>
                <w:rtl w:val="1"/>
              </w:rPr>
              <w:t>هيئة الخدمات الحكومية الذكية (SGSA)</w:t>
            </w:r>
          </w:p>
        </w:tc>
      </w:tr>
    </w:tbl>
    <w:p/>
    <w:p>
      <w:pPr>
        <w:bidi w:val="1"/>
        <w:jc w:val="right"/>
      </w:pPr>
      <w:r>
        <w:rPr>
          <w:rFonts w:cs="Arial"/>
          <w:b/>
          <w:i w:val="0"/>
          <w:color w:val="29C79A"/>
          <w:sz w:val="21"/>
          <w:rtl w:val="1"/>
        </w:rPr>
      </w:r>
    </w:p>
    <w:p>
      <w:pPr>
        <w:bidi w:val="1"/>
        <w:jc w:val="right"/>
      </w:pPr>
      <w:r>
        <w:rPr>
          <w:rFonts w:cs="Arial"/>
          <w:b/>
          <w:color w:val="1B2A4E"/>
          <w:sz w:val="30"/>
          <w:rtl w:val="1"/>
        </w:rPr>
        <w:t>سجل ورش التوعية والتدريب الخاصة بتصنيف البيانات</w:t>
      </w:r>
    </w:p>
    <w:p>
      <w:pPr>
        <w:bidi w:val="1"/>
        <w:jc w:val="right"/>
      </w:pPr>
      <w:r>
        <w:rPr>
          <w:rFonts w:cs="Arial"/>
          <w:b w:val="0"/>
          <w:i/>
          <w:color w:val="29C79A"/>
          <w:sz w:val="22"/>
          <w:rtl w:val="1"/>
        </w:rPr>
        <w:t>دليل داعم — DC.M.2-E04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  <w:bidiVisual w:val="1"/>
      </w:tblPr>
      <w:tblGrid>
        <w:gridCol w:w="6236"/>
        <w:gridCol w:w="2835"/>
      </w:tblGrid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هيئة الخدمات الحكومية الذكية (SGSA)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الجهة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مكتب إدارة البيانات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القسم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المنصة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إطار حوكمة البيانات الوطني (NDMO)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الإطار المرجعي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DC.M.2-E04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رمز الدليل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DC.M.2 — تنفيذ خطة تصنيف البيانات وخارطة الطريق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المتطلب المرتبط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سجل ورش التوعية والتدريب الخاصة بتصنيف البيانات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اسم الدليل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1.0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الإصدار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يونيو 2026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التاريخ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جاهزة للمراجعة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حالة الوثيقة</w:t>
            </w:r>
          </w:p>
        </w:tc>
      </w:tr>
    </w:tbl>
    <w:p>
      <w:r>
        <w:br w:type="page"/>
      </w:r>
    </w:p>
    <w:p>
      <w:pPr>
        <w:bidi w:val="1"/>
        <w:jc w:val="right"/>
      </w:pPr>
      <w:r>
        <w:rPr>
          <w:rFonts w:cs="Arial"/>
          <w:b/>
          <w:color w:val="1B2A4E"/>
          <w:sz w:val="26"/>
          <w:rtl w:val="1"/>
        </w:rPr>
        <w:t>القسم الأول: ملخص النشاط</w:t>
      </w:r>
    </w:p>
    <w:p>
      <w:pPr>
        <w:bidi w:val="1"/>
        <w:jc w:val="right"/>
      </w:pPr>
      <w:r>
        <w:rPr>
          <w:rFonts w:cs="Arial"/>
          <w:b w:val="0"/>
          <w:i w:val="0"/>
          <w:color w:val="262626"/>
          <w:sz w:val="19"/>
          <w:rtl w:val="1"/>
        </w:rPr>
        <w:t>نفَّذت الهيئة برنامج توعية داخلياً لدعم تنفيذ خطة تصنيف البيانات ورفع مستوى الوعي المؤسسي بمتطلبات التصنيف لدى منسوبيها، ضمن أنشطة المرحلة الأولى من خطة تصنيف البيانات.</w:t>
      </w:r>
    </w:p>
    <w:p/>
    <w:p>
      <w:pPr>
        <w:bidi w:val="1"/>
        <w:jc w:val="right"/>
      </w:pPr>
      <w:r>
        <w:rPr>
          <w:rFonts w:cs="Arial"/>
          <w:b/>
          <w:color w:val="1B2A4E"/>
          <w:sz w:val="26"/>
          <w:rtl w:val="1"/>
        </w:rPr>
        <w:t>القسم الثاني: سجل ورش التوعية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1134"/>
        <w:gridCol w:w="2948"/>
        <w:gridCol w:w="1361"/>
        <w:gridCol w:w="1587"/>
        <w:gridCol w:w="1361"/>
        <w:gridCol w:w="1247"/>
      </w:tblGrid>
      <w:tr>
        <w:trPr>
          <w:cantSplit/>
        </w:trPr>
        <w:tc>
          <w:tcPr>
            <w:tcW w:type="dxa" w:w="170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9"/>
                <w:rtl w:val="1"/>
              </w:rPr>
              <w:t>رقم الورشة</w:t>
            </w:r>
          </w:p>
        </w:tc>
        <w:tc>
          <w:tcPr>
            <w:tcW w:type="dxa" w:w="170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9"/>
                <w:rtl w:val="1"/>
              </w:rPr>
              <w:t>اسم الورشة</w:t>
            </w:r>
          </w:p>
        </w:tc>
        <w:tc>
          <w:tcPr>
            <w:tcW w:type="dxa" w:w="170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9"/>
                <w:rtl w:val="1"/>
              </w:rPr>
              <w:t>التاريخ</w:t>
            </w:r>
          </w:p>
        </w:tc>
        <w:tc>
          <w:tcPr>
            <w:tcW w:type="dxa" w:w="170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9"/>
                <w:rtl w:val="1"/>
              </w:rPr>
              <w:t>الفئة المستهدفة</w:t>
            </w:r>
          </w:p>
        </w:tc>
        <w:tc>
          <w:tcPr>
            <w:tcW w:type="dxa" w:w="170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9"/>
                <w:rtl w:val="1"/>
              </w:rPr>
              <w:t>عدد المشاركين</w:t>
            </w:r>
          </w:p>
        </w:tc>
        <w:tc>
          <w:tcPr>
            <w:tcW w:type="dxa" w:w="170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9"/>
                <w:rtl w:val="1"/>
              </w:rPr>
              <w:t>الحالة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7"/>
                <w:rtl w:val="1"/>
              </w:rPr>
              <w:t>1</w:t>
            </w:r>
          </w:p>
        </w:tc>
        <w:tc>
          <w:tcPr>
            <w:tcW w:type="dxa" w:w="2948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ورشة التوعية الأولى: مفاهيم تصنيف البيانات</w:t>
            </w:r>
          </w:p>
        </w:tc>
        <w:tc>
          <w:tcPr>
            <w:tcW w:type="dxa" w:w="1361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مايو 2026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منسوبو الهيئة</w:t>
            </w:r>
          </w:p>
        </w:tc>
        <w:tc>
          <w:tcPr>
            <w:tcW w:type="dxa" w:w="1361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7"/>
                <w:rtl w:val="1"/>
              </w:rPr>
              <w:t>16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7"/>
                <w:rtl w:val="1"/>
              </w:rPr>
              <w:t>مكتمل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7"/>
                <w:rtl w:val="1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ورشة التوعية الثانية: مستويات التصنيف ومتطلباته</w:t>
            </w:r>
          </w:p>
        </w:tc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مايو 2026</w:t>
            </w:r>
          </w:p>
        </w:tc>
        <w:tc>
          <w:tcPr>
            <w:tcW w:type="dxa" w:w="1587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منسوبو الهيئة</w:t>
            </w:r>
          </w:p>
        </w:tc>
        <w:tc>
          <w:tcPr>
            <w:tcW w:type="dxa" w:w="1361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7"/>
                <w:rtl w:val="1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7"/>
                <w:rtl w:val="1"/>
              </w:rPr>
              <w:t>مكتمل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7"/>
                <w:rtl w:val="1"/>
              </w:rPr>
              <w:t>3</w:t>
            </w:r>
          </w:p>
        </w:tc>
        <w:tc>
          <w:tcPr>
            <w:tcW w:type="dxa" w:w="2948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ورشة التوعية الثالثة: آليات التطبيق العملي</w:t>
            </w:r>
          </w:p>
        </w:tc>
        <w:tc>
          <w:tcPr>
            <w:tcW w:type="dxa" w:w="1361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يونيو 2026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منسوبو الهيئة</w:t>
            </w:r>
          </w:p>
        </w:tc>
        <w:tc>
          <w:tcPr>
            <w:tcW w:type="dxa" w:w="1361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7"/>
                <w:rtl w:val="1"/>
              </w:rPr>
              <w:t>15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7"/>
                <w:rtl w:val="1"/>
              </w:rPr>
              <w:t>مكتمل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7"/>
                <w:rtl w:val="1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ورشة التوعية الرابعة</w:t>
            </w:r>
          </w:p>
        </w:tc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لم تُحدَّد بعد</w:t>
            </w:r>
          </w:p>
        </w:tc>
        <w:tc>
          <w:tcPr>
            <w:tcW w:type="dxa" w:w="1587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منسوبو الهيئة</w:t>
            </w:r>
          </w:p>
        </w:tc>
        <w:tc>
          <w:tcPr>
            <w:tcW w:type="dxa" w:w="1361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7"/>
                <w:rtl w:val="1"/>
              </w:rPr>
              <w:t>لم تُعقد بعد</w:t>
            </w:r>
          </w:p>
        </w:tc>
        <w:tc>
          <w:tcPr>
            <w:tcW w:type="dxa" w:w="124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8A6D00"/>
                <w:sz w:val="17"/>
                <w:rtl w:val="1"/>
              </w:rPr>
              <w:t>قيد التنفيذ</w:t>
            </w:r>
          </w:p>
        </w:tc>
      </w:tr>
    </w:tbl>
    <w:p/>
    <w:p>
      <w:pPr>
        <w:bidi w:val="1"/>
        <w:jc w:val="right"/>
      </w:pPr>
      <w:r>
        <w:rPr>
          <w:rFonts w:cs="Arial"/>
          <w:b/>
          <w:color w:val="1B2A4E"/>
          <w:sz w:val="26"/>
          <w:rtl w:val="1"/>
        </w:rPr>
        <w:t>القسم الثالث: المواد التدريبية المستخدمة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2268"/>
        <w:gridCol w:w="7370"/>
      </w:tblGrid>
      <w:tr>
        <w:trPr>
          <w:cantSplit/>
        </w:trPr>
        <w:tc>
          <w:tcPr>
            <w:tcW w:type="dxa" w:w="510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9"/>
                <w:rtl w:val="1"/>
              </w:rPr>
              <w:t>اسم المادة</w:t>
            </w:r>
          </w:p>
        </w:tc>
        <w:tc>
          <w:tcPr>
            <w:tcW w:type="dxa" w:w="510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9"/>
                <w:rtl w:val="1"/>
              </w:rPr>
              <w:t>الوصف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عرض تدريبي</w:t>
            </w:r>
          </w:p>
        </w:tc>
        <w:tc>
          <w:tcPr>
            <w:tcW w:type="dxa" w:w="7370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عرض تقديمي يشرح مفاهيم ومستويات تصنيف البيانات المعتمدة.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دليل المتدرب</w:t>
            </w:r>
          </w:p>
        </w:tc>
        <w:tc>
          <w:tcPr>
            <w:tcW w:type="dxa" w:w="7370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دليل مرجعي مختصر لمنسوبي الهيئة يوضح خطوات تصنيف البيانات.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مادة توعوية</w:t>
            </w:r>
          </w:p>
        </w:tc>
        <w:tc>
          <w:tcPr>
            <w:tcW w:type="dxa" w:w="7370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مادة موجزة لرفع الوعي العام بأهمية تصنيف البيانات ومتطلباته.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ورقة عمل</w:t>
            </w:r>
          </w:p>
        </w:tc>
        <w:tc>
          <w:tcPr>
            <w:tcW w:type="dxa" w:w="7370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ورقة عمل تطبيقية تُستخدم أثناء الورشة لتمرين المشاركين.</w:t>
            </w:r>
          </w:p>
        </w:tc>
      </w:tr>
    </w:tbl>
    <w:p/>
    <w:p>
      <w:pPr>
        <w:bidi w:val="1"/>
        <w:jc w:val="right"/>
      </w:pPr>
      <w:r>
        <w:rPr>
          <w:rFonts w:cs="Arial"/>
          <w:b/>
          <w:color w:val="1B2A4E"/>
          <w:sz w:val="26"/>
          <w:rtl w:val="1"/>
        </w:rPr>
        <w:t>القسم الرابع: النتائج</w:t>
      </w:r>
    </w:p>
    <w:p>
      <w:pPr>
        <w:bidi w:val="1"/>
        <w:jc w:val="right"/>
      </w:pPr>
      <w:r>
        <w:rPr>
          <w:rFonts w:cs="Arial"/>
          <w:color w:val="262626"/>
          <w:sz w:val="19"/>
          <w:rtl w:val="1"/>
        </w:rPr>
        <w:t>•  تنفيذ 3 من أصل 4 ورش مخططة.</w:t>
      </w:r>
    </w:p>
    <w:p>
      <w:pPr>
        <w:bidi w:val="1"/>
        <w:jc w:val="right"/>
      </w:pPr>
      <w:r>
        <w:rPr>
          <w:rFonts w:cs="Arial"/>
          <w:color w:val="262626"/>
          <w:sz w:val="19"/>
          <w:rtl w:val="1"/>
        </w:rPr>
        <w:t>•  مشاركة 47 موظفاً.</w:t>
      </w:r>
    </w:p>
    <w:p>
      <w:pPr>
        <w:bidi w:val="1"/>
        <w:jc w:val="right"/>
      </w:pPr>
      <w:r>
        <w:rPr>
          <w:rFonts w:cs="Arial"/>
          <w:color w:val="262626"/>
          <w:sz w:val="19"/>
          <w:rtl w:val="1"/>
        </w:rPr>
        <w:t>•  استمرار استكمال البرنامج التدريبي.</w:t>
      </w:r>
    </w:p>
    <w:p>
      <w:pPr>
        <w:bidi w:val="1"/>
        <w:jc w:val="right"/>
      </w:pPr>
      <w:r>
        <w:rPr>
          <w:rFonts w:cs="Arial"/>
          <w:color w:val="262626"/>
          <w:sz w:val="19"/>
          <w:rtl w:val="1"/>
        </w:rPr>
        <w:t>•  نسبة الإنجاز الحالية 90%.</w:t>
      </w:r>
    </w:p>
    <w:p/>
    <w:p/>
    <w:p>
      <w:pPr>
        <w:bidi w:val="1"/>
        <w:jc w:val="right"/>
      </w:pPr>
      <w:r>
        <w:rPr>
          <w:rFonts w:cs="Arial"/>
          <w:b/>
          <w:color w:val="1B2A4E"/>
          <w:sz w:val="26"/>
          <w:rtl w:val="1"/>
        </w:rPr>
        <w:t>القسم الخامس: الاعتماد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B2A4E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FFFFFF"/>
                <w:sz w:val="19"/>
                <w:rtl w:val="1"/>
              </w:rPr>
              <w:t>المسمى الوظيفي</w:t>
            </w:r>
          </w:p>
        </w:tc>
        <w:tc>
          <w:tcPr>
            <w:tcW w:type="dxa" w:w="2550"/>
            <w:shd w:fill="1B2A4E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FFFFFF"/>
                <w:sz w:val="19"/>
                <w:rtl w:val="1"/>
              </w:rPr>
              <w:t>الاسم</w:t>
            </w:r>
          </w:p>
        </w:tc>
        <w:tc>
          <w:tcPr>
            <w:tcW w:type="dxa" w:w="2550"/>
            <w:shd w:fill="1B2A4E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FFFFFF"/>
                <w:sz w:val="19"/>
                <w:rtl w:val="1"/>
              </w:rPr>
              <w:t>التوقيع</w:t>
            </w:r>
          </w:p>
        </w:tc>
        <w:tc>
          <w:tcPr>
            <w:tcW w:type="dxa" w:w="2550"/>
            <w:shd w:fill="1B2A4E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FFFFFF"/>
                <w:sz w:val="19"/>
                <w:rtl w:val="1"/>
              </w:rPr>
              <w:t>التاريخ</w:t>
            </w:r>
          </w:p>
        </w:tc>
      </w:tr>
      <w:tr>
        <w:tc>
          <w:tcPr>
            <w:tcW w:type="dxa" w:w="2550"/>
          </w:tcPr>
          <w:p>
            <w:pPr>
              <w:bidi w:val="1"/>
              <w:jc w:val="center"/>
            </w:pPr>
            <w:r>
              <w:rPr>
                <w:rFonts w:cs="Arial"/>
                <w:sz w:val="18"/>
                <w:rtl w:val="1"/>
              </w:rPr>
              <w:t>مدير مكتب إدارة البيانات</w:t>
            </w:r>
          </w:p>
        </w:tc>
        <w:tc>
          <w:tcPr>
            <w:tcW w:type="dxa" w:w="2550"/>
          </w:tcPr>
          <w:p>
            <w:pPr>
              <w:bidi w:val="1"/>
              <w:jc w:val="center"/>
            </w:pPr>
            <w:r>
              <w:rPr>
                <w:rFonts w:cs="Arial"/>
                <w:sz w:val="18"/>
                <w:rtl w:val="1"/>
              </w:rPr>
            </w:r>
          </w:p>
        </w:tc>
        <w:tc>
          <w:tcPr>
            <w:tcW w:type="dxa" w:w="2550"/>
          </w:tcPr>
          <w:p>
            <w:pPr>
              <w:bidi w:val="1"/>
              <w:jc w:val="center"/>
            </w:pPr>
            <w:r>
              <w:rPr>
                <w:rFonts w:cs="Arial"/>
                <w:sz w:val="18"/>
                <w:rtl w:val="1"/>
              </w:rPr>
            </w:r>
          </w:p>
        </w:tc>
        <w:tc>
          <w:tcPr>
            <w:tcW w:type="dxa" w:w="2550"/>
          </w:tcPr>
          <w:p>
            <w:pPr>
              <w:bidi w:val="1"/>
              <w:jc w:val="center"/>
            </w:pPr>
            <w:r>
              <w:rPr>
                <w:rFonts w:cs="Arial"/>
                <w:sz w:val="18"/>
                <w:rtl w:val="1"/>
              </w:rPr>
            </w:r>
          </w:p>
        </w:tc>
      </w:tr>
    </w:tbl>
    <w:p/>
    <w:p>
      <w:pPr>
        <w:bidi w:val="1"/>
        <w:jc w:val="right"/>
      </w:pPr>
      <w:r>
        <w:rPr>
          <w:rFonts w:cs="Arial"/>
          <w:b w:val="0"/>
          <w:i/>
          <w:color w:val="595959"/>
          <w:sz w:val="16"/>
          <w:rtl w:val="1"/>
        </w:rPr>
        <w:t>هذا الدليل مرفق تدقيق مستقل ضمن حزمة أدلة تصنيف البيانات الخاصة بهيئة الخدمات الحكومية الذكية (SGSA) الداعمة لمتطلب DC.M.2، ويستخدم لإثبات تنفيذ أنشطة التوعية والتدريب الخاصة بتصنيف البيانات.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