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bidiVisual w:val="1"/>
      </w:tblPr>
      <w:tblGrid>
        <w:gridCol w:w="10200"/>
      </w:tblGrid>
      <w:tr>
        <w:tc>
          <w:tcPr>
            <w:tcW w:type="dxa" w:w="10200"/>
            <w:shd w:fill="1B2A4E"/>
            <w:vAlign w:val="center"/>
          </w:tcPr>
          <w:p>
            <w:pPr>
              <w:bidi w:val="1"/>
              <w:spacing w:before="120" w:after="120"/>
              <w:jc w:val="right"/>
            </w:pPr>
            <w:r>
              <w:rPr>
                <w:rFonts w:cs="Arial"/>
                <w:b/>
                <w:color w:val="FFFFFF"/>
                <w:sz w:val="36"/>
                <w:rtl w:val="1"/>
              </w:rPr>
              <w:t>هيئة الخدمات الحكومية الذكية (SGSA)</w:t>
            </w:r>
          </w:p>
        </w:tc>
      </w:tr>
    </w:tbl>
    <w:p/>
    <w:p>
      <w:pPr>
        <w:bidi w:val="1"/>
        <w:jc w:val="right"/>
      </w:pPr>
      <w:r>
        <w:rPr>
          <w:rFonts w:cs="Arial"/>
          <w:b/>
          <w:i w:val="0"/>
          <w:color w:val="29C79A"/>
          <w:sz w:val="21"/>
          <w:rtl w:val="1"/>
        </w:rPr>
      </w:r>
    </w:p>
    <w:p>
      <w:pPr>
        <w:bidi w:val="1"/>
        <w:jc w:val="right"/>
      </w:pPr>
      <w:r>
        <w:rPr>
          <w:rFonts w:cs="Arial"/>
          <w:b/>
          <w:color w:val="1B2A4E"/>
          <w:sz w:val="30"/>
          <w:rtl w:val="1"/>
        </w:rPr>
        <w:t>تقرير حالة تنفيذ خطة تصنيف البيانات</w:t>
      </w:r>
    </w:p>
    <w:p>
      <w:pPr>
        <w:bidi w:val="1"/>
        <w:jc w:val="right"/>
      </w:pPr>
      <w:r>
        <w:rPr>
          <w:rFonts w:cs="Arial"/>
          <w:b w:val="0"/>
          <w:i/>
          <w:color w:val="29C79A"/>
          <w:sz w:val="22"/>
          <w:rtl w:val="1"/>
        </w:rPr>
        <w:t>مسودة دليل مستقل للمراجعة — DC.M.2</w:t>
      </w:r>
    </w:p>
    <w:p/>
    <w:tbl>
      <w:tblPr>
        <w:tblW w:type="auto" w:w="0"/>
        <w:tblLayout w:type="autofit"/>
        <w:tblLook w:firstColumn="1" w:firstRow="1" w:lastColumn="0" w:lastRow="0" w:noHBand="0" w:noVBand="1" w:val="04A0"/>
        <w:bidiVisual w:val="1"/>
      </w:tblPr>
      <w:tblGrid>
        <w:gridCol w:w="6236"/>
        <w:gridCol w:w="2835"/>
      </w:tblGrid>
      <w:tr>
        <w:tc>
          <w:tcPr>
            <w:tcW w:type="dxa" w:w="6236"/>
          </w:tcPr>
          <w:p>
            <w:pPr>
              <w:bidi w:val="1"/>
              <w:jc w:val="right"/>
            </w:pPr>
            <w:r>
              <w:rPr>
                <w:rFonts w:cs="Arial"/>
                <w:color w:val="262626"/>
                <w:sz w:val="18"/>
                <w:rtl w:val="1"/>
              </w:rPr>
              <w:t>هيئة الخدمات الحكومية الذكية (SGSA)</w:t>
            </w:r>
          </w:p>
        </w:tc>
        <w:tc>
          <w:tcPr>
            <w:tcW w:type="dxa" w:w="2835"/>
          </w:tcPr>
          <w:p>
            <w:pPr>
              <w:bidi w:val="1"/>
              <w:jc w:val="right"/>
            </w:pPr>
            <w:r>
              <w:rPr>
                <w:rFonts w:cs="Arial"/>
                <w:b/>
                <w:color w:val="595959"/>
                <w:sz w:val="18"/>
                <w:rtl w:val="1"/>
              </w:rPr>
              <w:t>الجهة</w:t>
            </w:r>
          </w:p>
        </w:tc>
      </w:tr>
      <w:tr>
        <w:tc>
          <w:tcPr>
            <w:tcW w:type="dxa" w:w="6236"/>
          </w:tcPr>
          <w:p>
            <w:pPr>
              <w:bidi w:val="1"/>
              <w:jc w:val="right"/>
            </w:pPr>
            <w:r>
              <w:rPr>
                <w:rFonts w:cs="Arial"/>
                <w:color w:val="262626"/>
                <w:sz w:val="18"/>
                <w:rtl w:val="1"/>
              </w:rPr>
              <w:t>مكتب إدارة البيانات</w:t>
            </w:r>
          </w:p>
        </w:tc>
        <w:tc>
          <w:tcPr>
            <w:tcW w:type="dxa" w:w="2835"/>
          </w:tcPr>
          <w:p>
            <w:pPr>
              <w:bidi w:val="1"/>
              <w:jc w:val="right"/>
            </w:pPr>
            <w:r>
              <w:rPr>
                <w:rFonts w:cs="Arial"/>
                <w:b/>
                <w:color w:val="595959"/>
                <w:sz w:val="18"/>
                <w:rtl w:val="1"/>
              </w:rPr>
              <w:t>القسم</w:t>
            </w:r>
          </w:p>
        </w:tc>
      </w:tr>
      <w:tr>
        <w:tc>
          <w:tcPr>
            <w:tcW w:type="dxa" w:w="6236"/>
          </w:tcPr>
          <w:p>
            <w:pPr>
              <w:bidi w:val="1"/>
              <w:jc w:val="right"/>
            </w:pPr>
            <w:r>
              <w:rPr>
                <w:rFonts w:cs="Arial"/>
                <w:color w:val="262626"/>
                <w:sz w:val="18"/>
                <w:rtl w:val="1"/>
              </w:rPr>
              <w:t>DC.M.2</w:t>
            </w:r>
          </w:p>
        </w:tc>
        <w:tc>
          <w:tcPr>
            <w:tcW w:type="dxa" w:w="2835"/>
          </w:tcPr>
          <w:p>
            <w:pPr>
              <w:bidi w:val="1"/>
              <w:jc w:val="right"/>
            </w:pPr>
            <w:r>
              <w:rPr>
                <w:rFonts w:cs="Arial"/>
                <w:b/>
                <w:color w:val="595959"/>
                <w:sz w:val="18"/>
                <w:rtl w:val="1"/>
              </w:rPr>
              <w:t>رمز الدليل</w:t>
            </w:r>
          </w:p>
        </w:tc>
      </w:tr>
      <w:tr>
        <w:tc>
          <w:tcPr>
            <w:tcW w:type="dxa" w:w="6236"/>
          </w:tcPr>
          <w:p>
            <w:pPr>
              <w:bidi w:val="1"/>
              <w:jc w:val="right"/>
            </w:pPr>
            <w:r>
              <w:rPr>
                <w:rFonts w:cs="Arial"/>
                <w:color w:val="262626"/>
                <w:sz w:val="18"/>
                <w:rtl w:val="1"/>
              </w:rPr>
              <w:t>تقرير حالة تنفيذ خطة تصنيف البيانات</w:t>
            </w:r>
          </w:p>
        </w:tc>
        <w:tc>
          <w:tcPr>
            <w:tcW w:type="dxa" w:w="2835"/>
          </w:tcPr>
          <w:p>
            <w:pPr>
              <w:bidi w:val="1"/>
              <w:jc w:val="right"/>
            </w:pPr>
            <w:r>
              <w:rPr>
                <w:rFonts w:cs="Arial"/>
                <w:b/>
                <w:color w:val="595959"/>
                <w:sz w:val="18"/>
                <w:rtl w:val="1"/>
              </w:rPr>
              <w:t>اسم الدليل</w:t>
            </w:r>
          </w:p>
        </w:tc>
      </w:tr>
      <w:tr>
        <w:tc>
          <w:tcPr>
            <w:tcW w:type="dxa" w:w="6236"/>
          </w:tcPr>
          <w:p>
            <w:pPr>
              <w:bidi w:val="1"/>
              <w:jc w:val="right"/>
            </w:pPr>
            <w:r>
              <w:rPr>
                <w:rFonts w:cs="Arial"/>
                <w:color w:val="262626"/>
                <w:sz w:val="18"/>
                <w:rtl w:val="1"/>
              </w:rPr>
              <w:t>0.1 (مسودة)</w:t>
            </w:r>
          </w:p>
        </w:tc>
        <w:tc>
          <w:tcPr>
            <w:tcW w:type="dxa" w:w="2835"/>
          </w:tcPr>
          <w:p>
            <w:pPr>
              <w:bidi w:val="1"/>
              <w:jc w:val="right"/>
            </w:pPr>
            <w:r>
              <w:rPr>
                <w:rFonts w:cs="Arial"/>
                <w:b/>
                <w:color w:val="595959"/>
                <w:sz w:val="18"/>
                <w:rtl w:val="1"/>
              </w:rPr>
              <w:t>الإصدار</w:t>
            </w:r>
          </w:p>
        </w:tc>
      </w:tr>
      <w:tr>
        <w:tc>
          <w:tcPr>
            <w:tcW w:type="dxa" w:w="6236"/>
          </w:tcPr>
          <w:p>
            <w:pPr>
              <w:bidi w:val="1"/>
              <w:jc w:val="right"/>
            </w:pPr>
            <w:r>
              <w:rPr>
                <w:rFonts w:cs="Arial"/>
                <w:color w:val="262626"/>
                <w:sz w:val="18"/>
                <w:rtl w:val="1"/>
              </w:rPr>
              <w:t>يونيو 2026</w:t>
            </w:r>
          </w:p>
        </w:tc>
        <w:tc>
          <w:tcPr>
            <w:tcW w:type="dxa" w:w="2835"/>
          </w:tcPr>
          <w:p>
            <w:pPr>
              <w:bidi w:val="1"/>
              <w:jc w:val="right"/>
            </w:pPr>
            <w:r>
              <w:rPr>
                <w:rFonts w:cs="Arial"/>
                <w:b/>
                <w:color w:val="595959"/>
                <w:sz w:val="18"/>
                <w:rtl w:val="1"/>
              </w:rPr>
              <w:t>التاريخ</w:t>
            </w:r>
          </w:p>
        </w:tc>
      </w:tr>
      <w:tr>
        <w:tc>
          <w:tcPr>
            <w:tcW w:type="dxa" w:w="6236"/>
          </w:tcPr>
          <w:p>
            <w:pPr>
              <w:bidi w:val="1"/>
              <w:jc w:val="right"/>
            </w:pPr>
            <w:r>
              <w:rPr>
                <w:rFonts w:cs="Arial"/>
                <w:color w:val="262626"/>
                <w:sz w:val="18"/>
                <w:rtl w:val="1"/>
              </w:rPr>
              <w:t>مسودة للمراجعة — لم تُعتمد بعد</w:t>
            </w:r>
          </w:p>
        </w:tc>
        <w:tc>
          <w:tcPr>
            <w:tcW w:type="dxa" w:w="2835"/>
          </w:tcPr>
          <w:p>
            <w:pPr>
              <w:bidi w:val="1"/>
              <w:jc w:val="right"/>
            </w:pPr>
            <w:r>
              <w:rPr>
                <w:rFonts w:cs="Arial"/>
                <w:b/>
                <w:color w:val="595959"/>
                <w:sz w:val="18"/>
                <w:rtl w:val="1"/>
              </w:rPr>
              <w:t>حالة الوثيقة</w:t>
            </w:r>
          </w:p>
        </w:tc>
      </w:tr>
      <w:tr>
        <w:tc>
          <w:tcPr>
            <w:tcW w:type="dxa" w:w="6236"/>
          </w:tcPr>
          <w:p>
            <w:pPr>
              <w:bidi w:val="1"/>
              <w:jc w:val="right"/>
            </w:pPr>
            <w:r>
              <w:rPr>
                <w:rFonts w:cs="Arial"/>
                <w:color w:val="262626"/>
                <w:sz w:val="18"/>
                <w:rtl w:val="1"/>
              </w:rPr>
              <w:t>إطار حوكمة البيانات الوطني (NDMO)</w:t>
            </w:r>
          </w:p>
        </w:tc>
        <w:tc>
          <w:tcPr>
            <w:tcW w:type="dxa" w:w="2835"/>
          </w:tcPr>
          <w:p>
            <w:pPr>
              <w:bidi w:val="1"/>
              <w:jc w:val="right"/>
            </w:pPr>
            <w:r>
              <w:rPr>
                <w:rFonts w:cs="Arial"/>
                <w:b/>
                <w:color w:val="595959"/>
                <w:sz w:val="18"/>
                <w:rtl w:val="1"/>
              </w:rPr>
              <w:t>الإطار المرجعي</w:t>
            </w:r>
          </w:p>
        </w:tc>
      </w:tr>
      <w:tr>
        <w:tc>
          <w:tcPr>
            <w:tcW w:type="dxa" w:w="6236"/>
          </w:tcPr>
          <w:p>
            <w:pPr>
              <w:bidi w:val="1"/>
              <w:jc w:val="right"/>
            </w:pPr>
            <w:r>
              <w:rPr>
                <w:rFonts w:cs="Arial"/>
                <w:color w:val="262626"/>
                <w:sz w:val="18"/>
                <w:rtl w:val="1"/>
              </w:rPr>
              <w:t>DC.C.1.1</w:t>
            </w:r>
          </w:p>
        </w:tc>
        <w:tc>
          <w:tcPr>
            <w:tcW w:type="dxa" w:w="2835"/>
          </w:tcPr>
          <w:p>
            <w:pPr>
              <w:bidi w:val="1"/>
              <w:jc w:val="right"/>
            </w:pPr>
            <w:r>
              <w:rPr>
                <w:rFonts w:cs="Arial"/>
                <w:b/>
                <w:color w:val="595959"/>
                <w:sz w:val="18"/>
                <w:rtl w:val="1"/>
              </w:rPr>
              <w:t>مرجع الخطة المعتمدة</w:t>
            </w:r>
          </w:p>
        </w:tc>
      </w:tr>
    </w:tbl>
    <w:p>
      <w:r>
        <w:br w:type="page"/>
      </w:r>
    </w:p>
    <w:p>
      <w:pPr>
        <w:bidi w:val="1"/>
        <w:jc w:val="right"/>
      </w:pPr>
      <w:r>
        <w:rPr>
          <w:rFonts w:cs="Arial"/>
          <w:b/>
          <w:color w:val="1B2A4E"/>
          <w:sz w:val="26"/>
          <w:rtl w:val="1"/>
        </w:rPr>
        <w:t>1.  المقدمة</w:t>
      </w:r>
    </w:p>
    <w:p>
      <w:pPr>
        <w:bidi w:val="1"/>
        <w:jc w:val="right"/>
      </w:pPr>
      <w:r>
        <w:rPr>
          <w:rFonts w:cs="Arial"/>
          <w:b w:val="0"/>
          <w:i w:val="0"/>
          <w:color w:val="262626"/>
          <w:sz w:val="19"/>
          <w:rtl w:val="1"/>
        </w:rPr>
        <w:t>يُعدّ متطلب DC.M.2 ضمن سؤال النضج DC.MQ.1 مطلباً أساسياً في المرحلة الأولى (البناء) من أطوار تصنيف البيانات، إذ ينص على أن: «تعمل الجهة على تنفيذ الخطة المعرفة وخارطة طريق تصنيف البيانات على جميع المجموعات المعتمدة من البيانات والسجلات». يوثّق هذا التقرير حالة تنفيذ هذه الخطة فعلياً داخل هيئة الخدمات الحكومية الذكية (SGSA)، ويُعدّ الدليل الرسمي المُستخدَم لإثبات استيفاء هذا المتطلب.</w:t>
      </w:r>
    </w:p>
    <w:p>
      <w:pPr>
        <w:bidi w:val="1"/>
        <w:jc w:val="right"/>
      </w:pPr>
      <w:r>
        <w:rPr>
          <w:rFonts w:cs="Arial"/>
          <w:b w:val="0"/>
          <w:i w:val="0"/>
          <w:color w:val="262626"/>
          <w:sz w:val="19"/>
          <w:rtl w:val="1"/>
        </w:rPr>
        <w:t>يستعرض التقرير خارطة الطريق المعتمدة ونطاق تنفيذها، ونطاق التغطية الفعلي عبر مجموعات البيانات والسجلات والإدارات المالكة، وحالة كل نشاط من أنشطة الخطة، والمبادرات المنفذة فعلياً، ومؤشرات التقدم المحققة، إضافة إلى الأدلة الداعمة لكل ما سبق.</w:t>
      </w:r>
    </w:p>
    <w:p/>
    <w:p>
      <w:pPr>
        <w:bidi w:val="1"/>
        <w:jc w:val="right"/>
      </w:pPr>
      <w:r>
        <w:rPr>
          <w:rFonts w:cs="Arial"/>
          <w:b/>
          <w:color w:val="1B2A4E"/>
          <w:sz w:val="26"/>
          <w:rtl w:val="1"/>
        </w:rPr>
        <w:t>2.  الخطة المعتمدة وخارطة الطريق</w:t>
      </w:r>
    </w:p>
    <w:p>
      <w:pPr>
        <w:bidi w:val="1"/>
        <w:jc w:val="right"/>
      </w:pPr>
      <w:r>
        <w:rPr>
          <w:rFonts w:cs="Arial"/>
          <w:b/>
          <w:i w:val="0"/>
          <w:color w:val="262626"/>
          <w:sz w:val="20"/>
          <w:rtl w:val="1"/>
        </w:rPr>
        <w:t>أهداف الخطة:</w:t>
      </w:r>
    </w:p>
    <w:p>
      <w:pPr>
        <w:bidi w:val="1"/>
        <w:jc w:val="right"/>
      </w:pPr>
      <w:r>
        <w:rPr>
          <w:rFonts w:cs="Arial"/>
          <w:color w:val="262626"/>
          <w:sz w:val="19"/>
          <w:rtl w:val="1"/>
        </w:rPr>
        <w:t>•  حصر جميع مجموعات البيانات والسجلات المعتمدة عبر الإدارات.</w:t>
      </w:r>
    </w:p>
    <w:p>
      <w:pPr>
        <w:bidi w:val="1"/>
        <w:jc w:val="right"/>
      </w:pPr>
      <w:r>
        <w:rPr>
          <w:rFonts w:cs="Arial"/>
          <w:color w:val="262626"/>
          <w:sz w:val="19"/>
          <w:rtl w:val="1"/>
        </w:rPr>
        <w:t>•  تحديد وتوثيق ملاك البيانات ومسؤولياتهم رسمياً.</w:t>
      </w:r>
    </w:p>
    <w:p>
      <w:pPr>
        <w:bidi w:val="1"/>
        <w:jc w:val="right"/>
      </w:pPr>
      <w:r>
        <w:rPr>
          <w:rFonts w:cs="Arial"/>
          <w:color w:val="262626"/>
          <w:sz w:val="19"/>
          <w:rtl w:val="1"/>
        </w:rPr>
        <w:t>•  رفع مستوى الوعي المؤسسي بمفاهيم تصنيف البيانات ومتطلباته.</w:t>
      </w:r>
    </w:p>
    <w:p>
      <w:pPr>
        <w:bidi w:val="1"/>
        <w:jc w:val="right"/>
      </w:pPr>
      <w:r>
        <w:rPr>
          <w:rFonts w:cs="Arial"/>
          <w:color w:val="262626"/>
          <w:sz w:val="19"/>
          <w:rtl w:val="1"/>
        </w:rPr>
        <w:t>•  إعداد إجراءات تشغيلية موحَّدة لتصنيف البيانات تمهيداً لاعتمادها.</w:t>
      </w:r>
    </w:p>
    <w:p/>
    <w:p>
      <w:pPr>
        <w:bidi w:val="1"/>
        <w:jc w:val="right"/>
      </w:pPr>
      <w:r>
        <w:rPr>
          <w:rFonts w:cs="Arial"/>
          <w:b/>
          <w:i w:val="0"/>
          <w:color w:val="262626"/>
          <w:sz w:val="20"/>
          <w:rtl w:val="1"/>
        </w:rPr>
        <w:t>نطاق التنفيذ:</w:t>
      </w:r>
    </w:p>
    <w:p>
      <w:pPr>
        <w:bidi w:val="1"/>
        <w:jc w:val="right"/>
      </w:pPr>
      <w:r>
        <w:rPr>
          <w:rFonts w:cs="Arial"/>
          <w:b w:val="0"/>
          <w:i w:val="0"/>
          <w:color w:val="262626"/>
          <w:sz w:val="19"/>
          <w:rtl w:val="1"/>
        </w:rPr>
        <w:t>يشمل نطاق التنفيذ جميع مجموعات البيانات والسجلات المعتمدة ضمن الجرد المؤسسي، عبر خمس إدارات رئيسية مشمولة بالخطة (مكتب إدارة البيانات، الموارد البشرية، الإدارة المالية، تقنية المعلومات، الخدمات الرقمية).</w:t>
      </w:r>
    </w:p>
    <w:p/>
    <w:p>
      <w:pPr>
        <w:bidi w:val="1"/>
        <w:jc w:val="right"/>
      </w:pPr>
      <w:r>
        <w:rPr>
          <w:rFonts w:cs="Arial"/>
          <w:b/>
          <w:i w:val="0"/>
          <w:color w:val="262626"/>
          <w:sz w:val="20"/>
          <w:rtl w:val="1"/>
        </w:rPr>
        <w:t>الفترة الزمنية:</w:t>
      </w:r>
    </w:p>
    <w:p>
      <w:pPr>
        <w:bidi w:val="1"/>
        <w:jc w:val="right"/>
      </w:pPr>
      <w:r>
        <w:rPr>
          <w:rFonts w:cs="Arial"/>
          <w:b w:val="0"/>
          <w:i w:val="0"/>
          <w:color w:val="262626"/>
          <w:sz w:val="19"/>
          <w:rtl w:val="1"/>
        </w:rPr>
        <w:t>تغطي هذه المرحلة (مرحلة البناء — Level 1) الفترة من الربع الأول 2026 وحتى تاريخ إصدار هذا التقرير في يونيو 2026، تمهيداً للانتقال إلى مرحلة التعريف (Level 2).</w:t>
      </w:r>
    </w:p>
    <w:p/>
    <w:p>
      <w:pPr>
        <w:bidi w:val="1"/>
        <w:jc w:val="right"/>
      </w:pPr>
      <w:r>
        <w:rPr>
          <w:rFonts w:cs="Arial"/>
          <w:b/>
          <w:color w:val="1B2A4E"/>
          <w:sz w:val="26"/>
          <w:rtl w:val="1"/>
        </w:rPr>
        <w:t>3.  نطاق التغطية</w:t>
      </w:r>
    </w:p>
    <w:p>
      <w:pPr>
        <w:bidi w:val="1"/>
        <w:jc w:val="right"/>
      </w:pPr>
      <w:r>
        <w:rPr>
          <w:rFonts w:cs="Arial"/>
          <w:b w:val="0"/>
          <w:i w:val="0"/>
          <w:color w:val="262626"/>
          <w:sz w:val="19"/>
          <w:rtl w:val="1"/>
        </w:rPr>
        <w:t>يوضّح الجدول التالي نطاق التغطية الفعلي لخطة تصنيف البيانات عبر الإدارات المالكة:</w:t>
      </w:r>
    </w:p>
    <w:tbl>
      <w:tblPr>
        <w:tblStyle w:val="TableGrid"/>
        <w:tblW w:type="auto" w:w="0"/>
        <w:tblLook w:firstColumn="1" w:firstRow="1" w:lastColumn="0" w:lastRow="0" w:noHBand="0" w:noVBand="1" w:val="04A0"/>
        <w:bidiVisual w:val="1"/>
      </w:tblPr>
      <w:tblGrid>
        <w:gridCol w:w="2721"/>
        <w:gridCol w:w="2721"/>
        <w:gridCol w:w="2268"/>
        <w:gridCol w:w="1417"/>
      </w:tblGrid>
      <w:tr>
        <w:trPr>
          <w:cantSplit/>
        </w:trPr>
        <w:tc>
          <w:tcPr>
            <w:tcW w:type="dxa" w:w="2550"/>
            <w:shd w:fill="1B2A4E"/>
            <w:vAlign w:val="center"/>
          </w:tcPr>
          <w:p>
            <w:pPr>
              <w:bidi w:val="1"/>
              <w:jc w:val="center"/>
            </w:pPr>
            <w:r/>
            <w:r>
              <w:rPr>
                <w:rFonts w:cs="Arial"/>
                <w:b/>
                <w:color w:val="FFFFFF"/>
                <w:sz w:val="19"/>
                <w:rtl w:val="1"/>
              </w:rPr>
              <w:t>مجموعات البيانات المشمولة</w:t>
            </w:r>
          </w:p>
        </w:tc>
        <w:tc>
          <w:tcPr>
            <w:tcW w:type="dxa" w:w="2550"/>
            <w:shd w:fill="1B2A4E"/>
            <w:vAlign w:val="center"/>
          </w:tcPr>
          <w:p>
            <w:pPr>
              <w:bidi w:val="1"/>
              <w:jc w:val="center"/>
            </w:pPr>
            <w:r/>
            <w:r>
              <w:rPr>
                <w:rFonts w:cs="Arial"/>
                <w:b/>
                <w:color w:val="FFFFFF"/>
                <w:sz w:val="19"/>
                <w:rtl w:val="1"/>
              </w:rPr>
              <w:t>السجلات المشمولة</w:t>
            </w:r>
          </w:p>
        </w:tc>
        <w:tc>
          <w:tcPr>
            <w:tcW w:type="dxa" w:w="2550"/>
            <w:shd w:fill="1B2A4E"/>
            <w:vAlign w:val="center"/>
          </w:tcPr>
          <w:p>
            <w:pPr>
              <w:bidi w:val="1"/>
              <w:jc w:val="center"/>
            </w:pPr>
            <w:r/>
            <w:r>
              <w:rPr>
                <w:rFonts w:cs="Arial"/>
                <w:b/>
                <w:color w:val="FFFFFF"/>
                <w:sz w:val="19"/>
                <w:rtl w:val="1"/>
              </w:rPr>
              <w:t>الإدارة المالكة</w:t>
            </w:r>
          </w:p>
        </w:tc>
        <w:tc>
          <w:tcPr>
            <w:tcW w:type="dxa" w:w="2550"/>
            <w:shd w:fill="1B2A4E"/>
            <w:vAlign w:val="center"/>
          </w:tcPr>
          <w:p>
            <w:pPr>
              <w:bidi w:val="1"/>
              <w:jc w:val="center"/>
            </w:pPr>
            <w:r/>
            <w:r>
              <w:rPr>
                <w:rFonts w:cs="Arial"/>
                <w:b/>
                <w:color w:val="FFFFFF"/>
                <w:sz w:val="19"/>
                <w:rtl w:val="1"/>
              </w:rPr>
              <w:t>حالة التنفيذ</w:t>
            </w:r>
          </w:p>
        </w:tc>
      </w:tr>
      <w:tr>
        <w:trPr>
          <w:cantSplit/>
        </w:trPr>
        <w:tc>
          <w:tcPr>
            <w:tcW w:type="dxa" w:w="2721"/>
            <w:vAlign w:val="center"/>
            <w:shd w:fill="F2F2F2"/>
          </w:tcPr>
          <w:p>
            <w:pPr>
              <w:bidi w:val="1"/>
              <w:jc w:val="right"/>
            </w:pPr>
            <w:r>
              <w:rPr>
                <w:rFonts w:cs="Arial"/>
                <w:b/>
                <w:color w:val="1B2A4E"/>
                <w:sz w:val="17"/>
                <w:rtl w:val="1"/>
              </w:rPr>
              <w:t>بيانات الموظفين والملفات الوظيفية</w:t>
            </w:r>
          </w:p>
        </w:tc>
        <w:tc>
          <w:tcPr>
            <w:tcW w:type="dxa" w:w="2721"/>
            <w:vAlign w:val="center"/>
            <w:shd w:fill="F2F2F2"/>
          </w:tcPr>
          <w:p>
            <w:pPr>
              <w:bidi w:val="1"/>
              <w:jc w:val="right"/>
            </w:pPr>
            <w:r>
              <w:rPr>
                <w:rFonts w:cs="Arial"/>
                <w:color w:val="262626"/>
                <w:sz w:val="17"/>
                <w:rtl w:val="1"/>
              </w:rPr>
              <w:t>سجلات العقود والاتفاقيات</w:t>
            </w:r>
          </w:p>
        </w:tc>
        <w:tc>
          <w:tcPr>
            <w:tcW w:type="dxa" w:w="2268"/>
            <w:vAlign w:val="center"/>
            <w:shd w:fill="F2F2F2"/>
          </w:tcPr>
          <w:p>
            <w:pPr>
              <w:bidi w:val="1"/>
              <w:jc w:val="right"/>
            </w:pPr>
            <w:r>
              <w:rPr>
                <w:rFonts w:cs="Arial"/>
                <w:color w:val="262626"/>
                <w:sz w:val="17"/>
                <w:rtl w:val="1"/>
              </w:rPr>
              <w:t>إدارة الموارد البشرية</w:t>
            </w:r>
          </w:p>
        </w:tc>
        <w:tc>
          <w:tcPr>
            <w:tcW w:type="dxa" w:w="1417"/>
            <w:vAlign w:val="center"/>
            <w:shd w:fill="F2F2F2"/>
          </w:tcPr>
          <w:p>
            <w:pPr>
              <w:bidi w:val="1"/>
              <w:jc w:val="center"/>
            </w:pPr>
            <w:r>
              <w:rPr>
                <w:rFonts w:cs="Arial"/>
                <w:b/>
                <w:color w:val="1F6F43"/>
                <w:sz w:val="17"/>
                <w:rtl w:val="1"/>
              </w:rPr>
              <w:t>مكتمل</w:t>
            </w:r>
          </w:p>
        </w:tc>
      </w:tr>
      <w:tr>
        <w:trPr>
          <w:cantSplit/>
        </w:trPr>
        <w:tc>
          <w:tcPr>
            <w:tcW w:type="dxa" w:w="2721"/>
            <w:vAlign w:val="center"/>
          </w:tcPr>
          <w:p>
            <w:pPr>
              <w:bidi w:val="1"/>
              <w:jc w:val="right"/>
            </w:pPr>
            <w:r>
              <w:rPr>
                <w:rFonts w:cs="Arial"/>
                <w:b/>
                <w:color w:val="1B2A4E"/>
                <w:sz w:val="17"/>
                <w:rtl w:val="1"/>
              </w:rPr>
              <w:t>بيانات المدفوعات والمعاملات المالية</w:t>
            </w:r>
          </w:p>
        </w:tc>
        <w:tc>
          <w:tcPr>
            <w:tcW w:type="dxa" w:w="2721"/>
            <w:vAlign w:val="center"/>
          </w:tcPr>
          <w:p>
            <w:pPr>
              <w:bidi w:val="1"/>
              <w:jc w:val="right"/>
            </w:pPr>
            <w:r>
              <w:rPr>
                <w:rFonts w:cs="Arial"/>
                <w:color w:val="262626"/>
                <w:sz w:val="17"/>
                <w:rtl w:val="1"/>
              </w:rPr>
              <w:t>سجلات التدقيق الداخلي والرقابة</w:t>
            </w:r>
          </w:p>
        </w:tc>
        <w:tc>
          <w:tcPr>
            <w:tcW w:type="dxa" w:w="2268"/>
            <w:vAlign w:val="center"/>
          </w:tcPr>
          <w:p>
            <w:pPr>
              <w:bidi w:val="1"/>
              <w:jc w:val="right"/>
            </w:pPr>
            <w:r>
              <w:rPr>
                <w:rFonts w:cs="Arial"/>
                <w:color w:val="262626"/>
                <w:sz w:val="17"/>
                <w:rtl w:val="1"/>
              </w:rPr>
              <w:t>الإدارة المالية</w:t>
            </w:r>
          </w:p>
        </w:tc>
        <w:tc>
          <w:tcPr>
            <w:tcW w:type="dxa" w:w="1417"/>
            <w:vAlign w:val="center"/>
          </w:tcPr>
          <w:p>
            <w:pPr>
              <w:bidi w:val="1"/>
              <w:jc w:val="center"/>
            </w:pPr>
            <w:r>
              <w:rPr>
                <w:rFonts w:cs="Arial"/>
                <w:b/>
                <w:color w:val="1F6F43"/>
                <w:sz w:val="17"/>
                <w:rtl w:val="1"/>
              </w:rPr>
              <w:t>مكتمل</w:t>
            </w:r>
          </w:p>
        </w:tc>
      </w:tr>
      <w:tr>
        <w:trPr>
          <w:cantSplit/>
        </w:trPr>
        <w:tc>
          <w:tcPr>
            <w:tcW w:type="dxa" w:w="2721"/>
            <w:vAlign w:val="center"/>
            <w:shd w:fill="F2F2F2"/>
          </w:tcPr>
          <w:p>
            <w:pPr>
              <w:bidi w:val="1"/>
              <w:jc w:val="right"/>
            </w:pPr>
            <w:r>
              <w:rPr>
                <w:rFonts w:cs="Arial"/>
                <w:b/>
                <w:color w:val="1B2A4E"/>
                <w:sz w:val="17"/>
                <w:rtl w:val="1"/>
              </w:rPr>
              <w:t>بيانات الأصول والبنية التحتية التقنية</w:t>
            </w:r>
          </w:p>
        </w:tc>
        <w:tc>
          <w:tcPr>
            <w:tcW w:type="dxa" w:w="2721"/>
            <w:vAlign w:val="center"/>
            <w:shd w:fill="F2F2F2"/>
          </w:tcPr>
          <w:p>
            <w:pPr>
              <w:bidi w:val="1"/>
              <w:jc w:val="right"/>
            </w:pPr>
            <w:r>
              <w:rPr>
                <w:rFonts w:cs="Arial"/>
                <w:color w:val="262626"/>
                <w:sz w:val="17"/>
                <w:rtl w:val="1"/>
              </w:rPr>
              <w:t>سجلات التغييرات والتحديثات التقنية</w:t>
            </w:r>
          </w:p>
        </w:tc>
        <w:tc>
          <w:tcPr>
            <w:tcW w:type="dxa" w:w="2268"/>
            <w:vAlign w:val="center"/>
            <w:shd w:fill="F2F2F2"/>
          </w:tcPr>
          <w:p>
            <w:pPr>
              <w:bidi w:val="1"/>
              <w:jc w:val="right"/>
            </w:pPr>
            <w:r>
              <w:rPr>
                <w:rFonts w:cs="Arial"/>
                <w:color w:val="262626"/>
                <w:sz w:val="17"/>
                <w:rtl w:val="1"/>
              </w:rPr>
              <w:t>إدارة تقنية المعلومات</w:t>
            </w:r>
          </w:p>
        </w:tc>
        <w:tc>
          <w:tcPr>
            <w:tcW w:type="dxa" w:w="1417"/>
            <w:vAlign w:val="center"/>
            <w:shd w:fill="F2F2F2"/>
          </w:tcPr>
          <w:p>
            <w:pPr>
              <w:bidi w:val="1"/>
              <w:jc w:val="center"/>
            </w:pPr>
            <w:r>
              <w:rPr>
                <w:rFonts w:cs="Arial"/>
                <w:b/>
                <w:color w:val="1F6F43"/>
                <w:sz w:val="17"/>
                <w:rtl w:val="1"/>
              </w:rPr>
              <w:t>مكتمل</w:t>
            </w:r>
          </w:p>
        </w:tc>
      </w:tr>
      <w:tr>
        <w:trPr>
          <w:cantSplit/>
        </w:trPr>
        <w:tc>
          <w:tcPr>
            <w:tcW w:type="dxa" w:w="2721"/>
            <w:vAlign w:val="center"/>
          </w:tcPr>
          <w:p>
            <w:pPr>
              <w:bidi w:val="1"/>
              <w:jc w:val="right"/>
            </w:pPr>
            <w:r>
              <w:rPr>
                <w:rFonts w:cs="Arial"/>
                <w:b/>
                <w:color w:val="1B2A4E"/>
                <w:sz w:val="17"/>
                <w:rtl w:val="1"/>
              </w:rPr>
              <w:t>بيانات المستخدمين والمستفيدين</w:t>
            </w:r>
          </w:p>
        </w:tc>
        <w:tc>
          <w:tcPr>
            <w:tcW w:type="dxa" w:w="2721"/>
            <w:vAlign w:val="center"/>
          </w:tcPr>
          <w:p>
            <w:pPr>
              <w:bidi w:val="1"/>
              <w:jc w:val="right"/>
            </w:pPr>
            <w:r>
              <w:rPr>
                <w:rFonts w:cs="Arial"/>
                <w:color w:val="262626"/>
                <w:sz w:val="17"/>
                <w:rtl w:val="1"/>
              </w:rPr>
              <w:t>سجلات الشكاوى والمقترحات</w:t>
            </w:r>
          </w:p>
        </w:tc>
        <w:tc>
          <w:tcPr>
            <w:tcW w:type="dxa" w:w="2268"/>
            <w:vAlign w:val="center"/>
          </w:tcPr>
          <w:p>
            <w:pPr>
              <w:bidi w:val="1"/>
              <w:jc w:val="right"/>
            </w:pPr>
            <w:r>
              <w:rPr>
                <w:rFonts w:cs="Arial"/>
                <w:color w:val="262626"/>
                <w:sz w:val="17"/>
                <w:rtl w:val="1"/>
              </w:rPr>
              <w:t>إدارة الخدمات الرقمية</w:t>
            </w:r>
          </w:p>
        </w:tc>
        <w:tc>
          <w:tcPr>
            <w:tcW w:type="dxa" w:w="1417"/>
            <w:vAlign w:val="center"/>
          </w:tcPr>
          <w:p>
            <w:pPr>
              <w:bidi w:val="1"/>
              <w:jc w:val="center"/>
            </w:pPr>
            <w:r>
              <w:rPr>
                <w:rFonts w:cs="Arial"/>
                <w:b/>
                <w:color w:val="8A6D00"/>
                <w:sz w:val="17"/>
                <w:rtl w:val="1"/>
              </w:rPr>
              <w:t>قيد التنفيذ</w:t>
            </w:r>
          </w:p>
        </w:tc>
      </w:tr>
      <w:tr>
        <w:trPr>
          <w:cantSplit/>
        </w:trPr>
        <w:tc>
          <w:tcPr>
            <w:tcW w:type="dxa" w:w="2721"/>
            <w:vAlign w:val="center"/>
            <w:shd w:fill="F2F2F2"/>
          </w:tcPr>
          <w:p>
            <w:pPr>
              <w:bidi w:val="1"/>
              <w:jc w:val="right"/>
            </w:pPr>
            <w:r>
              <w:rPr>
                <w:rFonts w:cs="Arial"/>
                <w:b/>
                <w:color w:val="1B2A4E"/>
                <w:sz w:val="17"/>
                <w:rtl w:val="1"/>
              </w:rPr>
              <w:t>بيانات التقارير والإحصاءات المنشورة</w:t>
            </w:r>
          </w:p>
        </w:tc>
        <w:tc>
          <w:tcPr>
            <w:tcW w:type="dxa" w:w="2721"/>
            <w:vAlign w:val="center"/>
            <w:shd w:fill="F2F2F2"/>
          </w:tcPr>
          <w:p>
            <w:pPr>
              <w:bidi w:val="1"/>
              <w:jc w:val="right"/>
            </w:pPr>
            <w:r>
              <w:rPr>
                <w:rFonts w:cs="Arial"/>
                <w:color w:val="262626"/>
                <w:sz w:val="17"/>
                <w:rtl w:val="1"/>
              </w:rPr>
              <w:t>سجلات التقارير الإدارية الدورية</w:t>
            </w:r>
          </w:p>
        </w:tc>
        <w:tc>
          <w:tcPr>
            <w:tcW w:type="dxa" w:w="2268"/>
            <w:vAlign w:val="center"/>
            <w:shd w:fill="F2F2F2"/>
          </w:tcPr>
          <w:p>
            <w:pPr>
              <w:bidi w:val="1"/>
              <w:jc w:val="right"/>
            </w:pPr>
            <w:r>
              <w:rPr>
                <w:rFonts w:cs="Arial"/>
                <w:color w:val="262626"/>
                <w:sz w:val="17"/>
                <w:rtl w:val="1"/>
              </w:rPr>
              <w:t>مكتب إدارة البيانات</w:t>
            </w:r>
          </w:p>
        </w:tc>
        <w:tc>
          <w:tcPr>
            <w:tcW w:type="dxa" w:w="1417"/>
            <w:vAlign w:val="center"/>
            <w:shd w:fill="F2F2F2"/>
          </w:tcPr>
          <w:p>
            <w:pPr>
              <w:bidi w:val="1"/>
              <w:jc w:val="center"/>
            </w:pPr>
            <w:r>
              <w:rPr>
                <w:rFonts w:cs="Arial"/>
                <w:b/>
                <w:color w:val="1F6F43"/>
                <w:sz w:val="17"/>
                <w:rtl w:val="1"/>
              </w:rPr>
              <w:t>مكتمل</w:t>
            </w:r>
          </w:p>
        </w:tc>
      </w:tr>
    </w:tbl>
    <w:p/>
    <w:p>
      <w:pPr>
        <w:bidi w:val="1"/>
        <w:jc w:val="right"/>
      </w:pPr>
      <w:r>
        <w:rPr>
          <w:rFonts w:cs="Arial"/>
          <w:b/>
          <w:color w:val="1B2A4E"/>
          <w:sz w:val="26"/>
          <w:rtl w:val="1"/>
        </w:rPr>
        <w:t>4.  حالة تنفيذ الخطة</w:t>
      </w:r>
    </w:p>
    <w:tbl>
      <w:tblPr>
        <w:tblStyle w:val="TableGrid"/>
        <w:tblW w:type="auto" w:w="0"/>
        <w:tblLook w:firstColumn="1" w:firstRow="1" w:lastColumn="0" w:lastRow="0" w:noHBand="0" w:noVBand="1" w:val="04A0"/>
        <w:bidiVisual w:val="1"/>
      </w:tblPr>
      <w:tblGrid>
        <w:gridCol w:w="2041"/>
        <w:gridCol w:w="1701"/>
        <w:gridCol w:w="1247"/>
        <w:gridCol w:w="1020"/>
        <w:gridCol w:w="3118"/>
      </w:tblGrid>
      <w:tr>
        <w:trPr>
          <w:cantSplit/>
        </w:trPr>
        <w:tc>
          <w:tcPr>
            <w:tcW w:type="dxa" w:w="2040"/>
            <w:shd w:fill="1B2A4E"/>
            <w:vAlign w:val="center"/>
          </w:tcPr>
          <w:p>
            <w:pPr>
              <w:bidi w:val="1"/>
              <w:jc w:val="center"/>
            </w:pPr>
            <w:r/>
            <w:r>
              <w:rPr>
                <w:rFonts w:cs="Arial"/>
                <w:b/>
                <w:color w:val="FFFFFF"/>
                <w:sz w:val="19"/>
                <w:rtl w:val="1"/>
              </w:rPr>
              <w:t>النشاط</w:t>
            </w:r>
          </w:p>
        </w:tc>
        <w:tc>
          <w:tcPr>
            <w:tcW w:type="dxa" w:w="2040"/>
            <w:shd w:fill="1B2A4E"/>
            <w:vAlign w:val="center"/>
          </w:tcPr>
          <w:p>
            <w:pPr>
              <w:bidi w:val="1"/>
              <w:jc w:val="center"/>
            </w:pPr>
            <w:r/>
            <w:r>
              <w:rPr>
                <w:rFonts w:cs="Arial"/>
                <w:b/>
                <w:color w:val="FFFFFF"/>
                <w:sz w:val="19"/>
                <w:rtl w:val="1"/>
              </w:rPr>
              <w:t>المسؤول</w:t>
            </w:r>
          </w:p>
        </w:tc>
        <w:tc>
          <w:tcPr>
            <w:tcW w:type="dxa" w:w="2040"/>
            <w:shd w:fill="1B2A4E"/>
            <w:vAlign w:val="center"/>
          </w:tcPr>
          <w:p>
            <w:pPr>
              <w:bidi w:val="1"/>
              <w:jc w:val="center"/>
            </w:pPr>
            <w:r/>
            <w:r>
              <w:rPr>
                <w:rFonts w:cs="Arial"/>
                <w:b/>
                <w:color w:val="FFFFFF"/>
                <w:sz w:val="19"/>
                <w:rtl w:val="1"/>
              </w:rPr>
              <w:t>الحالة</w:t>
            </w:r>
          </w:p>
        </w:tc>
        <w:tc>
          <w:tcPr>
            <w:tcW w:type="dxa" w:w="2040"/>
            <w:shd w:fill="1B2A4E"/>
            <w:vAlign w:val="center"/>
          </w:tcPr>
          <w:p>
            <w:pPr>
              <w:bidi w:val="1"/>
              <w:jc w:val="center"/>
            </w:pPr>
            <w:r/>
            <w:r>
              <w:rPr>
                <w:rFonts w:cs="Arial"/>
                <w:b/>
                <w:color w:val="FFFFFF"/>
                <w:sz w:val="19"/>
                <w:rtl w:val="1"/>
              </w:rPr>
              <w:t>نسبة الإنجاز</w:t>
            </w:r>
          </w:p>
        </w:tc>
        <w:tc>
          <w:tcPr>
            <w:tcW w:type="dxa" w:w="2040"/>
            <w:shd w:fill="1B2A4E"/>
            <w:vAlign w:val="center"/>
          </w:tcPr>
          <w:p>
            <w:pPr>
              <w:bidi w:val="1"/>
              <w:jc w:val="center"/>
            </w:pPr>
            <w:r/>
            <w:r>
              <w:rPr>
                <w:rFonts w:cs="Arial"/>
                <w:b/>
                <w:color w:val="FFFFFF"/>
                <w:sz w:val="19"/>
                <w:rtl w:val="1"/>
              </w:rPr>
              <w:t>الملاحظات</w:t>
            </w:r>
          </w:p>
        </w:tc>
      </w:tr>
      <w:tr>
        <w:trPr>
          <w:cantSplit/>
        </w:trPr>
        <w:tc>
          <w:tcPr>
            <w:tcW w:type="dxa" w:w="2041"/>
            <w:vAlign w:val="center"/>
            <w:shd w:fill="F2F2F2"/>
          </w:tcPr>
          <w:p>
            <w:pPr>
              <w:bidi w:val="1"/>
              <w:jc w:val="right"/>
            </w:pPr>
            <w:r>
              <w:rPr>
                <w:rFonts w:cs="Arial"/>
                <w:b/>
                <w:color w:val="1B2A4E"/>
                <w:sz w:val="17"/>
                <w:rtl w:val="1"/>
              </w:rPr>
              <w:t>حصر مجموعات البيانات والسجلات</w:t>
            </w:r>
          </w:p>
        </w:tc>
        <w:tc>
          <w:tcPr>
            <w:tcW w:type="dxa" w:w="1701"/>
            <w:vAlign w:val="center"/>
            <w:shd w:fill="F2F2F2"/>
          </w:tcPr>
          <w:p>
            <w:pPr>
              <w:bidi w:val="1"/>
              <w:jc w:val="right"/>
            </w:pPr>
            <w:r>
              <w:rPr>
                <w:rFonts w:cs="Arial"/>
                <w:color w:val="262626"/>
                <w:sz w:val="17"/>
                <w:rtl w:val="1"/>
              </w:rPr>
              <w:t>مكتب إدارة البيانات</w:t>
            </w:r>
          </w:p>
        </w:tc>
        <w:tc>
          <w:tcPr>
            <w:tcW w:type="dxa" w:w="1247"/>
            <w:vAlign w:val="center"/>
            <w:shd w:fill="F2F2F2"/>
          </w:tcPr>
          <w:p>
            <w:pPr>
              <w:bidi w:val="1"/>
              <w:jc w:val="center"/>
            </w:pPr>
            <w:r>
              <w:rPr>
                <w:rFonts w:cs="Arial"/>
                <w:b/>
                <w:color w:val="1F6F43"/>
                <w:sz w:val="17"/>
                <w:rtl w:val="1"/>
              </w:rPr>
              <w:t>مكتمل</w:t>
            </w:r>
          </w:p>
        </w:tc>
        <w:tc>
          <w:tcPr>
            <w:tcW w:type="dxa" w:w="1020"/>
            <w:vAlign w:val="center"/>
            <w:shd w:fill="F2F2F2"/>
          </w:tcPr>
          <w:p>
            <w:pPr>
              <w:bidi w:val="1"/>
              <w:jc w:val="right"/>
            </w:pPr>
            <w:r>
              <w:rPr>
                <w:rFonts w:cs="Arial"/>
                <w:color w:val="262626"/>
                <w:sz w:val="17"/>
                <w:rtl w:val="1"/>
              </w:rPr>
              <w:t>100%</w:t>
            </w:r>
          </w:p>
        </w:tc>
        <w:tc>
          <w:tcPr>
            <w:tcW w:type="dxa" w:w="3118"/>
            <w:vAlign w:val="center"/>
            <w:shd w:fill="F2F2F2"/>
          </w:tcPr>
          <w:p>
            <w:pPr>
              <w:bidi w:val="1"/>
              <w:jc w:val="right"/>
            </w:pPr>
            <w:r>
              <w:rPr>
                <w:rFonts w:cs="Arial"/>
                <w:color w:val="262626"/>
                <w:sz w:val="17"/>
                <w:rtl w:val="1"/>
              </w:rPr>
              <w:t>تم حصر وتوثيق جميع المجموعات الرئيسية دون تحديات جوهرية</w:t>
            </w:r>
          </w:p>
        </w:tc>
      </w:tr>
      <w:tr>
        <w:trPr>
          <w:cantSplit/>
        </w:trPr>
        <w:tc>
          <w:tcPr>
            <w:tcW w:type="dxa" w:w="2041"/>
            <w:vAlign w:val="center"/>
          </w:tcPr>
          <w:p>
            <w:pPr>
              <w:bidi w:val="1"/>
              <w:jc w:val="right"/>
            </w:pPr>
            <w:r>
              <w:rPr>
                <w:rFonts w:cs="Arial"/>
                <w:b/>
                <w:color w:val="1B2A4E"/>
                <w:sz w:val="17"/>
                <w:rtl w:val="1"/>
              </w:rPr>
              <w:t>تحديد وتوثيق ملاك البيانات</w:t>
            </w:r>
          </w:p>
        </w:tc>
        <w:tc>
          <w:tcPr>
            <w:tcW w:type="dxa" w:w="1701"/>
            <w:vAlign w:val="center"/>
          </w:tcPr>
          <w:p>
            <w:pPr>
              <w:bidi w:val="1"/>
              <w:jc w:val="right"/>
            </w:pPr>
            <w:r>
              <w:rPr>
                <w:rFonts w:cs="Arial"/>
                <w:color w:val="262626"/>
                <w:sz w:val="17"/>
                <w:rtl w:val="1"/>
              </w:rPr>
              <w:t>مكتب إدارة البيانات</w:t>
            </w:r>
          </w:p>
        </w:tc>
        <w:tc>
          <w:tcPr>
            <w:tcW w:type="dxa" w:w="1247"/>
            <w:vAlign w:val="center"/>
          </w:tcPr>
          <w:p>
            <w:pPr>
              <w:bidi w:val="1"/>
              <w:jc w:val="center"/>
            </w:pPr>
            <w:r>
              <w:rPr>
                <w:rFonts w:cs="Arial"/>
                <w:b/>
                <w:color w:val="1F6F43"/>
                <w:sz w:val="17"/>
                <w:rtl w:val="1"/>
              </w:rPr>
              <w:t>مكتمل</w:t>
            </w:r>
          </w:p>
        </w:tc>
        <w:tc>
          <w:tcPr>
            <w:tcW w:type="dxa" w:w="1020"/>
            <w:vAlign w:val="center"/>
          </w:tcPr>
          <w:p>
            <w:pPr>
              <w:bidi w:val="1"/>
              <w:jc w:val="right"/>
            </w:pPr>
            <w:r>
              <w:rPr>
                <w:rFonts w:cs="Arial"/>
                <w:color w:val="262626"/>
                <w:sz w:val="17"/>
                <w:rtl w:val="1"/>
              </w:rPr>
              <w:t>100%</w:t>
            </w:r>
          </w:p>
        </w:tc>
        <w:tc>
          <w:tcPr>
            <w:tcW w:type="dxa" w:w="3118"/>
            <w:vAlign w:val="center"/>
          </w:tcPr>
          <w:p>
            <w:pPr>
              <w:bidi w:val="1"/>
              <w:jc w:val="right"/>
            </w:pPr>
            <w:r>
              <w:rPr>
                <w:rFonts w:cs="Arial"/>
                <w:color w:val="262626"/>
                <w:sz w:val="17"/>
                <w:rtl w:val="1"/>
              </w:rPr>
              <w:t>صدر قرار رسمي بتحديد ملاك البيانات في جميع الإدارات</w:t>
            </w:r>
          </w:p>
        </w:tc>
      </w:tr>
      <w:tr>
        <w:trPr>
          <w:cantSplit/>
        </w:trPr>
        <w:tc>
          <w:tcPr>
            <w:tcW w:type="dxa" w:w="2041"/>
            <w:vAlign w:val="center"/>
            <w:shd w:fill="F2F2F2"/>
          </w:tcPr>
          <w:p>
            <w:pPr>
              <w:bidi w:val="1"/>
              <w:jc w:val="right"/>
            </w:pPr>
            <w:r>
              <w:rPr>
                <w:rFonts w:cs="Arial"/>
                <w:b/>
                <w:color w:val="1B2A4E"/>
                <w:sz w:val="17"/>
                <w:rtl w:val="1"/>
              </w:rPr>
              <w:t>تنفيذ برنامج التوعية والتدريب</w:t>
            </w:r>
          </w:p>
        </w:tc>
        <w:tc>
          <w:tcPr>
            <w:tcW w:type="dxa" w:w="1701"/>
            <w:vAlign w:val="center"/>
            <w:shd w:fill="F2F2F2"/>
          </w:tcPr>
          <w:p>
            <w:pPr>
              <w:bidi w:val="1"/>
              <w:jc w:val="right"/>
            </w:pPr>
            <w:r>
              <w:rPr>
                <w:rFonts w:cs="Arial"/>
                <w:color w:val="262626"/>
                <w:sz w:val="17"/>
                <w:rtl w:val="1"/>
              </w:rPr>
              <w:t>إدارة الموارد البشرية</w:t>
            </w:r>
          </w:p>
        </w:tc>
        <w:tc>
          <w:tcPr>
            <w:tcW w:type="dxa" w:w="1247"/>
            <w:vAlign w:val="center"/>
            <w:shd w:fill="F2F2F2"/>
          </w:tcPr>
          <w:p>
            <w:pPr>
              <w:bidi w:val="1"/>
              <w:jc w:val="center"/>
            </w:pPr>
            <w:r>
              <w:rPr>
                <w:rFonts w:cs="Arial"/>
                <w:b/>
                <w:color w:val="8A6D00"/>
                <w:sz w:val="17"/>
                <w:rtl w:val="1"/>
              </w:rPr>
              <w:t>قيد التنفيذ</w:t>
            </w:r>
          </w:p>
        </w:tc>
        <w:tc>
          <w:tcPr>
            <w:tcW w:type="dxa" w:w="1020"/>
            <w:vAlign w:val="center"/>
            <w:shd w:fill="F2F2F2"/>
          </w:tcPr>
          <w:p>
            <w:pPr>
              <w:bidi w:val="1"/>
              <w:jc w:val="right"/>
            </w:pPr>
            <w:r>
              <w:rPr>
                <w:rFonts w:cs="Arial"/>
                <w:color w:val="262626"/>
                <w:sz w:val="17"/>
                <w:rtl w:val="1"/>
              </w:rPr>
              <w:t>90%</w:t>
            </w:r>
          </w:p>
        </w:tc>
        <w:tc>
          <w:tcPr>
            <w:tcW w:type="dxa" w:w="3118"/>
            <w:vAlign w:val="center"/>
            <w:shd w:fill="F2F2F2"/>
          </w:tcPr>
          <w:p>
            <w:pPr>
              <w:bidi w:val="1"/>
              <w:jc w:val="right"/>
            </w:pPr>
            <w:r>
              <w:rPr>
                <w:rFonts w:cs="Arial"/>
                <w:color w:val="262626"/>
                <w:sz w:val="17"/>
                <w:rtl w:val="1"/>
              </w:rPr>
              <w:t>تم تنفيذ معظم الورش المخططة؛ تبقّت جلسة واحدة لإدارة الخدمات الرقمية</w:t>
            </w:r>
          </w:p>
        </w:tc>
      </w:tr>
      <w:tr>
        <w:trPr>
          <w:cantSplit/>
        </w:trPr>
        <w:tc>
          <w:tcPr>
            <w:tcW w:type="dxa" w:w="2041"/>
            <w:vAlign w:val="center"/>
          </w:tcPr>
          <w:p>
            <w:pPr>
              <w:bidi w:val="1"/>
              <w:jc w:val="right"/>
            </w:pPr>
            <w:r>
              <w:rPr>
                <w:rFonts w:cs="Arial"/>
                <w:b/>
                <w:color w:val="1B2A4E"/>
                <w:sz w:val="17"/>
                <w:rtl w:val="1"/>
              </w:rPr>
              <w:t>إعداد إجراءات التصنيف التشغيلية</w:t>
            </w:r>
          </w:p>
        </w:tc>
        <w:tc>
          <w:tcPr>
            <w:tcW w:type="dxa" w:w="1701"/>
            <w:vAlign w:val="center"/>
          </w:tcPr>
          <w:p>
            <w:pPr>
              <w:bidi w:val="1"/>
              <w:jc w:val="right"/>
            </w:pPr>
            <w:r>
              <w:rPr>
                <w:rFonts w:cs="Arial"/>
                <w:color w:val="262626"/>
                <w:sz w:val="17"/>
                <w:rtl w:val="1"/>
              </w:rPr>
              <w:t>مكتب إدارة البيانات</w:t>
            </w:r>
          </w:p>
        </w:tc>
        <w:tc>
          <w:tcPr>
            <w:tcW w:type="dxa" w:w="1247"/>
            <w:vAlign w:val="center"/>
          </w:tcPr>
          <w:p>
            <w:pPr>
              <w:bidi w:val="1"/>
              <w:jc w:val="center"/>
            </w:pPr>
            <w:r>
              <w:rPr>
                <w:rFonts w:cs="Arial"/>
                <w:b/>
                <w:color w:val="8A6D00"/>
                <w:sz w:val="17"/>
                <w:rtl w:val="1"/>
              </w:rPr>
              <w:t>قيد التنفيذ</w:t>
            </w:r>
          </w:p>
        </w:tc>
        <w:tc>
          <w:tcPr>
            <w:tcW w:type="dxa" w:w="1020"/>
            <w:vAlign w:val="center"/>
          </w:tcPr>
          <w:p>
            <w:pPr>
              <w:bidi w:val="1"/>
              <w:jc w:val="right"/>
            </w:pPr>
            <w:r>
              <w:rPr>
                <w:rFonts w:cs="Arial"/>
                <w:color w:val="262626"/>
                <w:sz w:val="17"/>
                <w:rtl w:val="1"/>
              </w:rPr>
              <w:t>80%</w:t>
            </w:r>
          </w:p>
        </w:tc>
        <w:tc>
          <w:tcPr>
            <w:tcW w:type="dxa" w:w="3118"/>
            <w:vAlign w:val="center"/>
          </w:tcPr>
          <w:p>
            <w:pPr>
              <w:bidi w:val="1"/>
              <w:jc w:val="right"/>
            </w:pPr>
            <w:r>
              <w:rPr>
                <w:rFonts w:cs="Arial"/>
                <w:color w:val="262626"/>
                <w:sz w:val="17"/>
                <w:rtl w:val="1"/>
              </w:rPr>
              <w:t>الإجراءات في مرحلة المراجعة النهائية تمهيداً للاعتماد الرسمي</w:t>
            </w:r>
          </w:p>
        </w:tc>
      </w:tr>
      <w:tr>
        <w:trPr>
          <w:cantSplit/>
        </w:trPr>
        <w:tc>
          <w:tcPr>
            <w:tcW w:type="dxa" w:w="2041"/>
            <w:vAlign w:val="center"/>
            <w:shd w:fill="F2F2F2"/>
          </w:tcPr>
          <w:p>
            <w:pPr>
              <w:bidi w:val="1"/>
              <w:jc w:val="right"/>
            </w:pPr>
            <w:r>
              <w:rPr>
                <w:rFonts w:cs="Arial"/>
                <w:b/>
                <w:color w:val="1B2A4E"/>
                <w:sz w:val="17"/>
                <w:rtl w:val="1"/>
              </w:rPr>
              <w:t>عقد اجتماعات المتابعة الدورية</w:t>
            </w:r>
          </w:p>
        </w:tc>
        <w:tc>
          <w:tcPr>
            <w:tcW w:type="dxa" w:w="1701"/>
            <w:vAlign w:val="center"/>
            <w:shd w:fill="F2F2F2"/>
          </w:tcPr>
          <w:p>
            <w:pPr>
              <w:bidi w:val="1"/>
              <w:jc w:val="right"/>
            </w:pPr>
            <w:r>
              <w:rPr>
                <w:rFonts w:cs="Arial"/>
                <w:color w:val="262626"/>
                <w:sz w:val="17"/>
                <w:rtl w:val="1"/>
              </w:rPr>
              <w:t>مكتب إدارة البيانات</w:t>
            </w:r>
          </w:p>
        </w:tc>
        <w:tc>
          <w:tcPr>
            <w:tcW w:type="dxa" w:w="1247"/>
            <w:vAlign w:val="center"/>
            <w:shd w:fill="F2F2F2"/>
          </w:tcPr>
          <w:p>
            <w:pPr>
              <w:bidi w:val="1"/>
              <w:jc w:val="center"/>
            </w:pPr>
            <w:r>
              <w:rPr>
                <w:rFonts w:cs="Arial"/>
                <w:b/>
                <w:color w:val="1F6F43"/>
                <w:sz w:val="17"/>
                <w:rtl w:val="1"/>
              </w:rPr>
              <w:t>مكتمل</w:t>
            </w:r>
          </w:p>
        </w:tc>
        <w:tc>
          <w:tcPr>
            <w:tcW w:type="dxa" w:w="1020"/>
            <w:vAlign w:val="center"/>
            <w:shd w:fill="F2F2F2"/>
          </w:tcPr>
          <w:p>
            <w:pPr>
              <w:bidi w:val="1"/>
              <w:jc w:val="right"/>
            </w:pPr>
            <w:r>
              <w:rPr>
                <w:rFonts w:cs="Arial"/>
                <w:color w:val="262626"/>
                <w:sz w:val="17"/>
                <w:rtl w:val="1"/>
              </w:rPr>
              <w:t>100%</w:t>
            </w:r>
          </w:p>
        </w:tc>
        <w:tc>
          <w:tcPr>
            <w:tcW w:type="dxa" w:w="3118"/>
            <w:vAlign w:val="center"/>
            <w:shd w:fill="F2F2F2"/>
          </w:tcPr>
          <w:p>
            <w:pPr>
              <w:bidi w:val="1"/>
              <w:jc w:val="right"/>
            </w:pPr>
            <w:r>
              <w:rPr>
                <w:rFonts w:cs="Arial"/>
                <w:color w:val="262626"/>
                <w:sz w:val="17"/>
                <w:rtl w:val="1"/>
              </w:rPr>
              <w:t>عُقدت الاجتماعات المقررة وتم توثيقها بمحاضر رسمية</w:t>
            </w:r>
          </w:p>
        </w:tc>
      </w:tr>
    </w:tbl>
    <w:p/>
    <w:p>
      <w:pPr>
        <w:bidi w:val="1"/>
        <w:jc w:val="right"/>
      </w:pPr>
      <w:r>
        <w:rPr>
          <w:rFonts w:cs="Arial"/>
          <w:b/>
          <w:color w:val="1B2A4E"/>
          <w:sz w:val="26"/>
          <w:rtl w:val="1"/>
        </w:rPr>
        <w:t>5.  المبادرات والأنشطة المنفذة</w:t>
      </w:r>
    </w:p>
    <w:p>
      <w:pPr>
        <w:bidi w:val="1"/>
        <w:jc w:val="right"/>
      </w:pPr>
      <w:r>
        <w:rPr>
          <w:rFonts w:cs="Arial"/>
          <w:b w:val="0"/>
          <w:i w:val="0"/>
          <w:color w:val="262626"/>
          <w:sz w:val="19"/>
          <w:rtl w:val="1"/>
        </w:rPr>
        <w:t>فيما يلي تفاصيل الإنجازات الفعلية لكل نشاط من أنشطة الخطة:</w:t>
      </w:r>
    </w:p>
    <w:p>
      <w:pPr>
        <w:bidi w:val="1"/>
        <w:jc w:val="right"/>
      </w:pPr>
      <w:r>
        <w:rPr>
          <w:rFonts w:cs="Arial"/>
          <w:color w:val="262626"/>
          <w:sz w:val="19"/>
          <w:rtl w:val="1"/>
        </w:rPr>
        <w:t>•  حصر مجموعات البيانات: أُجري جرد شامل لمجموعات البيانات والسجلات الرئيسية عبر الإدارات الخمس، وأُعدَّت قائمة موثَّقة تشمل اسم المجموعة والإدارة المالكة ودرجة أهميتها التشغيلية.</w:t>
      </w:r>
    </w:p>
    <w:p>
      <w:pPr>
        <w:bidi w:val="1"/>
        <w:jc w:val="right"/>
      </w:pPr>
      <w:r>
        <w:rPr>
          <w:rFonts w:cs="Arial"/>
          <w:color w:val="262626"/>
          <w:sz w:val="19"/>
          <w:rtl w:val="1"/>
        </w:rPr>
        <w:t>•  توثيق ملاك البيانات: صدر قرار رسمي بتحديد ملاك البيانات، وتضمَّن السجل المعتمَد اسم كل مالك ومسؤولياته والبيانات التابعة لنطاق إدارته.</w:t>
      </w:r>
    </w:p>
    <w:p>
      <w:pPr>
        <w:bidi w:val="1"/>
        <w:jc w:val="right"/>
      </w:pPr>
      <w:r>
        <w:rPr>
          <w:rFonts w:cs="Arial"/>
          <w:color w:val="262626"/>
          <w:sz w:val="19"/>
          <w:rtl w:val="1"/>
        </w:rPr>
        <w:t>•  ورش التوعية الداخلية: نُفِّذت ورش توعية استهدفت منسوبي الإدارات المشمولة حول أهمية تصنيف البيانات ومستوياته وآليات التطبيق العملي.</w:t>
      </w:r>
    </w:p>
    <w:p>
      <w:pPr>
        <w:bidi w:val="1"/>
        <w:jc w:val="right"/>
      </w:pPr>
      <w:r>
        <w:rPr>
          <w:rFonts w:cs="Arial"/>
          <w:color w:val="262626"/>
          <w:sz w:val="19"/>
          <w:rtl w:val="1"/>
        </w:rPr>
        <w:t>•  مسودة إجراءات التصنيف: أُعِدَّت مسودة الإجراءات التشغيلية الموحَّدة لتصنيف البيانات، وهي قيد المراجعة النهائية قبل رفعها للاعتماد.</w:t>
      </w:r>
    </w:p>
    <w:p>
      <w:pPr>
        <w:bidi w:val="1"/>
        <w:jc w:val="right"/>
      </w:pPr>
      <w:r>
        <w:rPr>
          <w:rFonts w:cs="Arial"/>
          <w:color w:val="262626"/>
          <w:sz w:val="19"/>
          <w:rtl w:val="1"/>
        </w:rPr>
        <w:t>•  اجتماعات المتابعة: عُقدت اجتماعات دورية بمشاركة مكتب إدارة البيانات وممثلي الإدارات المعنية لمتابعة سير التنفيذ وتوثيق القرارات.</w:t>
      </w:r>
    </w:p>
    <w:p/>
    <w:p>
      <w:pPr>
        <w:bidi w:val="1"/>
        <w:jc w:val="right"/>
      </w:pPr>
      <w:r>
        <w:rPr>
          <w:rFonts w:cs="Arial"/>
          <w:b/>
          <w:color w:val="1B2A4E"/>
          <w:sz w:val="26"/>
          <w:rtl w:val="1"/>
        </w:rPr>
        <w:t>6.  مؤشرات التقدم</w:t>
      </w:r>
    </w:p>
    <w:tbl>
      <w:tblPr>
        <w:tblStyle w:val="TableGrid"/>
        <w:tblW w:type="auto" w:w="0"/>
        <w:tblLook w:firstColumn="1" w:firstRow="1" w:lastColumn="0" w:lastRow="0" w:noHBand="0" w:noVBand="1" w:val="04A0"/>
        <w:bidiVisual w:val="1"/>
      </w:tblPr>
      <w:tblGrid>
        <w:gridCol w:w="5669"/>
        <w:gridCol w:w="3402"/>
      </w:tblGrid>
      <w:tr>
        <w:trPr>
          <w:cantSplit/>
        </w:trPr>
        <w:tc>
          <w:tcPr>
            <w:tcW w:type="dxa" w:w="5100"/>
            <w:shd w:fill="1B2A4E"/>
            <w:vAlign w:val="center"/>
          </w:tcPr>
          <w:p>
            <w:pPr>
              <w:bidi w:val="1"/>
              <w:jc w:val="center"/>
            </w:pPr>
            <w:r/>
            <w:r>
              <w:rPr>
                <w:rFonts w:cs="Arial"/>
                <w:b/>
                <w:color w:val="FFFFFF"/>
                <w:sz w:val="19"/>
                <w:rtl w:val="1"/>
              </w:rPr>
              <w:t>المؤشر</w:t>
            </w:r>
          </w:p>
        </w:tc>
        <w:tc>
          <w:tcPr>
            <w:tcW w:type="dxa" w:w="5100"/>
            <w:shd w:fill="1B2A4E"/>
            <w:vAlign w:val="center"/>
          </w:tcPr>
          <w:p>
            <w:pPr>
              <w:bidi w:val="1"/>
              <w:jc w:val="center"/>
            </w:pPr>
            <w:r/>
            <w:r>
              <w:rPr>
                <w:rFonts w:cs="Arial"/>
                <w:b/>
                <w:color w:val="FFFFFF"/>
                <w:sz w:val="19"/>
                <w:rtl w:val="1"/>
              </w:rPr>
              <w:t>القيمة</w:t>
            </w:r>
          </w:p>
        </w:tc>
      </w:tr>
      <w:tr>
        <w:trPr>
          <w:cantSplit/>
        </w:trPr>
        <w:tc>
          <w:tcPr>
            <w:tcW w:type="dxa" w:w="5669"/>
            <w:vAlign w:val="center"/>
            <w:shd w:fill="F2F2F2"/>
          </w:tcPr>
          <w:p>
            <w:pPr>
              <w:bidi w:val="1"/>
              <w:jc w:val="right"/>
            </w:pPr>
            <w:r>
              <w:rPr>
                <w:rFonts w:cs="Arial"/>
                <w:b/>
                <w:color w:val="1B2A4E"/>
                <w:sz w:val="17"/>
                <w:rtl w:val="1"/>
              </w:rPr>
              <w:t>نسبة إنجاز الخطة الإجمالية</w:t>
            </w:r>
          </w:p>
        </w:tc>
        <w:tc>
          <w:tcPr>
            <w:tcW w:type="dxa" w:w="3402"/>
            <w:vAlign w:val="center"/>
            <w:shd w:fill="F2F2F2"/>
          </w:tcPr>
          <w:p>
            <w:pPr>
              <w:bidi w:val="1"/>
              <w:jc w:val="center"/>
            </w:pPr>
            <w:r>
              <w:rPr>
                <w:rFonts w:cs="Arial"/>
                <w:b/>
                <w:color w:val="8A6D00"/>
                <w:sz w:val="17"/>
                <w:rtl w:val="1"/>
              </w:rPr>
              <w:t>94%</w:t>
            </w:r>
          </w:p>
        </w:tc>
      </w:tr>
      <w:tr>
        <w:trPr>
          <w:cantSplit/>
        </w:trPr>
        <w:tc>
          <w:tcPr>
            <w:tcW w:type="dxa" w:w="5669"/>
            <w:vAlign w:val="center"/>
          </w:tcPr>
          <w:p>
            <w:pPr>
              <w:bidi w:val="1"/>
              <w:jc w:val="right"/>
            </w:pPr>
            <w:r>
              <w:rPr>
                <w:rFonts w:cs="Arial"/>
                <w:b/>
                <w:color w:val="1B2A4E"/>
                <w:sz w:val="17"/>
                <w:rtl w:val="1"/>
              </w:rPr>
              <w:t>عدد الأنشطة المكتملة</w:t>
            </w:r>
          </w:p>
        </w:tc>
        <w:tc>
          <w:tcPr>
            <w:tcW w:type="dxa" w:w="3402"/>
            <w:vAlign w:val="center"/>
          </w:tcPr>
          <w:p>
            <w:pPr>
              <w:bidi w:val="1"/>
              <w:jc w:val="center"/>
            </w:pPr>
            <w:r>
              <w:rPr>
                <w:rFonts w:cs="Arial"/>
                <w:b/>
                <w:color w:val="8A6D00"/>
                <w:sz w:val="17"/>
                <w:rtl w:val="1"/>
              </w:rPr>
              <w:t>3 من 5</w:t>
            </w:r>
          </w:p>
        </w:tc>
      </w:tr>
      <w:tr>
        <w:trPr>
          <w:cantSplit/>
        </w:trPr>
        <w:tc>
          <w:tcPr>
            <w:tcW w:type="dxa" w:w="5669"/>
            <w:vAlign w:val="center"/>
            <w:shd w:fill="F2F2F2"/>
          </w:tcPr>
          <w:p>
            <w:pPr>
              <w:bidi w:val="1"/>
              <w:jc w:val="right"/>
            </w:pPr>
            <w:r>
              <w:rPr>
                <w:rFonts w:cs="Arial"/>
                <w:b/>
                <w:color w:val="1B2A4E"/>
                <w:sz w:val="17"/>
                <w:rtl w:val="1"/>
              </w:rPr>
              <w:t>عدد الإدارات المشمولة</w:t>
            </w:r>
          </w:p>
        </w:tc>
        <w:tc>
          <w:tcPr>
            <w:tcW w:type="dxa" w:w="3402"/>
            <w:vAlign w:val="center"/>
            <w:shd w:fill="F2F2F2"/>
          </w:tcPr>
          <w:p>
            <w:pPr>
              <w:bidi w:val="1"/>
              <w:jc w:val="center"/>
            </w:pPr>
            <w:r>
              <w:rPr>
                <w:rFonts w:cs="Arial"/>
                <w:b/>
                <w:color w:val="8A6D00"/>
                <w:sz w:val="17"/>
                <w:rtl w:val="1"/>
              </w:rPr>
              <w:t>5 إدارات</w:t>
            </w:r>
          </w:p>
        </w:tc>
      </w:tr>
    </w:tbl>
    <w:p/>
    <w:p>
      <w:pPr>
        <w:bidi w:val="1"/>
        <w:jc w:val="right"/>
      </w:pPr>
      <w:r>
        <w:rPr>
          <w:rFonts w:cs="Arial"/>
          <w:b/>
          <w:color w:val="1B2A4E"/>
          <w:sz w:val="26"/>
          <w:rtl w:val="1"/>
        </w:rPr>
        <w:t>7.  الأدلة الداعمة</w:t>
      </w:r>
    </w:p>
    <w:tbl>
      <w:tblPr>
        <w:tblStyle w:val="TableGrid"/>
        <w:tblW w:type="auto" w:w="0"/>
        <w:tblLook w:firstColumn="1" w:firstRow="1" w:lastColumn="0" w:lastRow="0" w:noHBand="0" w:noVBand="1" w:val="04A0"/>
        <w:bidiVisual w:val="1"/>
      </w:tblPr>
      <w:tblGrid>
        <w:gridCol w:w="2551"/>
        <w:gridCol w:w="4819"/>
        <w:gridCol w:w="1701"/>
      </w:tblGrid>
      <w:tr>
        <w:trPr>
          <w:cantSplit/>
        </w:trPr>
        <w:tc>
          <w:tcPr>
            <w:tcW w:type="dxa" w:w="3400"/>
            <w:shd w:fill="1B2A4E"/>
            <w:vAlign w:val="center"/>
          </w:tcPr>
          <w:p>
            <w:pPr>
              <w:bidi w:val="1"/>
              <w:jc w:val="center"/>
            </w:pPr>
            <w:r/>
            <w:r>
              <w:rPr>
                <w:rFonts w:cs="Arial"/>
                <w:b/>
                <w:color w:val="FFFFFF"/>
                <w:sz w:val="19"/>
                <w:rtl w:val="1"/>
              </w:rPr>
              <w:t>نوع الدليل</w:t>
            </w:r>
          </w:p>
        </w:tc>
        <w:tc>
          <w:tcPr>
            <w:tcW w:type="dxa" w:w="3400"/>
            <w:shd w:fill="1B2A4E"/>
            <w:vAlign w:val="center"/>
          </w:tcPr>
          <w:p>
            <w:pPr>
              <w:bidi w:val="1"/>
              <w:jc w:val="center"/>
            </w:pPr>
            <w:r/>
            <w:r>
              <w:rPr>
                <w:rFonts w:cs="Arial"/>
                <w:b/>
                <w:color w:val="FFFFFF"/>
                <w:sz w:val="19"/>
                <w:rtl w:val="1"/>
              </w:rPr>
              <w:t>الوصف</w:t>
            </w:r>
          </w:p>
        </w:tc>
        <w:tc>
          <w:tcPr>
            <w:tcW w:type="dxa" w:w="3400"/>
            <w:shd w:fill="1B2A4E"/>
            <w:vAlign w:val="center"/>
          </w:tcPr>
          <w:p>
            <w:pPr>
              <w:bidi w:val="1"/>
              <w:jc w:val="center"/>
            </w:pPr>
            <w:r/>
            <w:r>
              <w:rPr>
                <w:rFonts w:cs="Arial"/>
                <w:b/>
                <w:color w:val="FFFFFF"/>
                <w:sz w:val="19"/>
                <w:rtl w:val="1"/>
              </w:rPr>
              <w:t>الحالة</w:t>
            </w:r>
          </w:p>
        </w:tc>
      </w:tr>
      <w:tr>
        <w:trPr>
          <w:cantSplit/>
        </w:trPr>
        <w:tc>
          <w:tcPr>
            <w:tcW w:type="dxa" w:w="2551"/>
            <w:vAlign w:val="center"/>
            <w:shd w:fill="F2F2F2"/>
          </w:tcPr>
          <w:p>
            <w:pPr>
              <w:bidi w:val="1"/>
              <w:jc w:val="right"/>
            </w:pPr>
            <w:r>
              <w:rPr>
                <w:rFonts w:cs="Arial"/>
                <w:b/>
                <w:color w:val="1B2A4E"/>
                <w:sz w:val="17"/>
                <w:rtl w:val="1"/>
              </w:rPr>
              <w:t>تقرير حصر مجموعات البيانات</w:t>
            </w:r>
          </w:p>
        </w:tc>
        <w:tc>
          <w:tcPr>
            <w:tcW w:type="dxa" w:w="4819"/>
            <w:vAlign w:val="center"/>
            <w:shd w:fill="F2F2F2"/>
          </w:tcPr>
          <w:p>
            <w:pPr>
              <w:bidi w:val="1"/>
              <w:jc w:val="right"/>
            </w:pPr>
            <w:r>
              <w:rPr>
                <w:rFonts w:cs="Arial"/>
                <w:color w:val="262626"/>
                <w:sz w:val="17"/>
                <w:rtl w:val="1"/>
              </w:rPr>
              <w:t>وثيقة تحتوي القائمة الشاملة لمجموعات البيانات المحصورة</w:t>
            </w:r>
          </w:p>
        </w:tc>
        <w:tc>
          <w:tcPr>
            <w:tcW w:type="dxa" w:w="1701"/>
            <w:vAlign w:val="center"/>
            <w:shd w:fill="F2F2F2"/>
          </w:tcPr>
          <w:p>
            <w:pPr>
              <w:bidi w:val="1"/>
              <w:jc w:val="center"/>
            </w:pPr>
            <w:r>
              <w:rPr>
                <w:rFonts w:cs="Arial"/>
                <w:b/>
                <w:color w:val="1F6F43"/>
                <w:sz w:val="17"/>
                <w:rtl w:val="1"/>
              </w:rPr>
              <w:t>متوفر</w:t>
            </w:r>
          </w:p>
        </w:tc>
      </w:tr>
      <w:tr>
        <w:trPr>
          <w:cantSplit/>
        </w:trPr>
        <w:tc>
          <w:tcPr>
            <w:tcW w:type="dxa" w:w="2551"/>
            <w:vAlign w:val="center"/>
          </w:tcPr>
          <w:p>
            <w:pPr>
              <w:bidi w:val="1"/>
              <w:jc w:val="right"/>
            </w:pPr>
            <w:r>
              <w:rPr>
                <w:rFonts w:cs="Arial"/>
                <w:b/>
                <w:color w:val="1B2A4E"/>
                <w:sz w:val="17"/>
                <w:rtl w:val="1"/>
              </w:rPr>
              <w:t>سجل ملاك البيانات</w:t>
            </w:r>
          </w:p>
        </w:tc>
        <w:tc>
          <w:tcPr>
            <w:tcW w:type="dxa" w:w="4819"/>
            <w:vAlign w:val="center"/>
          </w:tcPr>
          <w:p>
            <w:pPr>
              <w:bidi w:val="1"/>
              <w:jc w:val="right"/>
            </w:pPr>
            <w:r>
              <w:rPr>
                <w:rFonts w:cs="Arial"/>
                <w:color w:val="262626"/>
                <w:sz w:val="17"/>
                <w:rtl w:val="1"/>
              </w:rPr>
              <w:t>سجل رسمي بأسماء ملاك البيانات ومسؤولياتهم لكل إدارة</w:t>
            </w:r>
          </w:p>
        </w:tc>
        <w:tc>
          <w:tcPr>
            <w:tcW w:type="dxa" w:w="1701"/>
            <w:vAlign w:val="center"/>
          </w:tcPr>
          <w:p>
            <w:pPr>
              <w:bidi w:val="1"/>
              <w:jc w:val="center"/>
            </w:pPr>
            <w:r>
              <w:rPr>
                <w:rFonts w:cs="Arial"/>
                <w:b/>
                <w:color w:val="1F6F43"/>
                <w:sz w:val="17"/>
                <w:rtl w:val="1"/>
              </w:rPr>
              <w:t>متوفر</w:t>
            </w:r>
          </w:p>
        </w:tc>
      </w:tr>
      <w:tr>
        <w:trPr>
          <w:cantSplit/>
        </w:trPr>
        <w:tc>
          <w:tcPr>
            <w:tcW w:type="dxa" w:w="2551"/>
            <w:vAlign w:val="center"/>
            <w:shd w:fill="F2F2F2"/>
          </w:tcPr>
          <w:p>
            <w:pPr>
              <w:bidi w:val="1"/>
              <w:jc w:val="right"/>
            </w:pPr>
            <w:r>
              <w:rPr>
                <w:rFonts w:cs="Arial"/>
                <w:b/>
                <w:color w:val="1B2A4E"/>
                <w:sz w:val="17"/>
                <w:rtl w:val="1"/>
              </w:rPr>
              <w:t>مواد التدريب والتوعية</w:t>
            </w:r>
          </w:p>
        </w:tc>
        <w:tc>
          <w:tcPr>
            <w:tcW w:type="dxa" w:w="4819"/>
            <w:vAlign w:val="center"/>
            <w:shd w:fill="F2F2F2"/>
          </w:tcPr>
          <w:p>
            <w:pPr>
              <w:bidi w:val="1"/>
              <w:jc w:val="right"/>
            </w:pPr>
            <w:r>
              <w:rPr>
                <w:rFonts w:cs="Arial"/>
                <w:color w:val="262626"/>
                <w:sz w:val="17"/>
                <w:rtl w:val="1"/>
              </w:rPr>
              <w:t>العروض والمواد المستخدمة في ورش التوعية المنفَّذة</w:t>
            </w:r>
          </w:p>
        </w:tc>
        <w:tc>
          <w:tcPr>
            <w:tcW w:type="dxa" w:w="1701"/>
            <w:vAlign w:val="center"/>
            <w:shd w:fill="F2F2F2"/>
          </w:tcPr>
          <w:p>
            <w:pPr>
              <w:bidi w:val="1"/>
              <w:jc w:val="center"/>
            </w:pPr>
            <w:r>
              <w:rPr>
                <w:rFonts w:cs="Arial"/>
                <w:b/>
                <w:color w:val="1F6F43"/>
                <w:sz w:val="17"/>
                <w:rtl w:val="1"/>
              </w:rPr>
              <w:t>متوفر</w:t>
            </w:r>
          </w:p>
        </w:tc>
      </w:tr>
      <w:tr>
        <w:trPr>
          <w:cantSplit/>
        </w:trPr>
        <w:tc>
          <w:tcPr>
            <w:tcW w:type="dxa" w:w="2551"/>
            <w:vAlign w:val="center"/>
          </w:tcPr>
          <w:p>
            <w:pPr>
              <w:bidi w:val="1"/>
              <w:jc w:val="right"/>
            </w:pPr>
            <w:r>
              <w:rPr>
                <w:rFonts w:cs="Arial"/>
                <w:b/>
                <w:color w:val="1B2A4E"/>
                <w:sz w:val="17"/>
                <w:rtl w:val="1"/>
              </w:rPr>
              <w:t>محاضر اجتماعات المتابعة</w:t>
            </w:r>
          </w:p>
        </w:tc>
        <w:tc>
          <w:tcPr>
            <w:tcW w:type="dxa" w:w="4819"/>
            <w:vAlign w:val="center"/>
          </w:tcPr>
          <w:p>
            <w:pPr>
              <w:bidi w:val="1"/>
              <w:jc w:val="right"/>
            </w:pPr>
            <w:r>
              <w:rPr>
                <w:rFonts w:cs="Arial"/>
                <w:color w:val="262626"/>
                <w:sz w:val="17"/>
                <w:rtl w:val="1"/>
              </w:rPr>
              <w:t>محاضر موثَّقة لاجتماعات متابعة تنفيذ الخطة</w:t>
            </w:r>
          </w:p>
        </w:tc>
        <w:tc>
          <w:tcPr>
            <w:tcW w:type="dxa" w:w="1701"/>
            <w:vAlign w:val="center"/>
          </w:tcPr>
          <w:p>
            <w:pPr>
              <w:bidi w:val="1"/>
              <w:jc w:val="center"/>
            </w:pPr>
            <w:r>
              <w:rPr>
                <w:rFonts w:cs="Arial"/>
                <w:b/>
                <w:color w:val="1F6F43"/>
                <w:sz w:val="17"/>
                <w:rtl w:val="1"/>
              </w:rPr>
              <w:t>متوفر</w:t>
            </w:r>
          </w:p>
        </w:tc>
      </w:tr>
      <w:tr>
        <w:trPr>
          <w:cantSplit/>
        </w:trPr>
        <w:tc>
          <w:tcPr>
            <w:tcW w:type="dxa" w:w="2551"/>
            <w:vAlign w:val="center"/>
            <w:shd w:fill="F2F2F2"/>
          </w:tcPr>
          <w:p>
            <w:pPr>
              <w:bidi w:val="1"/>
              <w:jc w:val="right"/>
            </w:pPr>
            <w:r>
              <w:rPr>
                <w:rFonts w:cs="Arial"/>
                <w:b/>
                <w:color w:val="1B2A4E"/>
                <w:sz w:val="17"/>
                <w:rtl w:val="1"/>
              </w:rPr>
              <w:t>مسودة إجراءات التصنيف</w:t>
            </w:r>
          </w:p>
        </w:tc>
        <w:tc>
          <w:tcPr>
            <w:tcW w:type="dxa" w:w="4819"/>
            <w:vAlign w:val="center"/>
            <w:shd w:fill="F2F2F2"/>
          </w:tcPr>
          <w:p>
            <w:pPr>
              <w:bidi w:val="1"/>
              <w:jc w:val="right"/>
            </w:pPr>
            <w:r>
              <w:rPr>
                <w:rFonts w:cs="Arial"/>
                <w:color w:val="262626"/>
                <w:sz w:val="17"/>
                <w:rtl w:val="1"/>
              </w:rPr>
              <w:t>المسودة الحالية للإجراءات التشغيلية لتصنيف البيانات</w:t>
            </w:r>
          </w:p>
        </w:tc>
        <w:tc>
          <w:tcPr>
            <w:tcW w:type="dxa" w:w="1701"/>
            <w:vAlign w:val="center"/>
            <w:shd w:fill="F2F2F2"/>
          </w:tcPr>
          <w:p>
            <w:pPr>
              <w:bidi w:val="1"/>
              <w:jc w:val="center"/>
            </w:pPr>
            <w:r>
              <w:rPr>
                <w:rFonts w:cs="Arial"/>
                <w:b/>
                <w:color w:val="8A6D00"/>
                <w:sz w:val="17"/>
                <w:rtl w:val="1"/>
              </w:rPr>
              <w:t>قيد المراجعة</w:t>
            </w:r>
          </w:p>
        </w:tc>
      </w:tr>
    </w:tbl>
    <w:p/>
    <w:p/>
    <w:p>
      <w:pPr>
        <w:bidi w:val="1"/>
        <w:jc w:val="right"/>
      </w:pPr>
      <w:r>
        <w:rPr>
          <w:rFonts w:cs="Arial"/>
          <w:b/>
          <w:color w:val="1B2A4E"/>
          <w:sz w:val="26"/>
          <w:rtl w:val="1"/>
        </w:rPr>
        <w:t>8.  الاعتماد</w:t>
      </w:r>
    </w:p>
    <w:p>
      <w:pPr>
        <w:bidi w:val="1"/>
        <w:jc w:val="right"/>
      </w:pPr>
      <w:r>
        <w:rPr>
          <w:rFonts w:cs="Arial"/>
          <w:b w:val="0"/>
          <w:i w:val="0"/>
          <w:color w:val="262626"/>
          <w:sz w:val="19"/>
          <w:rtl w:val="1"/>
        </w:rPr>
        <w:t>هذه الوثيقة مسودة قيد المراجعة، ولم تُعرَض بعد على صاحب الصلاحية للاعتماد الرسمي. يُستكمَل الاعتماد أدناه عند إقرار المسودة ودمجها ضمن مستودع الأدلة.</w:t>
      </w:r>
    </w:p>
    <w:p/>
    <w:tbl>
      <w:tblPr>
        <w:tblStyle w:val="TableGrid"/>
        <w:tblW w:type="auto" w:w="0"/>
        <w:tblLook w:firstColumn="1" w:firstRow="1" w:lastColumn="0" w:lastRow="0" w:noHBand="0" w:noVBand="1" w:val="04A0"/>
        <w:bidiVisual w:val="1"/>
      </w:tblPr>
      <w:tblGrid>
        <w:gridCol w:w="2550"/>
        <w:gridCol w:w="2550"/>
        <w:gridCol w:w="2550"/>
        <w:gridCol w:w="2550"/>
      </w:tblGrid>
      <w:tr>
        <w:tc>
          <w:tcPr>
            <w:tcW w:type="dxa" w:w="2550"/>
            <w:shd w:fill="1B2A4E"/>
            <w:vAlign w:val="center"/>
          </w:tcPr>
          <w:p>
            <w:pPr>
              <w:bidi w:val="1"/>
              <w:jc w:val="center"/>
            </w:pPr>
            <w:r>
              <w:rPr>
                <w:rFonts w:cs="Arial"/>
                <w:b/>
                <w:color w:val="FFFFFF"/>
                <w:sz w:val="19"/>
                <w:rtl w:val="1"/>
              </w:rPr>
              <w:t>صاحب الصلاحية</w:t>
            </w:r>
          </w:p>
        </w:tc>
        <w:tc>
          <w:tcPr>
            <w:tcW w:type="dxa" w:w="2550"/>
            <w:shd w:fill="1B2A4E"/>
            <w:vAlign w:val="center"/>
          </w:tcPr>
          <w:p>
            <w:pPr>
              <w:bidi w:val="1"/>
              <w:jc w:val="center"/>
            </w:pPr>
            <w:r>
              <w:rPr>
                <w:rFonts w:cs="Arial"/>
                <w:b/>
                <w:color w:val="FFFFFF"/>
                <w:sz w:val="19"/>
                <w:rtl w:val="1"/>
              </w:rPr>
              <w:t>المسمى الوظيفي</w:t>
            </w:r>
          </w:p>
        </w:tc>
        <w:tc>
          <w:tcPr>
            <w:tcW w:type="dxa" w:w="2550"/>
            <w:shd w:fill="1B2A4E"/>
            <w:vAlign w:val="center"/>
          </w:tcPr>
          <w:p>
            <w:pPr>
              <w:bidi w:val="1"/>
              <w:jc w:val="center"/>
            </w:pPr>
            <w:r>
              <w:rPr>
                <w:rFonts w:cs="Arial"/>
                <w:b/>
                <w:color w:val="FFFFFF"/>
                <w:sz w:val="19"/>
                <w:rtl w:val="1"/>
              </w:rPr>
              <w:t>التوقيع</w:t>
            </w:r>
          </w:p>
        </w:tc>
        <w:tc>
          <w:tcPr>
            <w:tcW w:type="dxa" w:w="2550"/>
            <w:shd w:fill="1B2A4E"/>
            <w:vAlign w:val="center"/>
          </w:tcPr>
          <w:p>
            <w:pPr>
              <w:bidi w:val="1"/>
              <w:jc w:val="center"/>
            </w:pPr>
            <w:r>
              <w:rPr>
                <w:rFonts w:cs="Arial"/>
                <w:b/>
                <w:color w:val="FFFFFF"/>
                <w:sz w:val="19"/>
                <w:rtl w:val="1"/>
              </w:rPr>
              <w:t>التاريخ</w:t>
            </w:r>
          </w:p>
        </w:tc>
      </w:tr>
      <w:tr>
        <w:tc>
          <w:tcPr>
            <w:tcW w:type="dxa" w:w="2550"/>
          </w:tcPr>
          <w:p>
            <w:pPr>
              <w:bidi w:val="1"/>
              <w:jc w:val="center"/>
            </w:pPr>
            <w:r>
              <w:rPr>
                <w:rFonts w:cs="Arial"/>
                <w:sz w:val="18"/>
                <w:rtl w:val="1"/>
              </w:rPr>
              <w:t>...............</w:t>
            </w:r>
          </w:p>
        </w:tc>
        <w:tc>
          <w:tcPr>
            <w:tcW w:type="dxa" w:w="2550"/>
          </w:tcPr>
          <w:p>
            <w:pPr>
              <w:bidi w:val="1"/>
              <w:jc w:val="center"/>
            </w:pPr>
            <w:r>
              <w:rPr>
                <w:rFonts w:cs="Arial"/>
                <w:sz w:val="18"/>
                <w:rtl w:val="1"/>
              </w:rPr>
              <w:t>مدير عام الهيئة</w:t>
            </w:r>
          </w:p>
        </w:tc>
        <w:tc>
          <w:tcPr>
            <w:tcW w:type="dxa" w:w="2550"/>
          </w:tcPr>
          <w:p>
            <w:pPr>
              <w:bidi w:val="1"/>
              <w:jc w:val="center"/>
            </w:pPr>
            <w:r>
              <w:rPr>
                <w:rFonts w:cs="Arial"/>
                <w:sz w:val="18"/>
                <w:rtl w:val="1"/>
              </w:rPr>
              <w:t>____________</w:t>
            </w:r>
          </w:p>
        </w:tc>
        <w:tc>
          <w:tcPr>
            <w:tcW w:type="dxa" w:w="2550"/>
          </w:tcPr>
          <w:p>
            <w:pPr>
              <w:bidi w:val="1"/>
              <w:jc w:val="center"/>
            </w:pPr>
            <w:r>
              <w:rPr>
                <w:rFonts w:cs="Arial"/>
                <w:sz w:val="18"/>
                <w:rtl w:val="1"/>
              </w:rPr>
              <w:t>بانتظار الاعتماد</w:t>
            </w:r>
          </w:p>
        </w:tc>
      </w:tr>
    </w:tbl>
    <w:p/>
    <w:p>
      <w:pPr>
        <w:bidi w:val="1"/>
        <w:jc w:val="right"/>
      </w:pPr>
      <w:r>
        <w:rPr>
          <w:rFonts w:cs="Arial"/>
          <w:b w:val="0"/>
          <w:i/>
          <w:color w:val="595959"/>
          <w:sz w:val="16"/>
          <w:rtl w:val="1"/>
        </w:rPr>
        <w:t>ملاحظة: هذه الوثيقة مسودة دليل مستقلة ضمن حزمة أدلة تصنيف البيانات الخاصة بهيئة الخدمات الحكومية الذكية (SGSA) لأغراض المراجعة، ولم تُدمَج بعد ضمن مستودع الأدلة الرسمي.</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