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bidiVisual w:val="1"/>
      </w:tblPr>
      <w:tblGrid>
        <w:gridCol w:w="10200"/>
      </w:tblGrid>
      <w:tr>
        <w:tc>
          <w:tcPr>
            <w:tcW w:type="dxa" w:w="10200"/>
            <w:shd w:fill="1B2A4E"/>
            <w:vAlign w:val="center"/>
          </w:tcPr>
          <w:p>
            <w:pPr>
              <w:bidi w:val="1"/>
              <w:spacing w:before="160" w:after="160"/>
              <w:jc w:val="center"/>
            </w:pPr>
            <w:r>
              <w:rPr>
                <w:rFonts w:cs="Arial"/>
                <w:b/>
                <w:color w:val="FFFFFF"/>
                <w:sz w:val="40"/>
                <w:rtl w:val="1"/>
              </w:rPr>
              <w:t>هيئة الخدمات الحكومية الذكية (SGSA)</w:t>
            </w:r>
          </w:p>
        </w:tc>
      </w:tr>
    </w:tbl>
    <w:p/>
    <w:p>
      <w:pPr>
        <w:bidi w:val="1"/>
        <w:jc w:val="center"/>
      </w:pPr>
      <w:r>
        <w:rPr>
          <w:rFonts w:cs="Arial"/>
          <w:b/>
          <w:i w:val="0"/>
          <w:color w:val="29C79A"/>
          <w:sz w:val="22"/>
          <w:rtl w:val="1"/>
        </w:rPr>
      </w:r>
    </w:p>
    <w:p/>
    <w:p>
      <w:pPr>
        <w:bidi w:val="1"/>
        <w:jc w:val="center"/>
      </w:pPr>
      <w:r>
        <w:rPr>
          <w:rFonts w:cs="Arial"/>
          <w:b/>
          <w:color w:val="1B2A4E"/>
          <w:sz w:val="34"/>
          <w:rtl w:val="1"/>
        </w:rPr>
        <w:t>دليل التحقق من قابلية تتبع تصنيف الأصول البيانية</w:t>
      </w:r>
    </w:p>
    <w:p>
      <w:pPr>
        <w:bidi w:val="1"/>
        <w:jc w:val="center"/>
      </w:pPr>
      <w:r>
        <w:rPr>
          <w:rFonts w:cs="Arial"/>
          <w:b w:val="0"/>
          <w:i/>
          <w:color w:val="29C79A"/>
          <w:sz w:val="23"/>
          <w:rtl w:val="1"/>
        </w:rPr>
        <w:t>حزمة دليل التحقق DC.C.4.1-E01 (KPI-DC-01)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  <w:bidiVisual w:val="1"/>
      </w:tblPr>
      <w:tblGrid>
        <w:gridCol w:w="10200"/>
      </w:tblGrid>
      <w:tr>
        <w:tc>
          <w:tcPr>
            <w:tcW w:type="dxa" w:w="10200"/>
            <w:shd w:fill="1B2A4E"/>
            <w:vAlign w:val="center"/>
          </w:tcPr>
          <w:p>
            <w:pPr>
              <w:bidi w:val="1"/>
              <w:spacing w:before="200" w:after="40"/>
              <w:jc w:val="center"/>
            </w:pPr>
            <w:r>
              <w:rPr>
                <w:rFonts w:cs="Arial"/>
                <w:b/>
                <w:color w:val="FFFFFF"/>
                <w:sz w:val="25"/>
                <w:rtl w:val="1"/>
              </w:rPr>
              <w:t>المؤشر: نسبة اكتمال تصنيف الأصول البيانية</w:t>
            </w:r>
          </w:p>
        </w:tc>
      </w:tr>
      <w:tr>
        <w:tc>
          <w:tcPr>
            <w:tcW w:type="dxa" w:w="10200"/>
            <w:shd w:fill="1B2A4E"/>
            <w:vAlign w:val="center"/>
          </w:tcPr>
          <w:p>
            <w:pPr>
              <w:bidi w:val="1"/>
              <w:spacing w:before="80" w:after="40"/>
              <w:jc w:val="center"/>
            </w:pPr>
            <w:r>
              <w:rPr>
                <w:rFonts w:cs="Arial"/>
                <w:b/>
                <w:color w:val="FFFFFF"/>
                <w:sz w:val="56"/>
                <w:rtl w:val="1"/>
              </w:rPr>
              <w:t>النتيجة: 100%</w:t>
            </w:r>
          </w:p>
        </w:tc>
      </w:tr>
      <w:tr>
        <w:tc>
          <w:tcPr>
            <w:tcW w:type="dxa" w:w="10200"/>
            <w:shd w:fill="1B2A4E"/>
            <w:vAlign w:val="center"/>
          </w:tcPr>
          <w:p>
            <w:pPr>
              <w:bidi w:val="1"/>
              <w:spacing w:before="40" w:after="200"/>
              <w:jc w:val="center"/>
            </w:pPr>
            <w:r>
              <w:rPr>
                <w:rFonts w:cs="Arial"/>
                <w:color w:val="FFFFFF"/>
                <w:sz w:val="22"/>
                <w:rtl w:val="1"/>
              </w:rPr>
              <w:t>30 من أصل 30 أصلاً تم التحقق من قابلية تتبع تصنيفها عبر المصادر المرجعية الثلاثة</w:t>
            </w:r>
          </w:p>
        </w:tc>
      </w:tr>
    </w:tbl>
    <w:p>
      <w:r>
        <w:br w:type="page"/>
      </w:r>
    </w:p>
    <w:p>
      <w:pPr>
        <w:bidi w:val="1"/>
        <w:jc w:val="right"/>
      </w:pPr>
      <w:r>
        <w:rPr>
          <w:rFonts w:cs="Arial"/>
          <w:b/>
          <w:color w:val="1B2A4E"/>
          <w:sz w:val="28"/>
          <w:rtl w:val="1"/>
        </w:rPr>
        <w:t>ملخص التحقق من المصادر المرجعية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3402"/>
        <w:gridCol w:w="2835"/>
        <w:gridCol w:w="3402"/>
      </w:tblGrid>
      <w:tr>
        <w:trPr>
          <w:cantSplit/>
        </w:trPr>
        <w:tc>
          <w:tcPr>
            <w:tcW w:type="dxa" w:w="34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8"/>
                <w:rtl w:val="1"/>
              </w:rPr>
              <w:t>المصدر المرجعي</w:t>
            </w:r>
          </w:p>
        </w:tc>
        <w:tc>
          <w:tcPr>
            <w:tcW w:type="dxa" w:w="34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8"/>
                <w:rtl w:val="1"/>
              </w:rPr>
              <w:t>عدد الأصول</w:t>
            </w:r>
          </w:p>
        </w:tc>
        <w:tc>
          <w:tcPr>
            <w:tcW w:type="dxa" w:w="340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8"/>
                <w:rtl w:val="1"/>
              </w:rPr>
              <w:t>نتيجة التحقق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B2A4E"/>
                <w:sz w:val="20"/>
                <w:rtl w:val="1"/>
              </w:rPr>
              <w:t>DC.C.3.1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20"/>
                <w:rtl w:val="1"/>
              </w:rPr>
              <w:t>30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F6F43"/>
                <w:sz w:val="20"/>
                <w:rtl w:val="1"/>
              </w:rPr>
              <w:t>مطابق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B2A4E"/>
                <w:sz w:val="20"/>
                <w:rtl w:val="1"/>
              </w:rPr>
              <w:t>DC.C.3.2</w:t>
            </w:r>
          </w:p>
        </w:tc>
        <w:tc>
          <w:tcPr>
            <w:tcW w:type="dxa" w:w="2835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20"/>
                <w:rtl w:val="1"/>
              </w:rPr>
              <w:t>30</w:t>
            </w:r>
          </w:p>
        </w:tc>
        <w:tc>
          <w:tcPr>
            <w:tcW w:type="dxa" w:w="3402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F6F43"/>
                <w:sz w:val="20"/>
                <w:rtl w:val="1"/>
              </w:rPr>
              <w:t>مطابق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B2A4E"/>
                <w:sz w:val="20"/>
                <w:rtl w:val="1"/>
              </w:rPr>
              <w:t>DC.C.5.1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20"/>
                <w:rtl w:val="1"/>
              </w:rPr>
              <w:t>30</w:t>
            </w:r>
          </w:p>
        </w:tc>
        <w:tc>
          <w:tcPr>
            <w:tcW w:type="dxa" w:w="3402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F6F43"/>
                <w:sz w:val="20"/>
                <w:rtl w:val="1"/>
              </w:rPr>
              <w:t>مطابق</w:t>
            </w:r>
          </w:p>
        </w:tc>
      </w:tr>
    </w:tbl>
    <w:p/>
    <w:p>
      <w:pPr>
        <w:bidi w:val="1"/>
        <w:jc w:val="right"/>
      </w:pPr>
      <w:r>
        <w:rPr>
          <w:rFonts w:cs="Arial"/>
          <w:b w:val="0"/>
          <w:i w:val="0"/>
          <w:color w:val="262626"/>
          <w:sz w:val="20"/>
          <w:rtl w:val="1"/>
        </w:rPr>
        <w:t>تم التحقق من وجود جميع الأصول البيانية الثلاثين (30) الواردة في DC.C.3.1 عبر DC.C.3.2 وDC.C.5.1، مع عدم وجود أي أصول ناقصة أو إضافية بين المصادر المرجعية الثلاثة.</w:t>
      </w:r>
    </w:p>
    <w:p>
      <w:r>
        <w:br w:type="page"/>
      </w:r>
    </w:p>
    <w:p>
      <w:pPr>
        <w:bidi w:val="1"/>
        <w:jc w:val="right"/>
      </w:pPr>
      <w:r>
        <w:rPr>
          <w:rFonts w:cs="Arial"/>
          <w:b/>
          <w:color w:val="1B2A4E"/>
          <w:sz w:val="28"/>
          <w:rtl w:val="1"/>
        </w:rPr>
        <w:t>جدول مطابقة الأصول البيانية الثلاثين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794"/>
        <w:gridCol w:w="2608"/>
        <w:gridCol w:w="1134"/>
        <w:gridCol w:w="1928"/>
        <w:gridCol w:w="1077"/>
        <w:gridCol w:w="1077"/>
        <w:gridCol w:w="1587"/>
      </w:tblGrid>
      <w:tr>
        <w:trPr>
          <w:cantSplit/>
        </w:trPr>
        <w:tc>
          <w:tcPr>
            <w:tcW w:type="dxa" w:w="1457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8"/>
                <w:rtl w:val="1"/>
              </w:rPr>
              <w:t>رقم الأصل</w:t>
            </w:r>
          </w:p>
        </w:tc>
        <w:tc>
          <w:tcPr>
            <w:tcW w:type="dxa" w:w="1457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8"/>
                <w:rtl w:val="1"/>
              </w:rPr>
              <w:t>اسم الأصل</w:t>
            </w:r>
          </w:p>
        </w:tc>
        <w:tc>
          <w:tcPr>
            <w:tcW w:type="dxa" w:w="1457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8"/>
                <w:rtl w:val="1"/>
              </w:rPr>
              <w:t>النوع</w:t>
            </w:r>
          </w:p>
        </w:tc>
        <w:tc>
          <w:tcPr>
            <w:tcW w:type="dxa" w:w="1457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8"/>
                <w:rtl w:val="1"/>
              </w:rPr>
              <w:t>الإدارة المالكة</w:t>
            </w:r>
          </w:p>
        </w:tc>
        <w:tc>
          <w:tcPr>
            <w:tcW w:type="dxa" w:w="1457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8"/>
                <w:rtl w:val="1"/>
              </w:rPr>
              <w:t>التصنيف</w:t>
            </w:r>
          </w:p>
        </w:tc>
        <w:tc>
          <w:tcPr>
            <w:tcW w:type="dxa" w:w="1457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8"/>
                <w:rtl w:val="1"/>
              </w:rPr>
              <w:t>نتيجة المطابقة</w:t>
            </w:r>
          </w:p>
        </w:tc>
        <w:tc>
          <w:tcPr>
            <w:tcW w:type="dxa" w:w="1457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8"/>
                <w:rtl w:val="1"/>
              </w:rPr>
              <w:t>الملاحظات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1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الهوية والتحقق الإلكتروني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الهوية الرقمية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سرّي للغاية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2</w:t>
            </w:r>
          </w:p>
        </w:tc>
        <w:tc>
          <w:tcPr>
            <w:tcW w:type="dxa" w:w="260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الأحداث والتنبيهات الأمنية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الأمن السيبراني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سرّي للغاية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3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الصلاحيات وإدارة الهوية (IAM)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تقنية المعلومات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سرّي للغاية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8A6D00"/>
                <w:sz w:val="15"/>
                <w:rtl w:val="1"/>
              </w:rPr>
              <w:t>جزئي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اختلاف تسمية بين المصادر المرجعية الأصلية؛ يحتوي DC.C.3.1 على اللاحقة (IAM)، بينما لا تظهر في DC.C.3.2 وDC.C.5.1. لا يؤثر ذلك على قابلية تتبع الأصل.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التكامل مع الجهات الحكومية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الشراكات الحكومية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سرّي للغاية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5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الرواتب والمزايا الوظيفية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الموارد البشرية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سرّي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6</w:t>
            </w:r>
          </w:p>
        </w:tc>
        <w:tc>
          <w:tcPr>
            <w:tcW w:type="dxa" w:w="260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المدفوعات والمعاملات المالية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الإدارة المالية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سرّي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7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الموظفين والملفات الوظيفية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الموارد البشرية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سرّي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8</w:t>
            </w:r>
          </w:p>
        </w:tc>
        <w:tc>
          <w:tcPr>
            <w:tcW w:type="dxa" w:w="260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المستخدمين والمستفيدين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الخدمات الرقمية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سرّي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9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طلبات ومعاملات المستفيدين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الخدمات الرقمية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مقيّد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10</w:t>
            </w:r>
          </w:p>
        </w:tc>
        <w:tc>
          <w:tcPr>
            <w:tcW w:type="dxa" w:w="260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الخدمات الحكومية الرقمية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التحول الرقمي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مقيّد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11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الموردين والمتعاقدين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المشتريات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مقيّد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12</w:t>
            </w:r>
          </w:p>
        </w:tc>
        <w:tc>
          <w:tcPr>
            <w:tcW w:type="dxa" w:w="260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الأصول والبنية التحتية التقنية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تقنية المعلومات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سرّي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13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الأهداف والخطط الاستراتيجية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مكتب الاستراتيجية والتخطيط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سرّي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8A6D00"/>
                <w:sz w:val="15"/>
                <w:rtl w:val="1"/>
              </w:rPr>
              <w:t>جزئي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اختلاف في تسمية الإدارة بين المصادر المرجعية الأصلية؛ يذكر DC.C.3.1 "مكتب الاستراتيجية والتخطيط"، بينما يذكر DC.C.3.2 وDC.C.5.1 "مكتب الاستراتيجية". لا يؤثر ذلك على قابلية تتبع الأصل.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14</w:t>
            </w:r>
          </w:p>
        </w:tc>
        <w:tc>
          <w:tcPr>
            <w:tcW w:type="dxa" w:w="260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التدريب والتطوير الوظيفي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الموارد البشرية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مقيّد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15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استطلاعات رضا المستفيدين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تجربة المستخدم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عام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16</w:t>
            </w:r>
          </w:p>
        </w:tc>
        <w:tc>
          <w:tcPr>
            <w:tcW w:type="dxa" w:w="260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الحوادث التقنية وطلبات الدعم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تقنية المعلومات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مقيّد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17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المحتوى الرقمي والموقع الإلكتروني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الاتصال والعلاقات العامة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عام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18</w:t>
            </w:r>
          </w:p>
        </w:tc>
        <w:tc>
          <w:tcPr>
            <w:tcW w:type="dxa" w:w="260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بيانات التقارير والإحصاءات المنشورة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مجموعة بيانات</w:t>
            </w:r>
          </w:p>
        </w:tc>
        <w:tc>
          <w:tcPr>
            <w:tcW w:type="dxa" w:w="1928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مكتب إدارة البيانات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عام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19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سجلات العقود والاتفاقيات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سجل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الشؤون القانونية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سرّي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20</w:t>
            </w:r>
          </w:p>
        </w:tc>
        <w:tc>
          <w:tcPr>
            <w:tcW w:type="dxa" w:w="260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سجلات التدقيق الداخلي والرقابة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سجل</w:t>
            </w:r>
          </w:p>
        </w:tc>
        <w:tc>
          <w:tcPr>
            <w:tcW w:type="dxa" w:w="1928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التدقيق الداخلي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سرّي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21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سجلات المراسلات والخطابات الرسمية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سجل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مكتب المدير العام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مقيّد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22</w:t>
            </w:r>
          </w:p>
        </w:tc>
        <w:tc>
          <w:tcPr>
            <w:tcW w:type="dxa" w:w="260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سجلات الاجتماعات واللجان الحوكمية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سجل</w:t>
            </w:r>
          </w:p>
        </w:tc>
        <w:tc>
          <w:tcPr>
            <w:tcW w:type="dxa" w:w="1928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مكتب الحوكمة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مقيّد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23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سجلات التقارير الإدارية الدورية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سجل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مكتب إدارة البيانات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مقيّد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24</w:t>
            </w:r>
          </w:p>
        </w:tc>
        <w:tc>
          <w:tcPr>
            <w:tcW w:type="dxa" w:w="260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سجلات فعاليات الهيئة وأحداثها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سجل</w:t>
            </w:r>
          </w:p>
        </w:tc>
        <w:tc>
          <w:tcPr>
            <w:tcW w:type="dxa" w:w="1928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الاتصال والعلاقات العامة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عام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25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سجلات الشكاوى والمقترحات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سجل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الخدمات الرقمية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مقيّد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26</w:t>
            </w:r>
          </w:p>
        </w:tc>
        <w:tc>
          <w:tcPr>
            <w:tcW w:type="dxa" w:w="260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سجلات قرارات وتوجيهات الإدارة العليا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سجل</w:t>
            </w:r>
          </w:p>
        </w:tc>
        <w:tc>
          <w:tcPr>
            <w:tcW w:type="dxa" w:w="1928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مكتب المدير العام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سرّي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27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سجلات التراخيص والتصاريح القانونية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سجل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الشؤون القانونية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مقيّد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28</w:t>
            </w:r>
          </w:p>
        </w:tc>
        <w:tc>
          <w:tcPr>
            <w:tcW w:type="dxa" w:w="260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سجلات النسخ الاحتياطي واسترجاع البيانات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سجل</w:t>
            </w:r>
          </w:p>
        </w:tc>
        <w:tc>
          <w:tcPr>
            <w:tcW w:type="dxa" w:w="1928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تقنية المعلومات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سرّي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29</w:t>
            </w:r>
          </w:p>
        </w:tc>
        <w:tc>
          <w:tcPr>
            <w:tcW w:type="dxa" w:w="260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وثائق السياسات والإجراءات الداخلية</w:t>
            </w:r>
          </w:p>
        </w:tc>
        <w:tc>
          <w:tcPr>
            <w:tcW w:type="dxa" w:w="1134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سجل</w:t>
            </w:r>
          </w:p>
        </w:tc>
        <w:tc>
          <w:tcPr>
            <w:tcW w:type="dxa" w:w="1928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مكتب إدارة البيانات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مقيّد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2A44"/>
                <w:sz w:val="15"/>
                <w:rtl w:val="1"/>
              </w:rPr>
              <w:t>30</w:t>
            </w:r>
          </w:p>
        </w:tc>
        <w:tc>
          <w:tcPr>
            <w:tcW w:type="dxa" w:w="260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5"/>
                <w:rtl w:val="1"/>
              </w:rPr>
              <w:t>سجلات التغييرات والتحديثات التقنية</w:t>
            </w:r>
          </w:p>
        </w:tc>
        <w:tc>
          <w:tcPr>
            <w:tcW w:type="dxa" w:w="1134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سجل</w:t>
            </w:r>
          </w:p>
        </w:tc>
        <w:tc>
          <w:tcPr>
            <w:tcW w:type="dxa" w:w="1928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إدارة تقنية المعلومات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color w:val="262626"/>
                <w:sz w:val="15"/>
                <w:rtl w:val="1"/>
              </w:rPr>
              <w:t>مقيّد</w:t>
            </w:r>
          </w:p>
        </w:tc>
        <w:tc>
          <w:tcPr>
            <w:tcW w:type="dxa" w:w="1077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5"/>
                <w:rtl w:val="1"/>
              </w:rPr>
              <w:t>مطابق</w:t>
            </w:r>
          </w:p>
        </w:tc>
        <w:tc>
          <w:tcPr>
            <w:tcW w:type="dxa" w:w="1587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i/>
                <w:color w:val="595959"/>
                <w:sz w:val="15"/>
                <w:rtl w:val="1"/>
              </w:rPr>
              <w:t>—</w:t>
            </w:r>
          </w:p>
        </w:tc>
      </w:tr>
    </w:tbl>
    <w:p>
      <w:r>
        <w:br w:type="page"/>
      </w:r>
    </w:p>
    <w:p>
      <w:pPr>
        <w:bidi w:val="1"/>
        <w:jc w:val="right"/>
      </w:pPr>
      <w:r>
        <w:rPr>
          <w:rFonts w:cs="Arial"/>
          <w:b/>
          <w:color w:val="1B2A4E"/>
          <w:sz w:val="28"/>
          <w:rtl w:val="1"/>
        </w:rPr>
        <w:t>ملاحظات التحقق والتدقيق</w:t>
      </w:r>
    </w:p>
    <w:p/>
    <w:p>
      <w:pPr>
        <w:bidi w:val="1"/>
        <w:jc w:val="right"/>
      </w:pPr>
      <w:r>
        <w:rPr>
          <w:rFonts w:cs="Arial"/>
          <w:color w:val="262626"/>
          <w:sz w:val="20"/>
          <w:rtl w:val="1"/>
        </w:rPr>
        <w:t>•  جميع الأصول البيانية الثلاثين موجودة في المصادر المرجعية الثلاثة.</w:t>
      </w:r>
    </w:p>
    <w:p>
      <w:pPr>
        <w:bidi w:val="1"/>
        <w:jc w:val="right"/>
      </w:pPr>
      <w:r>
        <w:rPr>
          <w:rFonts w:cs="Arial"/>
          <w:color w:val="262626"/>
          <w:sz w:val="20"/>
          <w:rtl w:val="1"/>
        </w:rPr>
        <w:t>•  لم يتم إنشاء أي أصول جديدة.</w:t>
      </w:r>
    </w:p>
    <w:p>
      <w:pPr>
        <w:bidi w:val="1"/>
        <w:jc w:val="right"/>
      </w:pPr>
      <w:r>
        <w:rPr>
          <w:rFonts w:cs="Arial"/>
          <w:color w:val="262626"/>
          <w:sz w:val="20"/>
          <w:rtl w:val="1"/>
        </w:rPr>
        <w:t>•  لم يتم تعديل أي اسم أصل أو نوع أصل أو إدارة مالكة أو تصنيف.</w:t>
      </w:r>
    </w:p>
    <w:p>
      <w:pPr>
        <w:bidi w:val="1"/>
        <w:jc w:val="right"/>
      </w:pPr>
      <w:r>
        <w:rPr>
          <w:rFonts w:cs="Arial"/>
          <w:color w:val="262626"/>
          <w:sz w:val="20"/>
          <w:rtl w:val="1"/>
        </w:rPr>
        <w:t>•  تم استخدام الرقم التسلسلي الوارد في الجداول المرجعية كمعرّف تتبع داخلي لعدم وجود معرّفات أصول مستقلة في المصادر.</w:t>
      </w:r>
    </w:p>
    <w:p>
      <w:pPr>
        <w:bidi w:val="1"/>
        <w:jc w:val="right"/>
      </w:pPr>
      <w:r>
        <w:rPr>
          <w:rFonts w:cs="Arial"/>
          <w:color w:val="262626"/>
          <w:sz w:val="20"/>
          <w:rtl w:val="1"/>
        </w:rPr>
        <w:t>•  الاختلافات في الأصل رقم (3) والأصل رقم (13) هي فروقات تسمية بين الوثائق المرجعية الأصلية فقط.</w:t>
      </w:r>
    </w:p>
    <w:p/>
    <w:p>
      <w:pPr>
        <w:bidi w:val="1"/>
        <w:jc w:val="right"/>
      </w:pPr>
      <w:r>
        <w:rPr>
          <w:rFonts w:cs="Arial"/>
          <w:b w:val="0"/>
          <w:i/>
          <w:color w:val="595959"/>
          <w:sz w:val="16"/>
          <w:rtl w:val="1"/>
        </w:rPr>
        <w:t>هذه الوثيقة حزمة دليل تحقق (Evidence Verification Package) تم إعدادها لدعم متطلب DC.C.4.1 ومؤشر KPI-DC-01، ولا تمثل متطلباً جديداً أو تعديلاً على المتطلبات المرجعية.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