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bidiVisual w:val="1"/>
      </w:tblPr>
      <w:tblGrid>
        <w:gridCol w:w="10426"/>
      </w:tblGrid>
      <w:tr>
        <w:tc>
          <w:tcPr>
            <w:tcW w:type="dxa" w:w="10426"/>
            <w:shd w:fill="1B2A4E"/>
            <w:vAlign w:val="center"/>
          </w:tcPr>
          <w:p>
            <w:pPr>
              <w:bidi w:val="1"/>
              <w:spacing w:before="120" w:after="120"/>
              <w:jc w:val="right"/>
            </w:pPr>
            <w:r>
              <w:rPr>
                <w:rFonts w:cs="Arial"/>
                <w:b/>
                <w:color w:val="FFFFFF"/>
                <w:sz w:val="36"/>
                <w:rtl w:val="1"/>
              </w:rPr>
              <w:t>هيئة الخدمات الحكومية الذكية (SGSA)</w:t>
            </w:r>
          </w:p>
        </w:tc>
      </w:tr>
    </w:tbl>
    <w:p/>
    <w:p>
      <w:pPr>
        <w:bidi w:val="1"/>
        <w:jc w:val="right"/>
      </w:pPr>
      <w:r>
        <w:rPr>
          <w:rFonts w:cs="Arial"/>
          <w:b/>
          <w:i w:val="0"/>
          <w:color w:val="29C79A"/>
          <w:sz w:val="21"/>
          <w:rtl w:val="1"/>
        </w:rPr>
      </w:r>
    </w:p>
    <w:p>
      <w:pPr>
        <w:bidi w:val="1"/>
        <w:jc w:val="right"/>
      </w:pPr>
      <w:r>
        <w:rPr>
          <w:rFonts w:cs="Arial"/>
          <w:b/>
          <w:color w:val="1B2A4E"/>
          <w:sz w:val="28"/>
          <w:rtl w:val="1"/>
        </w:rPr>
        <w:t>سجل احتساب مؤشر نسبة اكتمال تصنيف الأصول البيانية (KPI-DC-01)</w:t>
      </w:r>
    </w:p>
    <w:p>
      <w:pPr>
        <w:bidi w:val="1"/>
        <w:jc w:val="right"/>
      </w:pPr>
      <w:r>
        <w:rPr>
          <w:rFonts w:cs="Arial"/>
          <w:b w:val="0"/>
          <w:i/>
          <w:color w:val="29C79A"/>
          <w:sz w:val="22"/>
          <w:rtl w:val="1"/>
        </w:rPr>
        <w:t>Data Classification KPI Calculation Record</w:t>
      </w:r>
    </w:p>
    <w:p/>
    <w:p>
      <w:pPr>
        <w:bidi w:val="1"/>
        <w:jc w:val="right"/>
      </w:pPr>
      <w:r>
        <w:rPr>
          <w:rFonts w:cs="Arial"/>
          <w:b/>
          <w:color w:val="1B2A4E"/>
          <w:sz w:val="23"/>
          <w:rtl w:val="1"/>
        </w:rPr>
        <w:t>1.  بيانات الوثيقة</w:t>
      </w:r>
    </w:p>
    <w:tbl>
      <w:tblPr>
        <w:tblW w:type="auto" w:w="0"/>
        <w:tblLayout w:type="autofit"/>
        <w:tblLook w:firstColumn="1" w:firstRow="1" w:lastColumn="0" w:lastRow="0" w:noHBand="0" w:noVBand="1" w:val="04A0"/>
        <w:bidiVisual w:val="1"/>
      </w:tblPr>
      <w:tblGrid>
        <w:gridCol w:w="6520"/>
        <w:gridCol w:w="2835"/>
      </w:tblGrid>
      <w:tr>
        <w:tc>
          <w:tcPr>
            <w:tcW w:type="dxa" w:w="6520"/>
          </w:tcPr>
          <w:p>
            <w:pPr>
              <w:bidi w:val="1"/>
              <w:jc w:val="right"/>
            </w:pPr>
            <w:r>
              <w:rPr>
                <w:rFonts w:cs="Arial"/>
                <w:color w:val="262626"/>
                <w:sz w:val="18"/>
                <w:rtl w:val="1"/>
              </w:rPr>
              <w:t>هيئة الخدمات الحكومية الذكية (SGSA)</w:t>
            </w:r>
          </w:p>
        </w:tc>
        <w:tc>
          <w:tcPr>
            <w:tcW w:type="dxa" w:w="2835"/>
          </w:tcPr>
          <w:p>
            <w:pPr>
              <w:bidi w:val="1"/>
              <w:jc w:val="right"/>
            </w:pPr>
            <w:r>
              <w:rPr>
                <w:rFonts w:cs="Arial"/>
                <w:b/>
                <w:color w:val="595959"/>
                <w:sz w:val="18"/>
                <w:rtl w:val="1"/>
              </w:rPr>
              <w:t>الجهة</w:t>
            </w:r>
          </w:p>
        </w:tc>
      </w:tr>
      <w:tr>
        <w:tc>
          <w:tcPr>
            <w:tcW w:type="dxa" w:w="6520"/>
          </w:tcPr>
          <w:p>
            <w:pPr>
              <w:bidi w:val="1"/>
              <w:jc w:val="right"/>
            </w:pPr>
            <w:r>
              <w:rPr>
                <w:rFonts w:cs="Arial"/>
                <w:color w:val="262626"/>
                <w:sz w:val="18"/>
                <w:rtl w:val="1"/>
              </w:rPr>
            </w:r>
          </w:p>
        </w:tc>
        <w:tc>
          <w:tcPr>
            <w:tcW w:type="dxa" w:w="2835"/>
          </w:tcPr>
          <w:p>
            <w:pPr>
              <w:bidi w:val="1"/>
              <w:jc w:val="right"/>
            </w:pPr>
            <w:r>
              <w:rPr>
                <w:rFonts w:cs="Arial"/>
                <w:b/>
                <w:color w:val="595959"/>
                <w:sz w:val="18"/>
                <w:rtl w:val="1"/>
              </w:rPr>
              <w:t>المنصة</w:t>
            </w:r>
          </w:p>
        </w:tc>
      </w:tr>
      <w:tr>
        <w:tc>
          <w:tcPr>
            <w:tcW w:type="dxa" w:w="6520"/>
          </w:tcPr>
          <w:p>
            <w:pPr>
              <w:bidi w:val="1"/>
              <w:jc w:val="right"/>
            </w:pPr>
            <w:r>
              <w:rPr>
                <w:rFonts w:cs="Arial"/>
                <w:color w:val="262626"/>
                <w:sz w:val="18"/>
                <w:rtl w:val="1"/>
              </w:rPr>
              <w:t>إطار حوكمة البيانات الوطني (NDMO)</w:t>
            </w:r>
          </w:p>
        </w:tc>
        <w:tc>
          <w:tcPr>
            <w:tcW w:type="dxa" w:w="2835"/>
          </w:tcPr>
          <w:p>
            <w:pPr>
              <w:bidi w:val="1"/>
              <w:jc w:val="right"/>
            </w:pPr>
            <w:r>
              <w:rPr>
                <w:rFonts w:cs="Arial"/>
                <w:b/>
                <w:color w:val="595959"/>
                <w:sz w:val="18"/>
                <w:rtl w:val="1"/>
              </w:rPr>
              <w:t>الإطار المرجعي</w:t>
            </w:r>
          </w:p>
        </w:tc>
      </w:tr>
      <w:tr>
        <w:tc>
          <w:tcPr>
            <w:tcW w:type="dxa" w:w="6520"/>
          </w:tcPr>
          <w:p>
            <w:pPr>
              <w:bidi w:val="1"/>
              <w:jc w:val="right"/>
            </w:pPr>
            <w:r>
              <w:rPr>
                <w:rFonts w:cs="Arial"/>
                <w:color w:val="262626"/>
                <w:sz w:val="18"/>
                <w:rtl w:val="1"/>
              </w:rPr>
              <w:t>DC.C.4.1-E01</w:t>
            </w:r>
          </w:p>
        </w:tc>
        <w:tc>
          <w:tcPr>
            <w:tcW w:type="dxa" w:w="2835"/>
          </w:tcPr>
          <w:p>
            <w:pPr>
              <w:bidi w:val="1"/>
              <w:jc w:val="right"/>
            </w:pPr>
            <w:r>
              <w:rPr>
                <w:rFonts w:cs="Arial"/>
                <w:b/>
                <w:color w:val="595959"/>
                <w:sz w:val="18"/>
                <w:rtl w:val="1"/>
              </w:rPr>
              <w:t>رمز الدليل</w:t>
            </w:r>
          </w:p>
        </w:tc>
      </w:tr>
      <w:tr>
        <w:tc>
          <w:tcPr>
            <w:tcW w:type="dxa" w:w="6520"/>
          </w:tcPr>
          <w:p>
            <w:pPr>
              <w:bidi w:val="1"/>
              <w:jc w:val="right"/>
            </w:pPr>
            <w:r>
              <w:rPr>
                <w:rFonts w:cs="Arial"/>
                <w:color w:val="262626"/>
                <w:sz w:val="18"/>
                <w:rtl w:val="1"/>
              </w:rPr>
              <w:t>Calculation Record</w:t>
            </w:r>
          </w:p>
        </w:tc>
        <w:tc>
          <w:tcPr>
            <w:tcW w:type="dxa" w:w="2835"/>
          </w:tcPr>
          <w:p>
            <w:pPr>
              <w:bidi w:val="1"/>
              <w:jc w:val="right"/>
            </w:pPr>
            <w:r>
              <w:rPr>
                <w:rFonts w:cs="Arial"/>
                <w:b/>
                <w:color w:val="595959"/>
                <w:sz w:val="18"/>
                <w:rtl w:val="1"/>
              </w:rPr>
              <w:t>نوع الوثيقة</w:t>
            </w:r>
          </w:p>
        </w:tc>
      </w:tr>
      <w:tr>
        <w:tc>
          <w:tcPr>
            <w:tcW w:type="dxa" w:w="6520"/>
          </w:tcPr>
          <w:p>
            <w:pPr>
              <w:bidi w:val="1"/>
              <w:jc w:val="right"/>
            </w:pPr>
            <w:r>
              <w:rPr>
                <w:rFonts w:cs="Arial"/>
                <w:color w:val="262626"/>
                <w:sz w:val="18"/>
                <w:rtl w:val="1"/>
              </w:rPr>
              <w:t>DC.C.4.1 — تقرير مراقبة عمليات تصنيف البيانات عبر مؤشرات الأداء الرئيسية</w:t>
            </w:r>
          </w:p>
        </w:tc>
        <w:tc>
          <w:tcPr>
            <w:tcW w:type="dxa" w:w="2835"/>
          </w:tcPr>
          <w:p>
            <w:pPr>
              <w:bidi w:val="1"/>
              <w:jc w:val="right"/>
            </w:pPr>
            <w:r>
              <w:rPr>
                <w:rFonts w:cs="Arial"/>
                <w:b/>
                <w:color w:val="595959"/>
                <w:sz w:val="18"/>
                <w:rtl w:val="1"/>
              </w:rPr>
              <w:t>المتطلب المرتبط</w:t>
            </w:r>
          </w:p>
        </w:tc>
      </w:tr>
      <w:tr>
        <w:tc>
          <w:tcPr>
            <w:tcW w:type="dxa" w:w="6520"/>
          </w:tcPr>
          <w:p>
            <w:pPr>
              <w:bidi w:val="1"/>
              <w:jc w:val="right"/>
            </w:pPr>
            <w:r>
              <w:rPr>
                <w:rFonts w:cs="Arial"/>
                <w:color w:val="262626"/>
                <w:sz w:val="18"/>
                <w:rtl w:val="1"/>
              </w:rPr>
              <w:t>KPI-DC-01 — نسبة اكتمال تصنيف الأصول البيانية</w:t>
            </w:r>
          </w:p>
        </w:tc>
        <w:tc>
          <w:tcPr>
            <w:tcW w:type="dxa" w:w="2835"/>
          </w:tcPr>
          <w:p>
            <w:pPr>
              <w:bidi w:val="1"/>
              <w:jc w:val="right"/>
            </w:pPr>
            <w:r>
              <w:rPr>
                <w:rFonts w:cs="Arial"/>
                <w:b/>
                <w:color w:val="595959"/>
                <w:sz w:val="18"/>
                <w:rtl w:val="1"/>
              </w:rPr>
              <w:t>المؤشر المرتبط</w:t>
            </w:r>
          </w:p>
        </w:tc>
      </w:tr>
      <w:tr>
        <w:tc>
          <w:tcPr>
            <w:tcW w:type="dxa" w:w="6520"/>
          </w:tcPr>
          <w:p>
            <w:pPr>
              <w:bidi w:val="1"/>
              <w:jc w:val="right"/>
            </w:pPr>
            <w:r>
              <w:rPr>
                <w:rFonts w:cs="Arial"/>
                <w:color w:val="262626"/>
                <w:sz w:val="18"/>
                <w:rtl w:val="1"/>
              </w:rPr>
              <w:t>1.0</w:t>
            </w:r>
          </w:p>
        </w:tc>
        <w:tc>
          <w:tcPr>
            <w:tcW w:type="dxa" w:w="2835"/>
          </w:tcPr>
          <w:p>
            <w:pPr>
              <w:bidi w:val="1"/>
              <w:jc w:val="right"/>
            </w:pPr>
            <w:r>
              <w:rPr>
                <w:rFonts w:cs="Arial"/>
                <w:b/>
                <w:color w:val="595959"/>
                <w:sz w:val="18"/>
                <w:rtl w:val="1"/>
              </w:rPr>
              <w:t>الإصدار</w:t>
            </w:r>
          </w:p>
        </w:tc>
      </w:tr>
      <w:tr>
        <w:tc>
          <w:tcPr>
            <w:tcW w:type="dxa" w:w="6520"/>
          </w:tcPr>
          <w:p>
            <w:pPr>
              <w:bidi w:val="1"/>
              <w:jc w:val="right"/>
            </w:pPr>
            <w:r>
              <w:rPr>
                <w:rFonts w:cs="Arial"/>
                <w:color w:val="262626"/>
                <w:sz w:val="18"/>
                <w:rtl w:val="1"/>
              </w:rPr>
              <w:t>يونيو 2026</w:t>
            </w:r>
          </w:p>
        </w:tc>
        <w:tc>
          <w:tcPr>
            <w:tcW w:type="dxa" w:w="2835"/>
          </w:tcPr>
          <w:p>
            <w:pPr>
              <w:bidi w:val="1"/>
              <w:jc w:val="right"/>
            </w:pPr>
            <w:r>
              <w:rPr>
                <w:rFonts w:cs="Arial"/>
                <w:b/>
                <w:color w:val="595959"/>
                <w:sz w:val="18"/>
                <w:rtl w:val="1"/>
              </w:rPr>
              <w:t>التاريخ</w:t>
            </w:r>
          </w:p>
        </w:tc>
      </w:tr>
      <w:tr>
        <w:tc>
          <w:tcPr>
            <w:tcW w:type="dxa" w:w="6520"/>
          </w:tcPr>
          <w:p>
            <w:pPr>
              <w:bidi w:val="1"/>
              <w:jc w:val="right"/>
            </w:pPr>
            <w:r>
              <w:rPr>
                <w:rFonts w:cs="Arial"/>
                <w:color w:val="262626"/>
                <w:sz w:val="18"/>
                <w:rtl w:val="1"/>
              </w:rPr>
              <w:t>جاهزة للاعتماد</w:t>
            </w:r>
          </w:p>
        </w:tc>
        <w:tc>
          <w:tcPr>
            <w:tcW w:type="dxa" w:w="2835"/>
          </w:tcPr>
          <w:p>
            <w:pPr>
              <w:bidi w:val="1"/>
              <w:jc w:val="right"/>
            </w:pPr>
            <w:r>
              <w:rPr>
                <w:rFonts w:cs="Arial"/>
                <w:b/>
                <w:color w:val="595959"/>
                <w:sz w:val="18"/>
                <w:rtl w:val="1"/>
              </w:rPr>
              <w:t>حالة الوثيقة</w:t>
            </w:r>
          </w:p>
        </w:tc>
      </w:tr>
    </w:tbl>
    <w:p>
      <w:r>
        <w:br w:type="page"/>
      </w:r>
    </w:p>
    <w:p>
      <w:pPr>
        <w:bidi w:val="1"/>
        <w:jc w:val="right"/>
      </w:pPr>
      <w:r>
        <w:rPr>
          <w:rFonts w:cs="Arial"/>
          <w:b/>
          <w:color w:val="1B2A4E"/>
          <w:sz w:val="26"/>
          <w:rtl w:val="1"/>
        </w:rPr>
        <w:t>2.  نطاق القياس</w:t>
      </w:r>
    </w:p>
    <w:tbl>
      <w:tblPr>
        <w:tblW w:type="auto" w:w="0"/>
        <w:tblLayout w:type="autofit"/>
        <w:tblLook w:firstColumn="1" w:firstRow="1" w:lastColumn="0" w:lastRow="0" w:noHBand="0" w:noVBand="1" w:val="04A0"/>
        <w:bidiVisual w:val="1"/>
      </w:tblPr>
      <w:tblGrid>
        <w:gridCol w:w="6520"/>
        <w:gridCol w:w="2835"/>
      </w:tblGrid>
      <w:tr>
        <w:tc>
          <w:tcPr>
            <w:tcW w:type="dxa" w:w="6520"/>
          </w:tcPr>
          <w:p>
            <w:pPr>
              <w:bidi w:val="1"/>
              <w:jc w:val="right"/>
            </w:pPr>
            <w:r>
              <w:rPr>
                <w:rFonts w:cs="Arial"/>
                <w:color w:val="262626"/>
                <w:sz w:val="18"/>
                <w:rtl w:val="1"/>
              </w:rPr>
              <w:t>الربع الثاني 2026 (أبريل – يونيو 2026) — كما ورد في تقرير DC.C.4.1</w:t>
            </w:r>
          </w:p>
        </w:tc>
        <w:tc>
          <w:tcPr>
            <w:tcW w:type="dxa" w:w="2835"/>
          </w:tcPr>
          <w:p>
            <w:pPr>
              <w:bidi w:val="1"/>
              <w:jc w:val="right"/>
            </w:pPr>
            <w:r>
              <w:rPr>
                <w:rFonts w:cs="Arial"/>
                <w:b/>
                <w:color w:val="595959"/>
                <w:sz w:val="18"/>
                <w:rtl w:val="1"/>
              </w:rPr>
              <w:t>فترة القياس</w:t>
            </w:r>
          </w:p>
        </w:tc>
      </w:tr>
      <w:tr>
        <w:tc>
          <w:tcPr>
            <w:tcW w:type="dxa" w:w="6520"/>
          </w:tcPr>
          <w:p>
            <w:pPr>
              <w:bidi w:val="1"/>
              <w:jc w:val="right"/>
            </w:pPr>
            <w:r>
              <w:rPr>
                <w:rFonts w:cs="Arial"/>
                <w:color w:val="262626"/>
                <w:sz w:val="18"/>
                <w:rtl w:val="1"/>
              </w:rPr>
              <w:t>جميع الأصول البيانية الثلاثين (30) الواردة في تقرير الجرد DC.C.3.1 (18 مجموعة بيانات + 12 سجلاً)، والتي حُدِّد لكل منها مستوى تصنيف ناتج في DC.C.3.2.</w:t>
            </w:r>
          </w:p>
        </w:tc>
        <w:tc>
          <w:tcPr>
            <w:tcW w:type="dxa" w:w="2835"/>
          </w:tcPr>
          <w:p>
            <w:pPr>
              <w:bidi w:val="1"/>
              <w:jc w:val="right"/>
            </w:pPr>
            <w:r>
              <w:rPr>
                <w:rFonts w:cs="Arial"/>
                <w:b/>
                <w:color w:val="595959"/>
                <w:sz w:val="18"/>
                <w:rtl w:val="1"/>
              </w:rPr>
              <w:t>نطاق القياس</w:t>
            </w:r>
          </w:p>
        </w:tc>
      </w:tr>
      <w:tr>
        <w:tc>
          <w:tcPr>
            <w:tcW w:type="dxa" w:w="6520"/>
          </w:tcPr>
          <w:p>
            <w:pPr>
              <w:bidi w:val="1"/>
              <w:jc w:val="right"/>
            </w:pPr>
            <w:r>
              <w:rPr>
                <w:rFonts w:cs="Arial"/>
                <w:color w:val="262626"/>
                <w:sz w:val="18"/>
                <w:rtl w:val="1"/>
              </w:rPr>
              <w:t>يونيو 2026 (تاريخ إصدار DC.C.3.1 وDC.C.3.2 وDC.C.5.1)</w:t>
            </w:r>
          </w:p>
        </w:tc>
        <w:tc>
          <w:tcPr>
            <w:tcW w:type="dxa" w:w="2835"/>
          </w:tcPr>
          <w:p>
            <w:pPr>
              <w:bidi w:val="1"/>
              <w:jc w:val="right"/>
            </w:pPr>
            <w:r>
              <w:rPr>
                <w:rFonts w:cs="Arial"/>
                <w:b/>
                <w:color w:val="595959"/>
                <w:sz w:val="18"/>
                <w:rtl w:val="1"/>
              </w:rPr>
              <w:t>تاريخ استخراج البيانات</w:t>
            </w:r>
          </w:p>
        </w:tc>
      </w:tr>
    </w:tbl>
    <w:p/>
    <w:p>
      <w:pPr>
        <w:bidi w:val="1"/>
        <w:jc w:val="right"/>
      </w:pPr>
      <w:r>
        <w:rPr>
          <w:rFonts w:cs="Arial"/>
          <w:b/>
          <w:color w:val="1B2A4E"/>
          <w:sz w:val="26"/>
          <w:rtl w:val="1"/>
        </w:rPr>
        <w:t>3.  مصدر البيانات</w:t>
      </w:r>
    </w:p>
    <w:p>
      <w:pPr>
        <w:bidi w:val="1"/>
        <w:jc w:val="right"/>
      </w:pPr>
      <w:r>
        <w:rPr>
          <w:rFonts w:cs="Arial"/>
          <w:color w:val="262626"/>
          <w:sz w:val="19"/>
          <w:rtl w:val="1"/>
        </w:rPr>
        <w:t>•  DC.C.3.1 — تقرير جرد المجموعات التي تم تحديدها من البيانات والسجلات (قائمة الأصول الثلاثين وحالة الجرد لكل أصل).</w:t>
      </w:r>
    </w:p>
    <w:p>
      <w:pPr>
        <w:bidi w:val="1"/>
        <w:jc w:val="right"/>
      </w:pPr>
      <w:r>
        <w:rPr>
          <w:rFonts w:cs="Arial"/>
          <w:color w:val="262626"/>
          <w:sz w:val="19"/>
          <w:rtl w:val="1"/>
        </w:rPr>
        <w:t>•  DC.C.3.2 — تقرير تقييم الأثر (مستوى التصنيف الناتج لكل أصل بعد تطبيق مبدأ أعلى مستوى أثر).</w:t>
      </w:r>
    </w:p>
    <w:p>
      <w:pPr>
        <w:bidi w:val="1"/>
        <w:jc w:val="right"/>
      </w:pPr>
      <w:r>
        <w:rPr>
          <w:rFonts w:cs="Arial"/>
          <w:color w:val="262626"/>
          <w:sz w:val="19"/>
          <w:rtl w:val="1"/>
        </w:rPr>
        <w:t>•  DC.C.5.1 — سجل البيانات (السجل الموحّد الذي يثبت مستوى التصنيف الممنوح لكل أصل).</w:t>
      </w:r>
    </w:p>
    <w:p/>
    <w:p>
      <w:pPr>
        <w:bidi w:val="1"/>
        <w:jc w:val="right"/>
      </w:pPr>
      <w:r>
        <w:rPr>
          <w:rFonts w:cs="Arial"/>
          <w:b/>
          <w:color w:val="1B2A4E"/>
          <w:sz w:val="26"/>
          <w:rtl w:val="1"/>
        </w:rPr>
        <w:t>4.  جدول البيانات المستخدمة</w:t>
      </w:r>
    </w:p>
    <w:p>
      <w:pPr>
        <w:bidi w:val="1"/>
        <w:jc w:val="right"/>
      </w:pPr>
      <w:r>
        <w:rPr>
          <w:rFonts w:cs="Arial"/>
          <w:b w:val="0"/>
          <w:i w:val="0"/>
          <w:color w:val="262626"/>
          <w:sz w:val="19"/>
          <w:rtl w:val="1"/>
        </w:rPr>
        <w:t>يعرض الجدول التالي جميع الأصول البيانية الثلاثين الواردة في تقرير الجرد DC.C.3.1، مع حالة الجرد ومستوى التصنيف الناتج وفق DC.C.3.2:</w:t>
      </w:r>
    </w:p>
    <w:tbl>
      <w:tblPr>
        <w:tblStyle w:val="TableGrid"/>
        <w:tblW w:type="auto" w:w="0"/>
        <w:tblLook w:firstColumn="1" w:firstRow="1" w:lastColumn="0" w:lastRow="0" w:noHBand="0" w:noVBand="1" w:val="04A0"/>
        <w:bidiVisual w:val="1"/>
      </w:tblPr>
      <w:tblGrid>
        <w:gridCol w:w="454"/>
        <w:gridCol w:w="2608"/>
        <w:gridCol w:w="1247"/>
        <w:gridCol w:w="1644"/>
        <w:gridCol w:w="1417"/>
        <w:gridCol w:w="1361"/>
      </w:tblGrid>
      <w:tr>
        <w:trPr>
          <w:cantSplit/>
        </w:trPr>
        <w:tc>
          <w:tcPr>
            <w:tcW w:type="dxa" w:w="1738"/>
            <w:shd w:fill="1B2A4E"/>
            <w:vAlign w:val="center"/>
          </w:tcPr>
          <w:p>
            <w:pPr>
              <w:bidi w:val="1"/>
              <w:jc w:val="center"/>
            </w:pPr>
            <w:r/>
            <w:r>
              <w:rPr>
                <w:rFonts w:cs="Arial"/>
                <w:b/>
                <w:color w:val="FFFFFF"/>
                <w:sz w:val="17"/>
                <w:rtl w:val="1"/>
              </w:rPr>
              <w:t>م</w:t>
            </w:r>
          </w:p>
        </w:tc>
        <w:tc>
          <w:tcPr>
            <w:tcW w:type="dxa" w:w="1738"/>
            <w:shd w:fill="1B2A4E"/>
            <w:vAlign w:val="center"/>
          </w:tcPr>
          <w:p>
            <w:pPr>
              <w:bidi w:val="1"/>
              <w:jc w:val="center"/>
            </w:pPr>
            <w:r/>
            <w:r>
              <w:rPr>
                <w:rFonts w:cs="Arial"/>
                <w:b/>
                <w:color w:val="FFFFFF"/>
                <w:sz w:val="17"/>
                <w:rtl w:val="1"/>
              </w:rPr>
              <w:t>اسم الأصل</w:t>
            </w:r>
          </w:p>
        </w:tc>
        <w:tc>
          <w:tcPr>
            <w:tcW w:type="dxa" w:w="1738"/>
            <w:shd w:fill="1B2A4E"/>
            <w:vAlign w:val="center"/>
          </w:tcPr>
          <w:p>
            <w:pPr>
              <w:bidi w:val="1"/>
              <w:jc w:val="center"/>
            </w:pPr>
            <w:r/>
            <w:r>
              <w:rPr>
                <w:rFonts w:cs="Arial"/>
                <w:b/>
                <w:color w:val="FFFFFF"/>
                <w:sz w:val="17"/>
                <w:rtl w:val="1"/>
              </w:rPr>
              <w:t>نوع الأصل</w:t>
            </w:r>
          </w:p>
        </w:tc>
        <w:tc>
          <w:tcPr>
            <w:tcW w:type="dxa" w:w="1738"/>
            <w:shd w:fill="1B2A4E"/>
            <w:vAlign w:val="center"/>
          </w:tcPr>
          <w:p>
            <w:pPr>
              <w:bidi w:val="1"/>
              <w:jc w:val="center"/>
            </w:pPr>
            <w:r/>
            <w:r>
              <w:rPr>
                <w:rFonts w:cs="Arial"/>
                <w:b/>
                <w:color w:val="FFFFFF"/>
                <w:sz w:val="17"/>
                <w:rtl w:val="1"/>
              </w:rPr>
              <w:t>الإدارة المالكة</w:t>
            </w:r>
          </w:p>
        </w:tc>
        <w:tc>
          <w:tcPr>
            <w:tcW w:type="dxa" w:w="1738"/>
            <w:shd w:fill="1B2A4E"/>
            <w:vAlign w:val="center"/>
          </w:tcPr>
          <w:p>
            <w:pPr>
              <w:bidi w:val="1"/>
              <w:jc w:val="center"/>
            </w:pPr>
            <w:r/>
            <w:r>
              <w:rPr>
                <w:rFonts w:cs="Arial"/>
                <w:b/>
                <w:color w:val="FFFFFF"/>
                <w:sz w:val="17"/>
                <w:rtl w:val="1"/>
              </w:rPr>
              <w:t>حالة الجرد (DC.C.3.1)</w:t>
            </w:r>
          </w:p>
        </w:tc>
        <w:tc>
          <w:tcPr>
            <w:tcW w:type="dxa" w:w="1738"/>
            <w:shd w:fill="1B2A4E"/>
            <w:vAlign w:val="center"/>
          </w:tcPr>
          <w:p>
            <w:pPr>
              <w:bidi w:val="1"/>
              <w:jc w:val="center"/>
            </w:pPr>
            <w:r/>
            <w:r>
              <w:rPr>
                <w:rFonts w:cs="Arial"/>
                <w:b/>
                <w:color w:val="FFFFFF"/>
                <w:sz w:val="17"/>
                <w:rtl w:val="1"/>
              </w:rPr>
              <w:t>مستوى التصنيف (DC.C.3.2)</w:t>
            </w:r>
          </w:p>
        </w:tc>
      </w:tr>
      <w:tr>
        <w:trPr>
          <w:cantSplit/>
        </w:trPr>
        <w:tc>
          <w:tcPr>
            <w:tcW w:type="dxa" w:w="454"/>
            <w:vAlign w:val="center"/>
            <w:shd w:fill="F2F2F2"/>
          </w:tcPr>
          <w:p>
            <w:pPr>
              <w:bidi w:val="1"/>
              <w:jc w:val="right"/>
            </w:pPr>
            <w:r>
              <w:rPr>
                <w:rFonts w:cs="Arial"/>
                <w:b/>
                <w:color w:val="1F2A44"/>
                <w:sz w:val="14"/>
                <w:rtl w:val="1"/>
              </w:rPr>
              <w:t>1</w:t>
            </w:r>
          </w:p>
        </w:tc>
        <w:tc>
          <w:tcPr>
            <w:tcW w:type="dxa" w:w="2608"/>
            <w:vAlign w:val="center"/>
            <w:shd w:fill="F2F2F2"/>
          </w:tcPr>
          <w:p>
            <w:pPr>
              <w:bidi w:val="1"/>
              <w:jc w:val="right"/>
            </w:pPr>
            <w:r>
              <w:rPr>
                <w:rFonts w:cs="Arial"/>
                <w:color w:val="262626"/>
                <w:sz w:val="14"/>
                <w:rtl w:val="1"/>
              </w:rPr>
              <w:t>بيانات الهوية والتحقق الإلكتروني</w:t>
            </w:r>
          </w:p>
        </w:tc>
        <w:tc>
          <w:tcPr>
            <w:tcW w:type="dxa" w:w="1247"/>
            <w:vAlign w:val="center"/>
            <w:shd w:fill="F2F2F2"/>
          </w:tcPr>
          <w:p>
            <w:pPr>
              <w:bidi w:val="1"/>
              <w:jc w:val="right"/>
            </w:pPr>
            <w:r>
              <w:rPr>
                <w:rFonts w:cs="Arial"/>
                <w:color w:val="262626"/>
                <w:sz w:val="14"/>
                <w:rtl w:val="1"/>
              </w:rPr>
              <w:t>مجموعة بيانات</w:t>
            </w:r>
          </w:p>
        </w:tc>
        <w:tc>
          <w:tcPr>
            <w:tcW w:type="dxa" w:w="1644"/>
            <w:vAlign w:val="center"/>
            <w:shd w:fill="F2F2F2"/>
          </w:tcPr>
          <w:p>
            <w:pPr>
              <w:bidi w:val="1"/>
              <w:jc w:val="right"/>
            </w:pPr>
            <w:r>
              <w:rPr>
                <w:rFonts w:cs="Arial"/>
                <w:color w:val="262626"/>
                <w:sz w:val="14"/>
                <w:rtl w:val="1"/>
              </w:rPr>
              <w:t>إدارة الهوية الرقمية</w:t>
            </w:r>
          </w:p>
        </w:tc>
        <w:tc>
          <w:tcPr>
            <w:tcW w:type="dxa" w:w="1417"/>
            <w:vAlign w:val="center"/>
            <w:shd w:fill="F2F2F2"/>
          </w:tcPr>
          <w:p>
            <w:pPr>
              <w:bidi w:val="1"/>
              <w:jc w:val="center"/>
            </w:pPr>
            <w:r>
              <w:rPr>
                <w:rFonts w:cs="Arial"/>
                <w:b/>
                <w:color w:val="1F6F43"/>
                <w:sz w:val="14"/>
                <w:rtl w:val="1"/>
              </w:rPr>
              <w:t>مُجرَّد</w:t>
            </w:r>
          </w:p>
        </w:tc>
        <w:tc>
          <w:tcPr>
            <w:tcW w:type="dxa" w:w="1361"/>
            <w:vAlign w:val="center"/>
            <w:shd w:fill="F2F2F2"/>
          </w:tcPr>
          <w:p>
            <w:pPr>
              <w:bidi w:val="1"/>
              <w:jc w:val="right"/>
            </w:pPr>
            <w:r>
              <w:rPr>
                <w:rFonts w:cs="Arial"/>
                <w:color w:val="262626"/>
                <w:sz w:val="14"/>
                <w:rtl w:val="1"/>
              </w:rPr>
              <w:t>سرّي للغاية</w:t>
            </w:r>
          </w:p>
        </w:tc>
      </w:tr>
      <w:tr>
        <w:trPr>
          <w:cantSplit/>
        </w:trPr>
        <w:tc>
          <w:tcPr>
            <w:tcW w:type="dxa" w:w="454"/>
            <w:vAlign w:val="center"/>
          </w:tcPr>
          <w:p>
            <w:pPr>
              <w:bidi w:val="1"/>
              <w:jc w:val="right"/>
            </w:pPr>
            <w:r>
              <w:rPr>
                <w:rFonts w:cs="Arial"/>
                <w:b/>
                <w:color w:val="1F2A44"/>
                <w:sz w:val="14"/>
                <w:rtl w:val="1"/>
              </w:rPr>
              <w:t>2</w:t>
            </w:r>
          </w:p>
        </w:tc>
        <w:tc>
          <w:tcPr>
            <w:tcW w:type="dxa" w:w="2608"/>
            <w:vAlign w:val="center"/>
          </w:tcPr>
          <w:p>
            <w:pPr>
              <w:bidi w:val="1"/>
              <w:jc w:val="right"/>
            </w:pPr>
            <w:r>
              <w:rPr>
                <w:rFonts w:cs="Arial"/>
                <w:color w:val="262626"/>
                <w:sz w:val="14"/>
                <w:rtl w:val="1"/>
              </w:rPr>
              <w:t>بيانات الأحداث والتنبيهات الأمنية</w:t>
            </w:r>
          </w:p>
        </w:tc>
        <w:tc>
          <w:tcPr>
            <w:tcW w:type="dxa" w:w="1247"/>
            <w:vAlign w:val="center"/>
          </w:tcPr>
          <w:p>
            <w:pPr>
              <w:bidi w:val="1"/>
              <w:jc w:val="right"/>
            </w:pPr>
            <w:r>
              <w:rPr>
                <w:rFonts w:cs="Arial"/>
                <w:color w:val="262626"/>
                <w:sz w:val="14"/>
                <w:rtl w:val="1"/>
              </w:rPr>
              <w:t>مجموعة بيانات</w:t>
            </w:r>
          </w:p>
        </w:tc>
        <w:tc>
          <w:tcPr>
            <w:tcW w:type="dxa" w:w="1644"/>
            <w:vAlign w:val="center"/>
          </w:tcPr>
          <w:p>
            <w:pPr>
              <w:bidi w:val="1"/>
              <w:jc w:val="right"/>
            </w:pPr>
            <w:r>
              <w:rPr>
                <w:rFonts w:cs="Arial"/>
                <w:color w:val="262626"/>
                <w:sz w:val="14"/>
                <w:rtl w:val="1"/>
              </w:rPr>
              <w:t>إدارة الأمن السيبراني</w:t>
            </w:r>
          </w:p>
        </w:tc>
        <w:tc>
          <w:tcPr>
            <w:tcW w:type="dxa" w:w="1417"/>
            <w:vAlign w:val="center"/>
          </w:tcPr>
          <w:p>
            <w:pPr>
              <w:bidi w:val="1"/>
              <w:jc w:val="center"/>
            </w:pPr>
            <w:r>
              <w:rPr>
                <w:rFonts w:cs="Arial"/>
                <w:b/>
                <w:color w:val="1F6F43"/>
                <w:sz w:val="14"/>
                <w:rtl w:val="1"/>
              </w:rPr>
              <w:t>مُجرَّد</w:t>
            </w:r>
          </w:p>
        </w:tc>
        <w:tc>
          <w:tcPr>
            <w:tcW w:type="dxa" w:w="1361"/>
            <w:vAlign w:val="center"/>
          </w:tcPr>
          <w:p>
            <w:pPr>
              <w:bidi w:val="1"/>
              <w:jc w:val="right"/>
            </w:pPr>
            <w:r>
              <w:rPr>
                <w:rFonts w:cs="Arial"/>
                <w:color w:val="262626"/>
                <w:sz w:val="14"/>
                <w:rtl w:val="1"/>
              </w:rPr>
              <w:t>سرّي للغاية</w:t>
            </w:r>
          </w:p>
        </w:tc>
      </w:tr>
      <w:tr>
        <w:trPr>
          <w:cantSplit/>
        </w:trPr>
        <w:tc>
          <w:tcPr>
            <w:tcW w:type="dxa" w:w="454"/>
            <w:vAlign w:val="center"/>
            <w:shd w:fill="F2F2F2"/>
          </w:tcPr>
          <w:p>
            <w:pPr>
              <w:bidi w:val="1"/>
              <w:jc w:val="right"/>
            </w:pPr>
            <w:r>
              <w:rPr>
                <w:rFonts w:cs="Arial"/>
                <w:b/>
                <w:color w:val="1F2A44"/>
                <w:sz w:val="14"/>
                <w:rtl w:val="1"/>
              </w:rPr>
              <w:t>3</w:t>
            </w:r>
          </w:p>
        </w:tc>
        <w:tc>
          <w:tcPr>
            <w:tcW w:type="dxa" w:w="2608"/>
            <w:vAlign w:val="center"/>
            <w:shd w:fill="F2F2F2"/>
          </w:tcPr>
          <w:p>
            <w:pPr>
              <w:bidi w:val="1"/>
              <w:jc w:val="right"/>
            </w:pPr>
            <w:r>
              <w:rPr>
                <w:rFonts w:cs="Arial"/>
                <w:color w:val="262626"/>
                <w:sz w:val="14"/>
                <w:rtl w:val="1"/>
              </w:rPr>
              <w:t>بيانات الصلاحيات وإدارة الهوية (IAM)</w:t>
            </w:r>
          </w:p>
        </w:tc>
        <w:tc>
          <w:tcPr>
            <w:tcW w:type="dxa" w:w="1247"/>
            <w:vAlign w:val="center"/>
            <w:shd w:fill="F2F2F2"/>
          </w:tcPr>
          <w:p>
            <w:pPr>
              <w:bidi w:val="1"/>
              <w:jc w:val="right"/>
            </w:pPr>
            <w:r>
              <w:rPr>
                <w:rFonts w:cs="Arial"/>
                <w:color w:val="262626"/>
                <w:sz w:val="14"/>
                <w:rtl w:val="1"/>
              </w:rPr>
              <w:t>مجموعة بيانات</w:t>
            </w:r>
          </w:p>
        </w:tc>
        <w:tc>
          <w:tcPr>
            <w:tcW w:type="dxa" w:w="1644"/>
            <w:vAlign w:val="center"/>
            <w:shd w:fill="F2F2F2"/>
          </w:tcPr>
          <w:p>
            <w:pPr>
              <w:bidi w:val="1"/>
              <w:jc w:val="right"/>
            </w:pPr>
            <w:r>
              <w:rPr>
                <w:rFonts w:cs="Arial"/>
                <w:color w:val="262626"/>
                <w:sz w:val="14"/>
                <w:rtl w:val="1"/>
              </w:rPr>
              <w:t>إدارة تقنية المعلومات</w:t>
            </w:r>
          </w:p>
        </w:tc>
        <w:tc>
          <w:tcPr>
            <w:tcW w:type="dxa" w:w="1417"/>
            <w:vAlign w:val="center"/>
            <w:shd w:fill="F2F2F2"/>
          </w:tcPr>
          <w:p>
            <w:pPr>
              <w:bidi w:val="1"/>
              <w:jc w:val="center"/>
            </w:pPr>
            <w:r>
              <w:rPr>
                <w:rFonts w:cs="Arial"/>
                <w:b/>
                <w:color w:val="1F6F43"/>
                <w:sz w:val="14"/>
                <w:rtl w:val="1"/>
              </w:rPr>
              <w:t>مُجرَّد</w:t>
            </w:r>
          </w:p>
        </w:tc>
        <w:tc>
          <w:tcPr>
            <w:tcW w:type="dxa" w:w="1361"/>
            <w:vAlign w:val="center"/>
            <w:shd w:fill="F2F2F2"/>
          </w:tcPr>
          <w:p>
            <w:pPr>
              <w:bidi w:val="1"/>
              <w:jc w:val="right"/>
            </w:pPr>
            <w:r>
              <w:rPr>
                <w:rFonts w:cs="Arial"/>
                <w:color w:val="262626"/>
                <w:sz w:val="14"/>
                <w:rtl w:val="1"/>
              </w:rPr>
              <w:t>سرّي للغاية</w:t>
            </w:r>
          </w:p>
        </w:tc>
      </w:tr>
      <w:tr>
        <w:trPr>
          <w:cantSplit/>
        </w:trPr>
        <w:tc>
          <w:tcPr>
            <w:tcW w:type="dxa" w:w="454"/>
            <w:vAlign w:val="center"/>
          </w:tcPr>
          <w:p>
            <w:pPr>
              <w:bidi w:val="1"/>
              <w:jc w:val="right"/>
            </w:pPr>
            <w:r>
              <w:rPr>
                <w:rFonts w:cs="Arial"/>
                <w:b/>
                <w:color w:val="1F2A44"/>
                <w:sz w:val="14"/>
                <w:rtl w:val="1"/>
              </w:rPr>
              <w:t>4</w:t>
            </w:r>
          </w:p>
        </w:tc>
        <w:tc>
          <w:tcPr>
            <w:tcW w:type="dxa" w:w="2608"/>
            <w:vAlign w:val="center"/>
          </w:tcPr>
          <w:p>
            <w:pPr>
              <w:bidi w:val="1"/>
              <w:jc w:val="right"/>
            </w:pPr>
            <w:r>
              <w:rPr>
                <w:rFonts w:cs="Arial"/>
                <w:color w:val="262626"/>
                <w:sz w:val="14"/>
                <w:rtl w:val="1"/>
              </w:rPr>
              <w:t>بيانات التكامل مع الجهات الحكومية</w:t>
            </w:r>
          </w:p>
        </w:tc>
        <w:tc>
          <w:tcPr>
            <w:tcW w:type="dxa" w:w="1247"/>
            <w:vAlign w:val="center"/>
          </w:tcPr>
          <w:p>
            <w:pPr>
              <w:bidi w:val="1"/>
              <w:jc w:val="right"/>
            </w:pPr>
            <w:r>
              <w:rPr>
                <w:rFonts w:cs="Arial"/>
                <w:color w:val="262626"/>
                <w:sz w:val="14"/>
                <w:rtl w:val="1"/>
              </w:rPr>
              <w:t>مجموعة بيانات</w:t>
            </w:r>
          </w:p>
        </w:tc>
        <w:tc>
          <w:tcPr>
            <w:tcW w:type="dxa" w:w="1644"/>
            <w:vAlign w:val="center"/>
          </w:tcPr>
          <w:p>
            <w:pPr>
              <w:bidi w:val="1"/>
              <w:jc w:val="right"/>
            </w:pPr>
            <w:r>
              <w:rPr>
                <w:rFonts w:cs="Arial"/>
                <w:color w:val="262626"/>
                <w:sz w:val="14"/>
                <w:rtl w:val="1"/>
              </w:rPr>
              <w:t>إدارة الشراكات الحكومية</w:t>
            </w:r>
          </w:p>
        </w:tc>
        <w:tc>
          <w:tcPr>
            <w:tcW w:type="dxa" w:w="1417"/>
            <w:vAlign w:val="center"/>
          </w:tcPr>
          <w:p>
            <w:pPr>
              <w:bidi w:val="1"/>
              <w:jc w:val="center"/>
            </w:pPr>
            <w:r>
              <w:rPr>
                <w:rFonts w:cs="Arial"/>
                <w:b/>
                <w:color w:val="1F6F43"/>
                <w:sz w:val="14"/>
                <w:rtl w:val="1"/>
              </w:rPr>
              <w:t>مُجرَّد</w:t>
            </w:r>
          </w:p>
        </w:tc>
        <w:tc>
          <w:tcPr>
            <w:tcW w:type="dxa" w:w="1361"/>
            <w:vAlign w:val="center"/>
          </w:tcPr>
          <w:p>
            <w:pPr>
              <w:bidi w:val="1"/>
              <w:jc w:val="right"/>
            </w:pPr>
            <w:r>
              <w:rPr>
                <w:rFonts w:cs="Arial"/>
                <w:color w:val="262626"/>
                <w:sz w:val="14"/>
                <w:rtl w:val="1"/>
              </w:rPr>
              <w:t>سرّي للغاية</w:t>
            </w:r>
          </w:p>
        </w:tc>
      </w:tr>
      <w:tr>
        <w:trPr>
          <w:cantSplit/>
        </w:trPr>
        <w:tc>
          <w:tcPr>
            <w:tcW w:type="dxa" w:w="454"/>
            <w:vAlign w:val="center"/>
            <w:shd w:fill="F2F2F2"/>
          </w:tcPr>
          <w:p>
            <w:pPr>
              <w:bidi w:val="1"/>
              <w:jc w:val="right"/>
            </w:pPr>
            <w:r>
              <w:rPr>
                <w:rFonts w:cs="Arial"/>
                <w:b/>
                <w:color w:val="1F2A44"/>
                <w:sz w:val="14"/>
                <w:rtl w:val="1"/>
              </w:rPr>
              <w:t>5</w:t>
            </w:r>
          </w:p>
        </w:tc>
        <w:tc>
          <w:tcPr>
            <w:tcW w:type="dxa" w:w="2608"/>
            <w:vAlign w:val="center"/>
            <w:shd w:fill="F2F2F2"/>
          </w:tcPr>
          <w:p>
            <w:pPr>
              <w:bidi w:val="1"/>
              <w:jc w:val="right"/>
            </w:pPr>
            <w:r>
              <w:rPr>
                <w:rFonts w:cs="Arial"/>
                <w:color w:val="262626"/>
                <w:sz w:val="14"/>
                <w:rtl w:val="1"/>
              </w:rPr>
              <w:t>بيانات الرواتب والمزايا الوظيفية</w:t>
            </w:r>
          </w:p>
        </w:tc>
        <w:tc>
          <w:tcPr>
            <w:tcW w:type="dxa" w:w="1247"/>
            <w:vAlign w:val="center"/>
            <w:shd w:fill="F2F2F2"/>
          </w:tcPr>
          <w:p>
            <w:pPr>
              <w:bidi w:val="1"/>
              <w:jc w:val="right"/>
            </w:pPr>
            <w:r>
              <w:rPr>
                <w:rFonts w:cs="Arial"/>
                <w:color w:val="262626"/>
                <w:sz w:val="14"/>
                <w:rtl w:val="1"/>
              </w:rPr>
              <w:t>مجموعة بيانات</w:t>
            </w:r>
          </w:p>
        </w:tc>
        <w:tc>
          <w:tcPr>
            <w:tcW w:type="dxa" w:w="1644"/>
            <w:vAlign w:val="center"/>
            <w:shd w:fill="F2F2F2"/>
          </w:tcPr>
          <w:p>
            <w:pPr>
              <w:bidi w:val="1"/>
              <w:jc w:val="right"/>
            </w:pPr>
            <w:r>
              <w:rPr>
                <w:rFonts w:cs="Arial"/>
                <w:color w:val="262626"/>
                <w:sz w:val="14"/>
                <w:rtl w:val="1"/>
              </w:rPr>
              <w:t>إدارة الموارد البشرية</w:t>
            </w:r>
          </w:p>
        </w:tc>
        <w:tc>
          <w:tcPr>
            <w:tcW w:type="dxa" w:w="1417"/>
            <w:vAlign w:val="center"/>
            <w:shd w:fill="F2F2F2"/>
          </w:tcPr>
          <w:p>
            <w:pPr>
              <w:bidi w:val="1"/>
              <w:jc w:val="center"/>
            </w:pPr>
            <w:r>
              <w:rPr>
                <w:rFonts w:cs="Arial"/>
                <w:b/>
                <w:color w:val="1F6F43"/>
                <w:sz w:val="14"/>
                <w:rtl w:val="1"/>
              </w:rPr>
              <w:t>مُجرَّد</w:t>
            </w:r>
          </w:p>
        </w:tc>
        <w:tc>
          <w:tcPr>
            <w:tcW w:type="dxa" w:w="1361"/>
            <w:vAlign w:val="center"/>
            <w:shd w:fill="F2F2F2"/>
          </w:tcPr>
          <w:p>
            <w:pPr>
              <w:bidi w:val="1"/>
              <w:jc w:val="right"/>
            </w:pPr>
            <w:r>
              <w:rPr>
                <w:rFonts w:cs="Arial"/>
                <w:color w:val="262626"/>
                <w:sz w:val="14"/>
                <w:rtl w:val="1"/>
              </w:rPr>
              <w:t>سرّي</w:t>
            </w:r>
          </w:p>
        </w:tc>
      </w:tr>
      <w:tr>
        <w:trPr>
          <w:cantSplit/>
        </w:trPr>
        <w:tc>
          <w:tcPr>
            <w:tcW w:type="dxa" w:w="454"/>
            <w:vAlign w:val="center"/>
          </w:tcPr>
          <w:p>
            <w:pPr>
              <w:bidi w:val="1"/>
              <w:jc w:val="right"/>
            </w:pPr>
            <w:r>
              <w:rPr>
                <w:rFonts w:cs="Arial"/>
                <w:b/>
                <w:color w:val="1F2A44"/>
                <w:sz w:val="14"/>
                <w:rtl w:val="1"/>
              </w:rPr>
              <w:t>6</w:t>
            </w:r>
          </w:p>
        </w:tc>
        <w:tc>
          <w:tcPr>
            <w:tcW w:type="dxa" w:w="2608"/>
            <w:vAlign w:val="center"/>
          </w:tcPr>
          <w:p>
            <w:pPr>
              <w:bidi w:val="1"/>
              <w:jc w:val="right"/>
            </w:pPr>
            <w:r>
              <w:rPr>
                <w:rFonts w:cs="Arial"/>
                <w:color w:val="262626"/>
                <w:sz w:val="14"/>
                <w:rtl w:val="1"/>
              </w:rPr>
              <w:t>بيانات المدفوعات والمعاملات المالية</w:t>
            </w:r>
          </w:p>
        </w:tc>
        <w:tc>
          <w:tcPr>
            <w:tcW w:type="dxa" w:w="1247"/>
            <w:vAlign w:val="center"/>
          </w:tcPr>
          <w:p>
            <w:pPr>
              <w:bidi w:val="1"/>
              <w:jc w:val="right"/>
            </w:pPr>
            <w:r>
              <w:rPr>
                <w:rFonts w:cs="Arial"/>
                <w:color w:val="262626"/>
                <w:sz w:val="14"/>
                <w:rtl w:val="1"/>
              </w:rPr>
              <w:t>مجموعة بيانات</w:t>
            </w:r>
          </w:p>
        </w:tc>
        <w:tc>
          <w:tcPr>
            <w:tcW w:type="dxa" w:w="1644"/>
            <w:vAlign w:val="center"/>
          </w:tcPr>
          <w:p>
            <w:pPr>
              <w:bidi w:val="1"/>
              <w:jc w:val="right"/>
            </w:pPr>
            <w:r>
              <w:rPr>
                <w:rFonts w:cs="Arial"/>
                <w:color w:val="262626"/>
                <w:sz w:val="14"/>
                <w:rtl w:val="1"/>
              </w:rPr>
              <w:t>الإدارة المالية</w:t>
            </w:r>
          </w:p>
        </w:tc>
        <w:tc>
          <w:tcPr>
            <w:tcW w:type="dxa" w:w="1417"/>
            <w:vAlign w:val="center"/>
          </w:tcPr>
          <w:p>
            <w:pPr>
              <w:bidi w:val="1"/>
              <w:jc w:val="center"/>
            </w:pPr>
            <w:r>
              <w:rPr>
                <w:rFonts w:cs="Arial"/>
                <w:b/>
                <w:color w:val="1F6F43"/>
                <w:sz w:val="14"/>
                <w:rtl w:val="1"/>
              </w:rPr>
              <w:t>مُجرَّد</w:t>
            </w:r>
          </w:p>
        </w:tc>
        <w:tc>
          <w:tcPr>
            <w:tcW w:type="dxa" w:w="1361"/>
            <w:vAlign w:val="center"/>
          </w:tcPr>
          <w:p>
            <w:pPr>
              <w:bidi w:val="1"/>
              <w:jc w:val="right"/>
            </w:pPr>
            <w:r>
              <w:rPr>
                <w:rFonts w:cs="Arial"/>
                <w:color w:val="262626"/>
                <w:sz w:val="14"/>
                <w:rtl w:val="1"/>
              </w:rPr>
              <w:t>سرّي</w:t>
            </w:r>
          </w:p>
        </w:tc>
      </w:tr>
      <w:tr>
        <w:trPr>
          <w:cantSplit/>
        </w:trPr>
        <w:tc>
          <w:tcPr>
            <w:tcW w:type="dxa" w:w="454"/>
            <w:vAlign w:val="center"/>
            <w:shd w:fill="F2F2F2"/>
          </w:tcPr>
          <w:p>
            <w:pPr>
              <w:bidi w:val="1"/>
              <w:jc w:val="right"/>
            </w:pPr>
            <w:r>
              <w:rPr>
                <w:rFonts w:cs="Arial"/>
                <w:b/>
                <w:color w:val="1F2A44"/>
                <w:sz w:val="14"/>
                <w:rtl w:val="1"/>
              </w:rPr>
              <w:t>7</w:t>
            </w:r>
          </w:p>
        </w:tc>
        <w:tc>
          <w:tcPr>
            <w:tcW w:type="dxa" w:w="2608"/>
            <w:vAlign w:val="center"/>
            <w:shd w:fill="F2F2F2"/>
          </w:tcPr>
          <w:p>
            <w:pPr>
              <w:bidi w:val="1"/>
              <w:jc w:val="right"/>
            </w:pPr>
            <w:r>
              <w:rPr>
                <w:rFonts w:cs="Arial"/>
                <w:color w:val="262626"/>
                <w:sz w:val="14"/>
                <w:rtl w:val="1"/>
              </w:rPr>
              <w:t>بيانات الموظفين والملفات الوظيفية</w:t>
            </w:r>
          </w:p>
        </w:tc>
        <w:tc>
          <w:tcPr>
            <w:tcW w:type="dxa" w:w="1247"/>
            <w:vAlign w:val="center"/>
            <w:shd w:fill="F2F2F2"/>
          </w:tcPr>
          <w:p>
            <w:pPr>
              <w:bidi w:val="1"/>
              <w:jc w:val="right"/>
            </w:pPr>
            <w:r>
              <w:rPr>
                <w:rFonts w:cs="Arial"/>
                <w:color w:val="262626"/>
                <w:sz w:val="14"/>
                <w:rtl w:val="1"/>
              </w:rPr>
              <w:t>مجموعة بيانات</w:t>
            </w:r>
          </w:p>
        </w:tc>
        <w:tc>
          <w:tcPr>
            <w:tcW w:type="dxa" w:w="1644"/>
            <w:vAlign w:val="center"/>
            <w:shd w:fill="F2F2F2"/>
          </w:tcPr>
          <w:p>
            <w:pPr>
              <w:bidi w:val="1"/>
              <w:jc w:val="right"/>
            </w:pPr>
            <w:r>
              <w:rPr>
                <w:rFonts w:cs="Arial"/>
                <w:color w:val="262626"/>
                <w:sz w:val="14"/>
                <w:rtl w:val="1"/>
              </w:rPr>
              <w:t>إدارة الموارد البشرية</w:t>
            </w:r>
          </w:p>
        </w:tc>
        <w:tc>
          <w:tcPr>
            <w:tcW w:type="dxa" w:w="1417"/>
            <w:vAlign w:val="center"/>
            <w:shd w:fill="F2F2F2"/>
          </w:tcPr>
          <w:p>
            <w:pPr>
              <w:bidi w:val="1"/>
              <w:jc w:val="center"/>
            </w:pPr>
            <w:r>
              <w:rPr>
                <w:rFonts w:cs="Arial"/>
                <w:b/>
                <w:color w:val="1F6F43"/>
                <w:sz w:val="14"/>
                <w:rtl w:val="1"/>
              </w:rPr>
              <w:t>مُجرَّد</w:t>
            </w:r>
          </w:p>
        </w:tc>
        <w:tc>
          <w:tcPr>
            <w:tcW w:type="dxa" w:w="1361"/>
            <w:vAlign w:val="center"/>
            <w:shd w:fill="F2F2F2"/>
          </w:tcPr>
          <w:p>
            <w:pPr>
              <w:bidi w:val="1"/>
              <w:jc w:val="right"/>
            </w:pPr>
            <w:r>
              <w:rPr>
                <w:rFonts w:cs="Arial"/>
                <w:color w:val="262626"/>
                <w:sz w:val="14"/>
                <w:rtl w:val="1"/>
              </w:rPr>
              <w:t>سرّي</w:t>
            </w:r>
          </w:p>
        </w:tc>
      </w:tr>
      <w:tr>
        <w:trPr>
          <w:cantSplit/>
        </w:trPr>
        <w:tc>
          <w:tcPr>
            <w:tcW w:type="dxa" w:w="454"/>
            <w:vAlign w:val="center"/>
          </w:tcPr>
          <w:p>
            <w:pPr>
              <w:bidi w:val="1"/>
              <w:jc w:val="right"/>
            </w:pPr>
            <w:r>
              <w:rPr>
                <w:rFonts w:cs="Arial"/>
                <w:b/>
                <w:color w:val="1F2A44"/>
                <w:sz w:val="14"/>
                <w:rtl w:val="1"/>
              </w:rPr>
              <w:t>8</w:t>
            </w:r>
          </w:p>
        </w:tc>
        <w:tc>
          <w:tcPr>
            <w:tcW w:type="dxa" w:w="2608"/>
            <w:vAlign w:val="center"/>
          </w:tcPr>
          <w:p>
            <w:pPr>
              <w:bidi w:val="1"/>
              <w:jc w:val="right"/>
            </w:pPr>
            <w:r>
              <w:rPr>
                <w:rFonts w:cs="Arial"/>
                <w:color w:val="262626"/>
                <w:sz w:val="14"/>
                <w:rtl w:val="1"/>
              </w:rPr>
              <w:t>بيانات المستخدمين والمستفيدين</w:t>
            </w:r>
          </w:p>
        </w:tc>
        <w:tc>
          <w:tcPr>
            <w:tcW w:type="dxa" w:w="1247"/>
            <w:vAlign w:val="center"/>
          </w:tcPr>
          <w:p>
            <w:pPr>
              <w:bidi w:val="1"/>
              <w:jc w:val="right"/>
            </w:pPr>
            <w:r>
              <w:rPr>
                <w:rFonts w:cs="Arial"/>
                <w:color w:val="262626"/>
                <w:sz w:val="14"/>
                <w:rtl w:val="1"/>
              </w:rPr>
              <w:t>مجموعة بيانات</w:t>
            </w:r>
          </w:p>
        </w:tc>
        <w:tc>
          <w:tcPr>
            <w:tcW w:type="dxa" w:w="1644"/>
            <w:vAlign w:val="center"/>
          </w:tcPr>
          <w:p>
            <w:pPr>
              <w:bidi w:val="1"/>
              <w:jc w:val="right"/>
            </w:pPr>
            <w:r>
              <w:rPr>
                <w:rFonts w:cs="Arial"/>
                <w:color w:val="262626"/>
                <w:sz w:val="14"/>
                <w:rtl w:val="1"/>
              </w:rPr>
              <w:t>إدارة الخدمات الرقمية</w:t>
            </w:r>
          </w:p>
        </w:tc>
        <w:tc>
          <w:tcPr>
            <w:tcW w:type="dxa" w:w="1417"/>
            <w:vAlign w:val="center"/>
          </w:tcPr>
          <w:p>
            <w:pPr>
              <w:bidi w:val="1"/>
              <w:jc w:val="center"/>
            </w:pPr>
            <w:r>
              <w:rPr>
                <w:rFonts w:cs="Arial"/>
                <w:b/>
                <w:color w:val="1F6F43"/>
                <w:sz w:val="14"/>
                <w:rtl w:val="1"/>
              </w:rPr>
              <w:t>مُجرَّد</w:t>
            </w:r>
          </w:p>
        </w:tc>
        <w:tc>
          <w:tcPr>
            <w:tcW w:type="dxa" w:w="1361"/>
            <w:vAlign w:val="center"/>
          </w:tcPr>
          <w:p>
            <w:pPr>
              <w:bidi w:val="1"/>
              <w:jc w:val="right"/>
            </w:pPr>
            <w:r>
              <w:rPr>
                <w:rFonts w:cs="Arial"/>
                <w:color w:val="262626"/>
                <w:sz w:val="14"/>
                <w:rtl w:val="1"/>
              </w:rPr>
              <w:t>سرّي</w:t>
            </w:r>
          </w:p>
        </w:tc>
      </w:tr>
      <w:tr>
        <w:trPr>
          <w:cantSplit/>
        </w:trPr>
        <w:tc>
          <w:tcPr>
            <w:tcW w:type="dxa" w:w="454"/>
            <w:vAlign w:val="center"/>
            <w:shd w:fill="F2F2F2"/>
          </w:tcPr>
          <w:p>
            <w:pPr>
              <w:bidi w:val="1"/>
              <w:jc w:val="right"/>
            </w:pPr>
            <w:r>
              <w:rPr>
                <w:rFonts w:cs="Arial"/>
                <w:b/>
                <w:color w:val="1F2A44"/>
                <w:sz w:val="14"/>
                <w:rtl w:val="1"/>
              </w:rPr>
              <w:t>9</w:t>
            </w:r>
          </w:p>
        </w:tc>
        <w:tc>
          <w:tcPr>
            <w:tcW w:type="dxa" w:w="2608"/>
            <w:vAlign w:val="center"/>
            <w:shd w:fill="F2F2F2"/>
          </w:tcPr>
          <w:p>
            <w:pPr>
              <w:bidi w:val="1"/>
              <w:jc w:val="right"/>
            </w:pPr>
            <w:r>
              <w:rPr>
                <w:rFonts w:cs="Arial"/>
                <w:color w:val="262626"/>
                <w:sz w:val="14"/>
                <w:rtl w:val="1"/>
              </w:rPr>
              <w:t>بيانات طلبات ومعاملات المستفيدين</w:t>
            </w:r>
          </w:p>
        </w:tc>
        <w:tc>
          <w:tcPr>
            <w:tcW w:type="dxa" w:w="1247"/>
            <w:vAlign w:val="center"/>
            <w:shd w:fill="F2F2F2"/>
          </w:tcPr>
          <w:p>
            <w:pPr>
              <w:bidi w:val="1"/>
              <w:jc w:val="right"/>
            </w:pPr>
            <w:r>
              <w:rPr>
                <w:rFonts w:cs="Arial"/>
                <w:color w:val="262626"/>
                <w:sz w:val="14"/>
                <w:rtl w:val="1"/>
              </w:rPr>
              <w:t>مجموعة بيانات</w:t>
            </w:r>
          </w:p>
        </w:tc>
        <w:tc>
          <w:tcPr>
            <w:tcW w:type="dxa" w:w="1644"/>
            <w:vAlign w:val="center"/>
            <w:shd w:fill="F2F2F2"/>
          </w:tcPr>
          <w:p>
            <w:pPr>
              <w:bidi w:val="1"/>
              <w:jc w:val="right"/>
            </w:pPr>
            <w:r>
              <w:rPr>
                <w:rFonts w:cs="Arial"/>
                <w:color w:val="262626"/>
                <w:sz w:val="14"/>
                <w:rtl w:val="1"/>
              </w:rPr>
              <w:t>إدارة الخدمات الرقمية</w:t>
            </w:r>
          </w:p>
        </w:tc>
        <w:tc>
          <w:tcPr>
            <w:tcW w:type="dxa" w:w="1417"/>
            <w:vAlign w:val="center"/>
            <w:shd w:fill="F2F2F2"/>
          </w:tcPr>
          <w:p>
            <w:pPr>
              <w:bidi w:val="1"/>
              <w:jc w:val="center"/>
            </w:pPr>
            <w:r>
              <w:rPr>
                <w:rFonts w:cs="Arial"/>
                <w:b/>
                <w:color w:val="1F6F43"/>
                <w:sz w:val="14"/>
                <w:rtl w:val="1"/>
              </w:rPr>
              <w:t>مُجرَّد</w:t>
            </w:r>
          </w:p>
        </w:tc>
        <w:tc>
          <w:tcPr>
            <w:tcW w:type="dxa" w:w="1361"/>
            <w:vAlign w:val="center"/>
            <w:shd w:fill="F2F2F2"/>
          </w:tcPr>
          <w:p>
            <w:pPr>
              <w:bidi w:val="1"/>
              <w:jc w:val="right"/>
            </w:pPr>
            <w:r>
              <w:rPr>
                <w:rFonts w:cs="Arial"/>
                <w:color w:val="262626"/>
                <w:sz w:val="14"/>
                <w:rtl w:val="1"/>
              </w:rPr>
              <w:t>مقيّد</w:t>
            </w:r>
          </w:p>
        </w:tc>
      </w:tr>
      <w:tr>
        <w:trPr>
          <w:cantSplit/>
        </w:trPr>
        <w:tc>
          <w:tcPr>
            <w:tcW w:type="dxa" w:w="454"/>
            <w:vAlign w:val="center"/>
          </w:tcPr>
          <w:p>
            <w:pPr>
              <w:bidi w:val="1"/>
              <w:jc w:val="right"/>
            </w:pPr>
            <w:r>
              <w:rPr>
                <w:rFonts w:cs="Arial"/>
                <w:b/>
                <w:color w:val="1F2A44"/>
                <w:sz w:val="14"/>
                <w:rtl w:val="1"/>
              </w:rPr>
              <w:t>10</w:t>
            </w:r>
          </w:p>
        </w:tc>
        <w:tc>
          <w:tcPr>
            <w:tcW w:type="dxa" w:w="2608"/>
            <w:vAlign w:val="center"/>
          </w:tcPr>
          <w:p>
            <w:pPr>
              <w:bidi w:val="1"/>
              <w:jc w:val="right"/>
            </w:pPr>
            <w:r>
              <w:rPr>
                <w:rFonts w:cs="Arial"/>
                <w:color w:val="262626"/>
                <w:sz w:val="14"/>
                <w:rtl w:val="1"/>
              </w:rPr>
              <w:t>بيانات الخدمات الحكومية الرقمية</w:t>
            </w:r>
          </w:p>
        </w:tc>
        <w:tc>
          <w:tcPr>
            <w:tcW w:type="dxa" w:w="1247"/>
            <w:vAlign w:val="center"/>
          </w:tcPr>
          <w:p>
            <w:pPr>
              <w:bidi w:val="1"/>
              <w:jc w:val="right"/>
            </w:pPr>
            <w:r>
              <w:rPr>
                <w:rFonts w:cs="Arial"/>
                <w:color w:val="262626"/>
                <w:sz w:val="14"/>
                <w:rtl w:val="1"/>
              </w:rPr>
              <w:t>مجموعة بيانات</w:t>
            </w:r>
          </w:p>
        </w:tc>
        <w:tc>
          <w:tcPr>
            <w:tcW w:type="dxa" w:w="1644"/>
            <w:vAlign w:val="center"/>
          </w:tcPr>
          <w:p>
            <w:pPr>
              <w:bidi w:val="1"/>
              <w:jc w:val="right"/>
            </w:pPr>
            <w:r>
              <w:rPr>
                <w:rFonts w:cs="Arial"/>
                <w:color w:val="262626"/>
                <w:sz w:val="14"/>
                <w:rtl w:val="1"/>
              </w:rPr>
              <w:t>إدارة التحول الرقمي</w:t>
            </w:r>
          </w:p>
        </w:tc>
        <w:tc>
          <w:tcPr>
            <w:tcW w:type="dxa" w:w="1417"/>
            <w:vAlign w:val="center"/>
          </w:tcPr>
          <w:p>
            <w:pPr>
              <w:bidi w:val="1"/>
              <w:jc w:val="center"/>
            </w:pPr>
            <w:r>
              <w:rPr>
                <w:rFonts w:cs="Arial"/>
                <w:b/>
                <w:color w:val="1F6F43"/>
                <w:sz w:val="14"/>
                <w:rtl w:val="1"/>
              </w:rPr>
              <w:t>مُجرَّد</w:t>
            </w:r>
          </w:p>
        </w:tc>
        <w:tc>
          <w:tcPr>
            <w:tcW w:type="dxa" w:w="1361"/>
            <w:vAlign w:val="center"/>
          </w:tcPr>
          <w:p>
            <w:pPr>
              <w:bidi w:val="1"/>
              <w:jc w:val="right"/>
            </w:pPr>
            <w:r>
              <w:rPr>
                <w:rFonts w:cs="Arial"/>
                <w:color w:val="262626"/>
                <w:sz w:val="14"/>
                <w:rtl w:val="1"/>
              </w:rPr>
              <w:t>مقيّد</w:t>
            </w:r>
          </w:p>
        </w:tc>
      </w:tr>
      <w:tr>
        <w:trPr>
          <w:cantSplit/>
        </w:trPr>
        <w:tc>
          <w:tcPr>
            <w:tcW w:type="dxa" w:w="454"/>
            <w:vAlign w:val="center"/>
            <w:shd w:fill="F2F2F2"/>
          </w:tcPr>
          <w:p>
            <w:pPr>
              <w:bidi w:val="1"/>
              <w:jc w:val="right"/>
            </w:pPr>
            <w:r>
              <w:rPr>
                <w:rFonts w:cs="Arial"/>
                <w:b/>
                <w:color w:val="1F2A44"/>
                <w:sz w:val="14"/>
                <w:rtl w:val="1"/>
              </w:rPr>
              <w:t>11</w:t>
            </w:r>
          </w:p>
        </w:tc>
        <w:tc>
          <w:tcPr>
            <w:tcW w:type="dxa" w:w="2608"/>
            <w:vAlign w:val="center"/>
            <w:shd w:fill="F2F2F2"/>
          </w:tcPr>
          <w:p>
            <w:pPr>
              <w:bidi w:val="1"/>
              <w:jc w:val="right"/>
            </w:pPr>
            <w:r>
              <w:rPr>
                <w:rFonts w:cs="Arial"/>
                <w:color w:val="262626"/>
                <w:sz w:val="14"/>
                <w:rtl w:val="1"/>
              </w:rPr>
              <w:t>بيانات الموردين والمتعاقدين</w:t>
            </w:r>
          </w:p>
        </w:tc>
        <w:tc>
          <w:tcPr>
            <w:tcW w:type="dxa" w:w="1247"/>
            <w:vAlign w:val="center"/>
            <w:shd w:fill="F2F2F2"/>
          </w:tcPr>
          <w:p>
            <w:pPr>
              <w:bidi w:val="1"/>
              <w:jc w:val="right"/>
            </w:pPr>
            <w:r>
              <w:rPr>
                <w:rFonts w:cs="Arial"/>
                <w:color w:val="262626"/>
                <w:sz w:val="14"/>
                <w:rtl w:val="1"/>
              </w:rPr>
              <w:t>مجموعة بيانات</w:t>
            </w:r>
          </w:p>
        </w:tc>
        <w:tc>
          <w:tcPr>
            <w:tcW w:type="dxa" w:w="1644"/>
            <w:vAlign w:val="center"/>
            <w:shd w:fill="F2F2F2"/>
          </w:tcPr>
          <w:p>
            <w:pPr>
              <w:bidi w:val="1"/>
              <w:jc w:val="right"/>
            </w:pPr>
            <w:r>
              <w:rPr>
                <w:rFonts w:cs="Arial"/>
                <w:color w:val="262626"/>
                <w:sz w:val="14"/>
                <w:rtl w:val="1"/>
              </w:rPr>
              <w:t>إدارة المشتريات</w:t>
            </w:r>
          </w:p>
        </w:tc>
        <w:tc>
          <w:tcPr>
            <w:tcW w:type="dxa" w:w="1417"/>
            <w:vAlign w:val="center"/>
            <w:shd w:fill="F2F2F2"/>
          </w:tcPr>
          <w:p>
            <w:pPr>
              <w:bidi w:val="1"/>
              <w:jc w:val="center"/>
            </w:pPr>
            <w:r>
              <w:rPr>
                <w:rFonts w:cs="Arial"/>
                <w:b/>
                <w:color w:val="1F6F43"/>
                <w:sz w:val="14"/>
                <w:rtl w:val="1"/>
              </w:rPr>
              <w:t>مُجرَّد</w:t>
            </w:r>
          </w:p>
        </w:tc>
        <w:tc>
          <w:tcPr>
            <w:tcW w:type="dxa" w:w="1361"/>
            <w:vAlign w:val="center"/>
            <w:shd w:fill="F2F2F2"/>
          </w:tcPr>
          <w:p>
            <w:pPr>
              <w:bidi w:val="1"/>
              <w:jc w:val="right"/>
            </w:pPr>
            <w:r>
              <w:rPr>
                <w:rFonts w:cs="Arial"/>
                <w:color w:val="262626"/>
                <w:sz w:val="14"/>
                <w:rtl w:val="1"/>
              </w:rPr>
              <w:t>مقيّد</w:t>
            </w:r>
          </w:p>
        </w:tc>
      </w:tr>
      <w:tr>
        <w:trPr>
          <w:cantSplit/>
        </w:trPr>
        <w:tc>
          <w:tcPr>
            <w:tcW w:type="dxa" w:w="454"/>
            <w:vAlign w:val="center"/>
          </w:tcPr>
          <w:p>
            <w:pPr>
              <w:bidi w:val="1"/>
              <w:jc w:val="right"/>
            </w:pPr>
            <w:r>
              <w:rPr>
                <w:rFonts w:cs="Arial"/>
                <w:b/>
                <w:color w:val="1F2A44"/>
                <w:sz w:val="14"/>
                <w:rtl w:val="1"/>
              </w:rPr>
              <w:t>12</w:t>
            </w:r>
          </w:p>
        </w:tc>
        <w:tc>
          <w:tcPr>
            <w:tcW w:type="dxa" w:w="2608"/>
            <w:vAlign w:val="center"/>
          </w:tcPr>
          <w:p>
            <w:pPr>
              <w:bidi w:val="1"/>
              <w:jc w:val="right"/>
            </w:pPr>
            <w:r>
              <w:rPr>
                <w:rFonts w:cs="Arial"/>
                <w:color w:val="262626"/>
                <w:sz w:val="14"/>
                <w:rtl w:val="1"/>
              </w:rPr>
              <w:t>بيانات الأصول والبنية التحتية التقنية</w:t>
            </w:r>
          </w:p>
        </w:tc>
        <w:tc>
          <w:tcPr>
            <w:tcW w:type="dxa" w:w="1247"/>
            <w:vAlign w:val="center"/>
          </w:tcPr>
          <w:p>
            <w:pPr>
              <w:bidi w:val="1"/>
              <w:jc w:val="right"/>
            </w:pPr>
            <w:r>
              <w:rPr>
                <w:rFonts w:cs="Arial"/>
                <w:color w:val="262626"/>
                <w:sz w:val="14"/>
                <w:rtl w:val="1"/>
              </w:rPr>
              <w:t>مجموعة بيانات</w:t>
            </w:r>
          </w:p>
        </w:tc>
        <w:tc>
          <w:tcPr>
            <w:tcW w:type="dxa" w:w="1644"/>
            <w:vAlign w:val="center"/>
          </w:tcPr>
          <w:p>
            <w:pPr>
              <w:bidi w:val="1"/>
              <w:jc w:val="right"/>
            </w:pPr>
            <w:r>
              <w:rPr>
                <w:rFonts w:cs="Arial"/>
                <w:color w:val="262626"/>
                <w:sz w:val="14"/>
                <w:rtl w:val="1"/>
              </w:rPr>
              <w:t>إدارة تقنية المعلومات</w:t>
            </w:r>
          </w:p>
        </w:tc>
        <w:tc>
          <w:tcPr>
            <w:tcW w:type="dxa" w:w="1417"/>
            <w:vAlign w:val="center"/>
          </w:tcPr>
          <w:p>
            <w:pPr>
              <w:bidi w:val="1"/>
              <w:jc w:val="center"/>
            </w:pPr>
            <w:r>
              <w:rPr>
                <w:rFonts w:cs="Arial"/>
                <w:b/>
                <w:color w:val="1F6F43"/>
                <w:sz w:val="14"/>
                <w:rtl w:val="1"/>
              </w:rPr>
              <w:t>مُجرَّد</w:t>
            </w:r>
          </w:p>
        </w:tc>
        <w:tc>
          <w:tcPr>
            <w:tcW w:type="dxa" w:w="1361"/>
            <w:vAlign w:val="center"/>
          </w:tcPr>
          <w:p>
            <w:pPr>
              <w:bidi w:val="1"/>
              <w:jc w:val="right"/>
            </w:pPr>
            <w:r>
              <w:rPr>
                <w:rFonts w:cs="Arial"/>
                <w:color w:val="262626"/>
                <w:sz w:val="14"/>
                <w:rtl w:val="1"/>
              </w:rPr>
              <w:t>سرّي</w:t>
            </w:r>
          </w:p>
        </w:tc>
      </w:tr>
      <w:tr>
        <w:trPr>
          <w:cantSplit/>
        </w:trPr>
        <w:tc>
          <w:tcPr>
            <w:tcW w:type="dxa" w:w="454"/>
            <w:vAlign w:val="center"/>
            <w:shd w:fill="F2F2F2"/>
          </w:tcPr>
          <w:p>
            <w:pPr>
              <w:bidi w:val="1"/>
              <w:jc w:val="right"/>
            </w:pPr>
            <w:r>
              <w:rPr>
                <w:rFonts w:cs="Arial"/>
                <w:b/>
                <w:color w:val="1F2A44"/>
                <w:sz w:val="14"/>
                <w:rtl w:val="1"/>
              </w:rPr>
              <w:t>13</w:t>
            </w:r>
          </w:p>
        </w:tc>
        <w:tc>
          <w:tcPr>
            <w:tcW w:type="dxa" w:w="2608"/>
            <w:vAlign w:val="center"/>
            <w:shd w:fill="F2F2F2"/>
          </w:tcPr>
          <w:p>
            <w:pPr>
              <w:bidi w:val="1"/>
              <w:jc w:val="right"/>
            </w:pPr>
            <w:r>
              <w:rPr>
                <w:rFonts w:cs="Arial"/>
                <w:color w:val="262626"/>
                <w:sz w:val="14"/>
                <w:rtl w:val="1"/>
              </w:rPr>
              <w:t>بيانات الأهداف والخطط الاستراتيجية</w:t>
            </w:r>
          </w:p>
        </w:tc>
        <w:tc>
          <w:tcPr>
            <w:tcW w:type="dxa" w:w="1247"/>
            <w:vAlign w:val="center"/>
            <w:shd w:fill="F2F2F2"/>
          </w:tcPr>
          <w:p>
            <w:pPr>
              <w:bidi w:val="1"/>
              <w:jc w:val="right"/>
            </w:pPr>
            <w:r>
              <w:rPr>
                <w:rFonts w:cs="Arial"/>
                <w:color w:val="262626"/>
                <w:sz w:val="14"/>
                <w:rtl w:val="1"/>
              </w:rPr>
              <w:t>مجموعة بيانات</w:t>
            </w:r>
          </w:p>
        </w:tc>
        <w:tc>
          <w:tcPr>
            <w:tcW w:type="dxa" w:w="1644"/>
            <w:vAlign w:val="center"/>
            <w:shd w:fill="F2F2F2"/>
          </w:tcPr>
          <w:p>
            <w:pPr>
              <w:bidi w:val="1"/>
              <w:jc w:val="right"/>
            </w:pPr>
            <w:r>
              <w:rPr>
                <w:rFonts w:cs="Arial"/>
                <w:color w:val="262626"/>
                <w:sz w:val="14"/>
                <w:rtl w:val="1"/>
              </w:rPr>
              <w:t>مكتب الاستراتيجية والتخطيط</w:t>
            </w:r>
          </w:p>
        </w:tc>
        <w:tc>
          <w:tcPr>
            <w:tcW w:type="dxa" w:w="1417"/>
            <w:vAlign w:val="center"/>
            <w:shd w:fill="F2F2F2"/>
          </w:tcPr>
          <w:p>
            <w:pPr>
              <w:bidi w:val="1"/>
              <w:jc w:val="center"/>
            </w:pPr>
            <w:r>
              <w:rPr>
                <w:rFonts w:cs="Arial"/>
                <w:b/>
                <w:color w:val="1F6F43"/>
                <w:sz w:val="14"/>
                <w:rtl w:val="1"/>
              </w:rPr>
              <w:t>مُجرَّد</w:t>
            </w:r>
          </w:p>
        </w:tc>
        <w:tc>
          <w:tcPr>
            <w:tcW w:type="dxa" w:w="1361"/>
            <w:vAlign w:val="center"/>
            <w:shd w:fill="F2F2F2"/>
          </w:tcPr>
          <w:p>
            <w:pPr>
              <w:bidi w:val="1"/>
              <w:jc w:val="right"/>
            </w:pPr>
            <w:r>
              <w:rPr>
                <w:rFonts w:cs="Arial"/>
                <w:color w:val="262626"/>
                <w:sz w:val="14"/>
                <w:rtl w:val="1"/>
              </w:rPr>
              <w:t>سرّي</w:t>
            </w:r>
          </w:p>
        </w:tc>
      </w:tr>
      <w:tr>
        <w:trPr>
          <w:cantSplit/>
        </w:trPr>
        <w:tc>
          <w:tcPr>
            <w:tcW w:type="dxa" w:w="454"/>
            <w:vAlign w:val="center"/>
          </w:tcPr>
          <w:p>
            <w:pPr>
              <w:bidi w:val="1"/>
              <w:jc w:val="right"/>
            </w:pPr>
            <w:r>
              <w:rPr>
                <w:rFonts w:cs="Arial"/>
                <w:b/>
                <w:color w:val="1F2A44"/>
                <w:sz w:val="14"/>
                <w:rtl w:val="1"/>
              </w:rPr>
              <w:t>14</w:t>
            </w:r>
          </w:p>
        </w:tc>
        <w:tc>
          <w:tcPr>
            <w:tcW w:type="dxa" w:w="2608"/>
            <w:vAlign w:val="center"/>
          </w:tcPr>
          <w:p>
            <w:pPr>
              <w:bidi w:val="1"/>
              <w:jc w:val="right"/>
            </w:pPr>
            <w:r>
              <w:rPr>
                <w:rFonts w:cs="Arial"/>
                <w:color w:val="262626"/>
                <w:sz w:val="14"/>
                <w:rtl w:val="1"/>
              </w:rPr>
              <w:t>بيانات التدريب والتطوير الوظيفي</w:t>
            </w:r>
          </w:p>
        </w:tc>
        <w:tc>
          <w:tcPr>
            <w:tcW w:type="dxa" w:w="1247"/>
            <w:vAlign w:val="center"/>
          </w:tcPr>
          <w:p>
            <w:pPr>
              <w:bidi w:val="1"/>
              <w:jc w:val="right"/>
            </w:pPr>
            <w:r>
              <w:rPr>
                <w:rFonts w:cs="Arial"/>
                <w:color w:val="262626"/>
                <w:sz w:val="14"/>
                <w:rtl w:val="1"/>
              </w:rPr>
              <w:t>مجموعة بيانات</w:t>
            </w:r>
          </w:p>
        </w:tc>
        <w:tc>
          <w:tcPr>
            <w:tcW w:type="dxa" w:w="1644"/>
            <w:vAlign w:val="center"/>
          </w:tcPr>
          <w:p>
            <w:pPr>
              <w:bidi w:val="1"/>
              <w:jc w:val="right"/>
            </w:pPr>
            <w:r>
              <w:rPr>
                <w:rFonts w:cs="Arial"/>
                <w:color w:val="262626"/>
                <w:sz w:val="14"/>
                <w:rtl w:val="1"/>
              </w:rPr>
              <w:t>إدارة الموارد البشرية</w:t>
            </w:r>
          </w:p>
        </w:tc>
        <w:tc>
          <w:tcPr>
            <w:tcW w:type="dxa" w:w="1417"/>
            <w:vAlign w:val="center"/>
          </w:tcPr>
          <w:p>
            <w:pPr>
              <w:bidi w:val="1"/>
              <w:jc w:val="center"/>
            </w:pPr>
            <w:r>
              <w:rPr>
                <w:rFonts w:cs="Arial"/>
                <w:b/>
                <w:color w:val="1F6F43"/>
                <w:sz w:val="14"/>
                <w:rtl w:val="1"/>
              </w:rPr>
              <w:t>مُجرَّد</w:t>
            </w:r>
          </w:p>
        </w:tc>
        <w:tc>
          <w:tcPr>
            <w:tcW w:type="dxa" w:w="1361"/>
            <w:vAlign w:val="center"/>
          </w:tcPr>
          <w:p>
            <w:pPr>
              <w:bidi w:val="1"/>
              <w:jc w:val="right"/>
            </w:pPr>
            <w:r>
              <w:rPr>
                <w:rFonts w:cs="Arial"/>
                <w:color w:val="262626"/>
                <w:sz w:val="14"/>
                <w:rtl w:val="1"/>
              </w:rPr>
              <w:t>مقيّد</w:t>
            </w:r>
          </w:p>
        </w:tc>
      </w:tr>
      <w:tr>
        <w:trPr>
          <w:cantSplit/>
        </w:trPr>
        <w:tc>
          <w:tcPr>
            <w:tcW w:type="dxa" w:w="454"/>
            <w:vAlign w:val="center"/>
            <w:shd w:fill="F2F2F2"/>
          </w:tcPr>
          <w:p>
            <w:pPr>
              <w:bidi w:val="1"/>
              <w:jc w:val="right"/>
            </w:pPr>
            <w:r>
              <w:rPr>
                <w:rFonts w:cs="Arial"/>
                <w:b/>
                <w:color w:val="1F2A44"/>
                <w:sz w:val="14"/>
                <w:rtl w:val="1"/>
              </w:rPr>
              <w:t>15</w:t>
            </w:r>
          </w:p>
        </w:tc>
        <w:tc>
          <w:tcPr>
            <w:tcW w:type="dxa" w:w="2608"/>
            <w:vAlign w:val="center"/>
            <w:shd w:fill="F2F2F2"/>
          </w:tcPr>
          <w:p>
            <w:pPr>
              <w:bidi w:val="1"/>
              <w:jc w:val="right"/>
            </w:pPr>
            <w:r>
              <w:rPr>
                <w:rFonts w:cs="Arial"/>
                <w:color w:val="262626"/>
                <w:sz w:val="14"/>
                <w:rtl w:val="1"/>
              </w:rPr>
              <w:t>بيانات استطلاعات رضا المستفيدين</w:t>
            </w:r>
          </w:p>
        </w:tc>
        <w:tc>
          <w:tcPr>
            <w:tcW w:type="dxa" w:w="1247"/>
            <w:vAlign w:val="center"/>
            <w:shd w:fill="F2F2F2"/>
          </w:tcPr>
          <w:p>
            <w:pPr>
              <w:bidi w:val="1"/>
              <w:jc w:val="right"/>
            </w:pPr>
            <w:r>
              <w:rPr>
                <w:rFonts w:cs="Arial"/>
                <w:color w:val="262626"/>
                <w:sz w:val="14"/>
                <w:rtl w:val="1"/>
              </w:rPr>
              <w:t>مجموعة بيانات</w:t>
            </w:r>
          </w:p>
        </w:tc>
        <w:tc>
          <w:tcPr>
            <w:tcW w:type="dxa" w:w="1644"/>
            <w:vAlign w:val="center"/>
            <w:shd w:fill="F2F2F2"/>
          </w:tcPr>
          <w:p>
            <w:pPr>
              <w:bidi w:val="1"/>
              <w:jc w:val="right"/>
            </w:pPr>
            <w:r>
              <w:rPr>
                <w:rFonts w:cs="Arial"/>
                <w:color w:val="262626"/>
                <w:sz w:val="14"/>
                <w:rtl w:val="1"/>
              </w:rPr>
              <w:t>إدارة تجربة المستخدم</w:t>
            </w:r>
          </w:p>
        </w:tc>
        <w:tc>
          <w:tcPr>
            <w:tcW w:type="dxa" w:w="1417"/>
            <w:vAlign w:val="center"/>
            <w:shd w:fill="F2F2F2"/>
          </w:tcPr>
          <w:p>
            <w:pPr>
              <w:bidi w:val="1"/>
              <w:jc w:val="center"/>
            </w:pPr>
            <w:r>
              <w:rPr>
                <w:rFonts w:cs="Arial"/>
                <w:b/>
                <w:color w:val="1F6F43"/>
                <w:sz w:val="14"/>
                <w:rtl w:val="1"/>
              </w:rPr>
              <w:t>مُجرَّد</w:t>
            </w:r>
          </w:p>
        </w:tc>
        <w:tc>
          <w:tcPr>
            <w:tcW w:type="dxa" w:w="1361"/>
            <w:vAlign w:val="center"/>
            <w:shd w:fill="F2F2F2"/>
          </w:tcPr>
          <w:p>
            <w:pPr>
              <w:bidi w:val="1"/>
              <w:jc w:val="right"/>
            </w:pPr>
            <w:r>
              <w:rPr>
                <w:rFonts w:cs="Arial"/>
                <w:color w:val="262626"/>
                <w:sz w:val="14"/>
                <w:rtl w:val="1"/>
              </w:rPr>
              <w:t>عام</w:t>
            </w:r>
          </w:p>
        </w:tc>
      </w:tr>
      <w:tr>
        <w:trPr>
          <w:cantSplit/>
        </w:trPr>
        <w:tc>
          <w:tcPr>
            <w:tcW w:type="dxa" w:w="454"/>
            <w:vAlign w:val="center"/>
          </w:tcPr>
          <w:p>
            <w:pPr>
              <w:bidi w:val="1"/>
              <w:jc w:val="right"/>
            </w:pPr>
            <w:r>
              <w:rPr>
                <w:rFonts w:cs="Arial"/>
                <w:b/>
                <w:color w:val="1F2A44"/>
                <w:sz w:val="14"/>
                <w:rtl w:val="1"/>
              </w:rPr>
              <w:t>16</w:t>
            </w:r>
          </w:p>
        </w:tc>
        <w:tc>
          <w:tcPr>
            <w:tcW w:type="dxa" w:w="2608"/>
            <w:vAlign w:val="center"/>
          </w:tcPr>
          <w:p>
            <w:pPr>
              <w:bidi w:val="1"/>
              <w:jc w:val="right"/>
            </w:pPr>
            <w:r>
              <w:rPr>
                <w:rFonts w:cs="Arial"/>
                <w:color w:val="262626"/>
                <w:sz w:val="14"/>
                <w:rtl w:val="1"/>
              </w:rPr>
              <w:t>بيانات الحوادث التقنية وطلبات الدعم</w:t>
            </w:r>
          </w:p>
        </w:tc>
        <w:tc>
          <w:tcPr>
            <w:tcW w:type="dxa" w:w="1247"/>
            <w:vAlign w:val="center"/>
          </w:tcPr>
          <w:p>
            <w:pPr>
              <w:bidi w:val="1"/>
              <w:jc w:val="right"/>
            </w:pPr>
            <w:r>
              <w:rPr>
                <w:rFonts w:cs="Arial"/>
                <w:color w:val="262626"/>
                <w:sz w:val="14"/>
                <w:rtl w:val="1"/>
              </w:rPr>
              <w:t>مجموعة بيانات</w:t>
            </w:r>
          </w:p>
        </w:tc>
        <w:tc>
          <w:tcPr>
            <w:tcW w:type="dxa" w:w="1644"/>
            <w:vAlign w:val="center"/>
          </w:tcPr>
          <w:p>
            <w:pPr>
              <w:bidi w:val="1"/>
              <w:jc w:val="right"/>
            </w:pPr>
            <w:r>
              <w:rPr>
                <w:rFonts w:cs="Arial"/>
                <w:color w:val="262626"/>
                <w:sz w:val="14"/>
                <w:rtl w:val="1"/>
              </w:rPr>
              <w:t>إدارة تقنية المعلومات</w:t>
            </w:r>
          </w:p>
        </w:tc>
        <w:tc>
          <w:tcPr>
            <w:tcW w:type="dxa" w:w="1417"/>
            <w:vAlign w:val="center"/>
          </w:tcPr>
          <w:p>
            <w:pPr>
              <w:bidi w:val="1"/>
              <w:jc w:val="center"/>
            </w:pPr>
            <w:r>
              <w:rPr>
                <w:rFonts w:cs="Arial"/>
                <w:b/>
                <w:color w:val="1F6F43"/>
                <w:sz w:val="14"/>
                <w:rtl w:val="1"/>
              </w:rPr>
              <w:t>مُجرَّد</w:t>
            </w:r>
          </w:p>
        </w:tc>
        <w:tc>
          <w:tcPr>
            <w:tcW w:type="dxa" w:w="1361"/>
            <w:vAlign w:val="center"/>
          </w:tcPr>
          <w:p>
            <w:pPr>
              <w:bidi w:val="1"/>
              <w:jc w:val="right"/>
            </w:pPr>
            <w:r>
              <w:rPr>
                <w:rFonts w:cs="Arial"/>
                <w:color w:val="262626"/>
                <w:sz w:val="14"/>
                <w:rtl w:val="1"/>
              </w:rPr>
              <w:t>مقيّد</w:t>
            </w:r>
          </w:p>
        </w:tc>
      </w:tr>
      <w:tr>
        <w:trPr>
          <w:cantSplit/>
        </w:trPr>
        <w:tc>
          <w:tcPr>
            <w:tcW w:type="dxa" w:w="454"/>
            <w:vAlign w:val="center"/>
            <w:shd w:fill="F2F2F2"/>
          </w:tcPr>
          <w:p>
            <w:pPr>
              <w:bidi w:val="1"/>
              <w:jc w:val="right"/>
            </w:pPr>
            <w:r>
              <w:rPr>
                <w:rFonts w:cs="Arial"/>
                <w:b/>
                <w:color w:val="1F2A44"/>
                <w:sz w:val="14"/>
                <w:rtl w:val="1"/>
              </w:rPr>
              <w:t>17</w:t>
            </w:r>
          </w:p>
        </w:tc>
        <w:tc>
          <w:tcPr>
            <w:tcW w:type="dxa" w:w="2608"/>
            <w:vAlign w:val="center"/>
            <w:shd w:fill="F2F2F2"/>
          </w:tcPr>
          <w:p>
            <w:pPr>
              <w:bidi w:val="1"/>
              <w:jc w:val="right"/>
            </w:pPr>
            <w:r>
              <w:rPr>
                <w:rFonts w:cs="Arial"/>
                <w:color w:val="262626"/>
                <w:sz w:val="14"/>
                <w:rtl w:val="1"/>
              </w:rPr>
              <w:t>بيانات المحتوى الرقمي والموقع الإلكتروني</w:t>
            </w:r>
          </w:p>
        </w:tc>
        <w:tc>
          <w:tcPr>
            <w:tcW w:type="dxa" w:w="1247"/>
            <w:vAlign w:val="center"/>
            <w:shd w:fill="F2F2F2"/>
          </w:tcPr>
          <w:p>
            <w:pPr>
              <w:bidi w:val="1"/>
              <w:jc w:val="right"/>
            </w:pPr>
            <w:r>
              <w:rPr>
                <w:rFonts w:cs="Arial"/>
                <w:color w:val="262626"/>
                <w:sz w:val="14"/>
                <w:rtl w:val="1"/>
              </w:rPr>
              <w:t>مجموعة بيانات</w:t>
            </w:r>
          </w:p>
        </w:tc>
        <w:tc>
          <w:tcPr>
            <w:tcW w:type="dxa" w:w="1644"/>
            <w:vAlign w:val="center"/>
            <w:shd w:fill="F2F2F2"/>
          </w:tcPr>
          <w:p>
            <w:pPr>
              <w:bidi w:val="1"/>
              <w:jc w:val="right"/>
            </w:pPr>
            <w:r>
              <w:rPr>
                <w:rFonts w:cs="Arial"/>
                <w:color w:val="262626"/>
                <w:sz w:val="14"/>
                <w:rtl w:val="1"/>
              </w:rPr>
              <w:t>إدارة الاتصال والعلاقات العامة</w:t>
            </w:r>
          </w:p>
        </w:tc>
        <w:tc>
          <w:tcPr>
            <w:tcW w:type="dxa" w:w="1417"/>
            <w:vAlign w:val="center"/>
            <w:shd w:fill="F2F2F2"/>
          </w:tcPr>
          <w:p>
            <w:pPr>
              <w:bidi w:val="1"/>
              <w:jc w:val="center"/>
            </w:pPr>
            <w:r>
              <w:rPr>
                <w:rFonts w:cs="Arial"/>
                <w:b/>
                <w:color w:val="1F6F43"/>
                <w:sz w:val="14"/>
                <w:rtl w:val="1"/>
              </w:rPr>
              <w:t>مُجرَّد</w:t>
            </w:r>
          </w:p>
        </w:tc>
        <w:tc>
          <w:tcPr>
            <w:tcW w:type="dxa" w:w="1361"/>
            <w:vAlign w:val="center"/>
            <w:shd w:fill="F2F2F2"/>
          </w:tcPr>
          <w:p>
            <w:pPr>
              <w:bidi w:val="1"/>
              <w:jc w:val="right"/>
            </w:pPr>
            <w:r>
              <w:rPr>
                <w:rFonts w:cs="Arial"/>
                <w:color w:val="262626"/>
                <w:sz w:val="14"/>
                <w:rtl w:val="1"/>
              </w:rPr>
              <w:t>عام</w:t>
            </w:r>
          </w:p>
        </w:tc>
      </w:tr>
      <w:tr>
        <w:trPr>
          <w:cantSplit/>
        </w:trPr>
        <w:tc>
          <w:tcPr>
            <w:tcW w:type="dxa" w:w="454"/>
            <w:vAlign w:val="center"/>
          </w:tcPr>
          <w:p>
            <w:pPr>
              <w:bidi w:val="1"/>
              <w:jc w:val="right"/>
            </w:pPr>
            <w:r>
              <w:rPr>
                <w:rFonts w:cs="Arial"/>
                <w:b/>
                <w:color w:val="1F2A44"/>
                <w:sz w:val="14"/>
                <w:rtl w:val="1"/>
              </w:rPr>
              <w:t>18</w:t>
            </w:r>
          </w:p>
        </w:tc>
        <w:tc>
          <w:tcPr>
            <w:tcW w:type="dxa" w:w="2608"/>
            <w:vAlign w:val="center"/>
          </w:tcPr>
          <w:p>
            <w:pPr>
              <w:bidi w:val="1"/>
              <w:jc w:val="right"/>
            </w:pPr>
            <w:r>
              <w:rPr>
                <w:rFonts w:cs="Arial"/>
                <w:color w:val="262626"/>
                <w:sz w:val="14"/>
                <w:rtl w:val="1"/>
              </w:rPr>
              <w:t>بيانات التقارير والإحصاءات المنشورة</w:t>
            </w:r>
          </w:p>
        </w:tc>
        <w:tc>
          <w:tcPr>
            <w:tcW w:type="dxa" w:w="1247"/>
            <w:vAlign w:val="center"/>
          </w:tcPr>
          <w:p>
            <w:pPr>
              <w:bidi w:val="1"/>
              <w:jc w:val="right"/>
            </w:pPr>
            <w:r>
              <w:rPr>
                <w:rFonts w:cs="Arial"/>
                <w:color w:val="262626"/>
                <w:sz w:val="14"/>
                <w:rtl w:val="1"/>
              </w:rPr>
              <w:t>مجموعة بيانات</w:t>
            </w:r>
          </w:p>
        </w:tc>
        <w:tc>
          <w:tcPr>
            <w:tcW w:type="dxa" w:w="1644"/>
            <w:vAlign w:val="center"/>
          </w:tcPr>
          <w:p>
            <w:pPr>
              <w:bidi w:val="1"/>
              <w:jc w:val="right"/>
            </w:pPr>
            <w:r>
              <w:rPr>
                <w:rFonts w:cs="Arial"/>
                <w:color w:val="262626"/>
                <w:sz w:val="14"/>
                <w:rtl w:val="1"/>
              </w:rPr>
              <w:t>مكتب إدارة البيانات</w:t>
            </w:r>
          </w:p>
        </w:tc>
        <w:tc>
          <w:tcPr>
            <w:tcW w:type="dxa" w:w="1417"/>
            <w:vAlign w:val="center"/>
          </w:tcPr>
          <w:p>
            <w:pPr>
              <w:bidi w:val="1"/>
              <w:jc w:val="center"/>
            </w:pPr>
            <w:r>
              <w:rPr>
                <w:rFonts w:cs="Arial"/>
                <w:b/>
                <w:color w:val="1F6F43"/>
                <w:sz w:val="14"/>
                <w:rtl w:val="1"/>
              </w:rPr>
              <w:t>مُجرَّد</w:t>
            </w:r>
          </w:p>
        </w:tc>
        <w:tc>
          <w:tcPr>
            <w:tcW w:type="dxa" w:w="1361"/>
            <w:vAlign w:val="center"/>
          </w:tcPr>
          <w:p>
            <w:pPr>
              <w:bidi w:val="1"/>
              <w:jc w:val="right"/>
            </w:pPr>
            <w:r>
              <w:rPr>
                <w:rFonts w:cs="Arial"/>
                <w:color w:val="262626"/>
                <w:sz w:val="14"/>
                <w:rtl w:val="1"/>
              </w:rPr>
              <w:t>عام</w:t>
            </w:r>
          </w:p>
        </w:tc>
      </w:tr>
      <w:tr>
        <w:trPr>
          <w:cantSplit/>
        </w:trPr>
        <w:tc>
          <w:tcPr>
            <w:tcW w:type="dxa" w:w="454"/>
            <w:vAlign w:val="center"/>
            <w:shd w:fill="F2F2F2"/>
          </w:tcPr>
          <w:p>
            <w:pPr>
              <w:bidi w:val="1"/>
              <w:jc w:val="right"/>
            </w:pPr>
            <w:r>
              <w:rPr>
                <w:rFonts w:cs="Arial"/>
                <w:b/>
                <w:color w:val="1F2A44"/>
                <w:sz w:val="14"/>
                <w:rtl w:val="1"/>
              </w:rPr>
              <w:t>19</w:t>
            </w:r>
          </w:p>
        </w:tc>
        <w:tc>
          <w:tcPr>
            <w:tcW w:type="dxa" w:w="2608"/>
            <w:vAlign w:val="center"/>
            <w:shd w:fill="F2F2F2"/>
          </w:tcPr>
          <w:p>
            <w:pPr>
              <w:bidi w:val="1"/>
              <w:jc w:val="right"/>
            </w:pPr>
            <w:r>
              <w:rPr>
                <w:rFonts w:cs="Arial"/>
                <w:color w:val="262626"/>
                <w:sz w:val="14"/>
                <w:rtl w:val="1"/>
              </w:rPr>
              <w:t>سجلات العقود والاتفاقيات</w:t>
            </w:r>
          </w:p>
        </w:tc>
        <w:tc>
          <w:tcPr>
            <w:tcW w:type="dxa" w:w="1247"/>
            <w:vAlign w:val="center"/>
            <w:shd w:fill="F2F2F2"/>
          </w:tcPr>
          <w:p>
            <w:pPr>
              <w:bidi w:val="1"/>
              <w:jc w:val="right"/>
            </w:pPr>
            <w:r>
              <w:rPr>
                <w:rFonts w:cs="Arial"/>
                <w:color w:val="262626"/>
                <w:sz w:val="14"/>
                <w:rtl w:val="1"/>
              </w:rPr>
              <w:t>سجل</w:t>
            </w:r>
          </w:p>
        </w:tc>
        <w:tc>
          <w:tcPr>
            <w:tcW w:type="dxa" w:w="1644"/>
            <w:vAlign w:val="center"/>
            <w:shd w:fill="F2F2F2"/>
          </w:tcPr>
          <w:p>
            <w:pPr>
              <w:bidi w:val="1"/>
              <w:jc w:val="right"/>
            </w:pPr>
            <w:r>
              <w:rPr>
                <w:rFonts w:cs="Arial"/>
                <w:color w:val="262626"/>
                <w:sz w:val="14"/>
                <w:rtl w:val="1"/>
              </w:rPr>
              <w:t>إدارة الشؤون القانونية</w:t>
            </w:r>
          </w:p>
        </w:tc>
        <w:tc>
          <w:tcPr>
            <w:tcW w:type="dxa" w:w="1417"/>
            <w:vAlign w:val="center"/>
            <w:shd w:fill="F2F2F2"/>
          </w:tcPr>
          <w:p>
            <w:pPr>
              <w:bidi w:val="1"/>
              <w:jc w:val="center"/>
            </w:pPr>
            <w:r>
              <w:rPr>
                <w:rFonts w:cs="Arial"/>
                <w:b/>
                <w:color w:val="1F6F43"/>
                <w:sz w:val="14"/>
                <w:rtl w:val="1"/>
              </w:rPr>
              <w:t>مُجرَّد</w:t>
            </w:r>
          </w:p>
        </w:tc>
        <w:tc>
          <w:tcPr>
            <w:tcW w:type="dxa" w:w="1361"/>
            <w:vAlign w:val="center"/>
            <w:shd w:fill="F2F2F2"/>
          </w:tcPr>
          <w:p>
            <w:pPr>
              <w:bidi w:val="1"/>
              <w:jc w:val="right"/>
            </w:pPr>
            <w:r>
              <w:rPr>
                <w:rFonts w:cs="Arial"/>
                <w:color w:val="262626"/>
                <w:sz w:val="14"/>
                <w:rtl w:val="1"/>
              </w:rPr>
              <w:t>سرّي</w:t>
            </w:r>
          </w:p>
        </w:tc>
      </w:tr>
      <w:tr>
        <w:trPr>
          <w:cantSplit/>
        </w:trPr>
        <w:tc>
          <w:tcPr>
            <w:tcW w:type="dxa" w:w="454"/>
            <w:vAlign w:val="center"/>
          </w:tcPr>
          <w:p>
            <w:pPr>
              <w:bidi w:val="1"/>
              <w:jc w:val="right"/>
            </w:pPr>
            <w:r>
              <w:rPr>
                <w:rFonts w:cs="Arial"/>
                <w:b/>
                <w:color w:val="1F2A44"/>
                <w:sz w:val="14"/>
                <w:rtl w:val="1"/>
              </w:rPr>
              <w:t>20</w:t>
            </w:r>
          </w:p>
        </w:tc>
        <w:tc>
          <w:tcPr>
            <w:tcW w:type="dxa" w:w="2608"/>
            <w:vAlign w:val="center"/>
          </w:tcPr>
          <w:p>
            <w:pPr>
              <w:bidi w:val="1"/>
              <w:jc w:val="right"/>
            </w:pPr>
            <w:r>
              <w:rPr>
                <w:rFonts w:cs="Arial"/>
                <w:color w:val="262626"/>
                <w:sz w:val="14"/>
                <w:rtl w:val="1"/>
              </w:rPr>
              <w:t>سجلات التدقيق الداخلي والرقابة</w:t>
            </w:r>
          </w:p>
        </w:tc>
        <w:tc>
          <w:tcPr>
            <w:tcW w:type="dxa" w:w="1247"/>
            <w:vAlign w:val="center"/>
          </w:tcPr>
          <w:p>
            <w:pPr>
              <w:bidi w:val="1"/>
              <w:jc w:val="right"/>
            </w:pPr>
            <w:r>
              <w:rPr>
                <w:rFonts w:cs="Arial"/>
                <w:color w:val="262626"/>
                <w:sz w:val="14"/>
                <w:rtl w:val="1"/>
              </w:rPr>
              <w:t>سجل</w:t>
            </w:r>
          </w:p>
        </w:tc>
        <w:tc>
          <w:tcPr>
            <w:tcW w:type="dxa" w:w="1644"/>
            <w:vAlign w:val="center"/>
          </w:tcPr>
          <w:p>
            <w:pPr>
              <w:bidi w:val="1"/>
              <w:jc w:val="right"/>
            </w:pPr>
            <w:r>
              <w:rPr>
                <w:rFonts w:cs="Arial"/>
                <w:color w:val="262626"/>
                <w:sz w:val="14"/>
                <w:rtl w:val="1"/>
              </w:rPr>
              <w:t>إدارة التدقيق الداخلي</w:t>
            </w:r>
          </w:p>
        </w:tc>
        <w:tc>
          <w:tcPr>
            <w:tcW w:type="dxa" w:w="1417"/>
            <w:vAlign w:val="center"/>
          </w:tcPr>
          <w:p>
            <w:pPr>
              <w:bidi w:val="1"/>
              <w:jc w:val="center"/>
            </w:pPr>
            <w:r>
              <w:rPr>
                <w:rFonts w:cs="Arial"/>
                <w:b/>
                <w:color w:val="1F6F43"/>
                <w:sz w:val="14"/>
                <w:rtl w:val="1"/>
              </w:rPr>
              <w:t>مُجرَّد</w:t>
            </w:r>
          </w:p>
        </w:tc>
        <w:tc>
          <w:tcPr>
            <w:tcW w:type="dxa" w:w="1361"/>
            <w:vAlign w:val="center"/>
          </w:tcPr>
          <w:p>
            <w:pPr>
              <w:bidi w:val="1"/>
              <w:jc w:val="right"/>
            </w:pPr>
            <w:r>
              <w:rPr>
                <w:rFonts w:cs="Arial"/>
                <w:color w:val="262626"/>
                <w:sz w:val="14"/>
                <w:rtl w:val="1"/>
              </w:rPr>
              <w:t>سرّي</w:t>
            </w:r>
          </w:p>
        </w:tc>
      </w:tr>
      <w:tr>
        <w:trPr>
          <w:cantSplit/>
        </w:trPr>
        <w:tc>
          <w:tcPr>
            <w:tcW w:type="dxa" w:w="454"/>
            <w:vAlign w:val="center"/>
            <w:shd w:fill="F2F2F2"/>
          </w:tcPr>
          <w:p>
            <w:pPr>
              <w:bidi w:val="1"/>
              <w:jc w:val="right"/>
            </w:pPr>
            <w:r>
              <w:rPr>
                <w:rFonts w:cs="Arial"/>
                <w:b/>
                <w:color w:val="1F2A44"/>
                <w:sz w:val="14"/>
                <w:rtl w:val="1"/>
              </w:rPr>
              <w:t>21</w:t>
            </w:r>
          </w:p>
        </w:tc>
        <w:tc>
          <w:tcPr>
            <w:tcW w:type="dxa" w:w="2608"/>
            <w:vAlign w:val="center"/>
            <w:shd w:fill="F2F2F2"/>
          </w:tcPr>
          <w:p>
            <w:pPr>
              <w:bidi w:val="1"/>
              <w:jc w:val="right"/>
            </w:pPr>
            <w:r>
              <w:rPr>
                <w:rFonts w:cs="Arial"/>
                <w:color w:val="262626"/>
                <w:sz w:val="14"/>
                <w:rtl w:val="1"/>
              </w:rPr>
              <w:t>سجلات المراسلات والخطابات الرسمية</w:t>
            </w:r>
          </w:p>
        </w:tc>
        <w:tc>
          <w:tcPr>
            <w:tcW w:type="dxa" w:w="1247"/>
            <w:vAlign w:val="center"/>
            <w:shd w:fill="F2F2F2"/>
          </w:tcPr>
          <w:p>
            <w:pPr>
              <w:bidi w:val="1"/>
              <w:jc w:val="right"/>
            </w:pPr>
            <w:r>
              <w:rPr>
                <w:rFonts w:cs="Arial"/>
                <w:color w:val="262626"/>
                <w:sz w:val="14"/>
                <w:rtl w:val="1"/>
              </w:rPr>
              <w:t>سجل</w:t>
            </w:r>
          </w:p>
        </w:tc>
        <w:tc>
          <w:tcPr>
            <w:tcW w:type="dxa" w:w="1644"/>
            <w:vAlign w:val="center"/>
            <w:shd w:fill="F2F2F2"/>
          </w:tcPr>
          <w:p>
            <w:pPr>
              <w:bidi w:val="1"/>
              <w:jc w:val="right"/>
            </w:pPr>
            <w:r>
              <w:rPr>
                <w:rFonts w:cs="Arial"/>
                <w:color w:val="262626"/>
                <w:sz w:val="14"/>
                <w:rtl w:val="1"/>
              </w:rPr>
              <w:t>مكتب المدير العام</w:t>
            </w:r>
          </w:p>
        </w:tc>
        <w:tc>
          <w:tcPr>
            <w:tcW w:type="dxa" w:w="1417"/>
            <w:vAlign w:val="center"/>
            <w:shd w:fill="F2F2F2"/>
          </w:tcPr>
          <w:p>
            <w:pPr>
              <w:bidi w:val="1"/>
              <w:jc w:val="center"/>
            </w:pPr>
            <w:r>
              <w:rPr>
                <w:rFonts w:cs="Arial"/>
                <w:b/>
                <w:color w:val="1F6F43"/>
                <w:sz w:val="14"/>
                <w:rtl w:val="1"/>
              </w:rPr>
              <w:t>مُجرَّد</w:t>
            </w:r>
          </w:p>
        </w:tc>
        <w:tc>
          <w:tcPr>
            <w:tcW w:type="dxa" w:w="1361"/>
            <w:vAlign w:val="center"/>
            <w:shd w:fill="F2F2F2"/>
          </w:tcPr>
          <w:p>
            <w:pPr>
              <w:bidi w:val="1"/>
              <w:jc w:val="right"/>
            </w:pPr>
            <w:r>
              <w:rPr>
                <w:rFonts w:cs="Arial"/>
                <w:color w:val="262626"/>
                <w:sz w:val="14"/>
                <w:rtl w:val="1"/>
              </w:rPr>
              <w:t>مقيّد</w:t>
            </w:r>
          </w:p>
        </w:tc>
      </w:tr>
      <w:tr>
        <w:trPr>
          <w:cantSplit/>
        </w:trPr>
        <w:tc>
          <w:tcPr>
            <w:tcW w:type="dxa" w:w="454"/>
            <w:vAlign w:val="center"/>
          </w:tcPr>
          <w:p>
            <w:pPr>
              <w:bidi w:val="1"/>
              <w:jc w:val="right"/>
            </w:pPr>
            <w:r>
              <w:rPr>
                <w:rFonts w:cs="Arial"/>
                <w:b/>
                <w:color w:val="1F2A44"/>
                <w:sz w:val="14"/>
                <w:rtl w:val="1"/>
              </w:rPr>
              <w:t>22</w:t>
            </w:r>
          </w:p>
        </w:tc>
        <w:tc>
          <w:tcPr>
            <w:tcW w:type="dxa" w:w="2608"/>
            <w:vAlign w:val="center"/>
          </w:tcPr>
          <w:p>
            <w:pPr>
              <w:bidi w:val="1"/>
              <w:jc w:val="right"/>
            </w:pPr>
            <w:r>
              <w:rPr>
                <w:rFonts w:cs="Arial"/>
                <w:color w:val="262626"/>
                <w:sz w:val="14"/>
                <w:rtl w:val="1"/>
              </w:rPr>
              <w:t>سجلات الاجتماعات واللجان الحوكمية</w:t>
            </w:r>
          </w:p>
        </w:tc>
        <w:tc>
          <w:tcPr>
            <w:tcW w:type="dxa" w:w="1247"/>
            <w:vAlign w:val="center"/>
          </w:tcPr>
          <w:p>
            <w:pPr>
              <w:bidi w:val="1"/>
              <w:jc w:val="right"/>
            </w:pPr>
            <w:r>
              <w:rPr>
                <w:rFonts w:cs="Arial"/>
                <w:color w:val="262626"/>
                <w:sz w:val="14"/>
                <w:rtl w:val="1"/>
              </w:rPr>
              <w:t>سجل</w:t>
            </w:r>
          </w:p>
        </w:tc>
        <w:tc>
          <w:tcPr>
            <w:tcW w:type="dxa" w:w="1644"/>
            <w:vAlign w:val="center"/>
          </w:tcPr>
          <w:p>
            <w:pPr>
              <w:bidi w:val="1"/>
              <w:jc w:val="right"/>
            </w:pPr>
            <w:r>
              <w:rPr>
                <w:rFonts w:cs="Arial"/>
                <w:color w:val="262626"/>
                <w:sz w:val="14"/>
                <w:rtl w:val="1"/>
              </w:rPr>
              <w:t>مكتب الحوكمة</w:t>
            </w:r>
          </w:p>
        </w:tc>
        <w:tc>
          <w:tcPr>
            <w:tcW w:type="dxa" w:w="1417"/>
            <w:vAlign w:val="center"/>
          </w:tcPr>
          <w:p>
            <w:pPr>
              <w:bidi w:val="1"/>
              <w:jc w:val="center"/>
            </w:pPr>
            <w:r>
              <w:rPr>
                <w:rFonts w:cs="Arial"/>
                <w:b/>
                <w:color w:val="1F6F43"/>
                <w:sz w:val="14"/>
                <w:rtl w:val="1"/>
              </w:rPr>
              <w:t>مُجرَّد</w:t>
            </w:r>
          </w:p>
        </w:tc>
        <w:tc>
          <w:tcPr>
            <w:tcW w:type="dxa" w:w="1361"/>
            <w:vAlign w:val="center"/>
          </w:tcPr>
          <w:p>
            <w:pPr>
              <w:bidi w:val="1"/>
              <w:jc w:val="right"/>
            </w:pPr>
            <w:r>
              <w:rPr>
                <w:rFonts w:cs="Arial"/>
                <w:color w:val="262626"/>
                <w:sz w:val="14"/>
                <w:rtl w:val="1"/>
              </w:rPr>
              <w:t>مقيّد</w:t>
            </w:r>
          </w:p>
        </w:tc>
      </w:tr>
      <w:tr>
        <w:trPr>
          <w:cantSplit/>
        </w:trPr>
        <w:tc>
          <w:tcPr>
            <w:tcW w:type="dxa" w:w="454"/>
            <w:vAlign w:val="center"/>
            <w:shd w:fill="F2F2F2"/>
          </w:tcPr>
          <w:p>
            <w:pPr>
              <w:bidi w:val="1"/>
              <w:jc w:val="right"/>
            </w:pPr>
            <w:r>
              <w:rPr>
                <w:rFonts w:cs="Arial"/>
                <w:b/>
                <w:color w:val="1F2A44"/>
                <w:sz w:val="14"/>
                <w:rtl w:val="1"/>
              </w:rPr>
              <w:t>23</w:t>
            </w:r>
          </w:p>
        </w:tc>
        <w:tc>
          <w:tcPr>
            <w:tcW w:type="dxa" w:w="2608"/>
            <w:vAlign w:val="center"/>
            <w:shd w:fill="F2F2F2"/>
          </w:tcPr>
          <w:p>
            <w:pPr>
              <w:bidi w:val="1"/>
              <w:jc w:val="right"/>
            </w:pPr>
            <w:r>
              <w:rPr>
                <w:rFonts w:cs="Arial"/>
                <w:color w:val="262626"/>
                <w:sz w:val="14"/>
                <w:rtl w:val="1"/>
              </w:rPr>
              <w:t>سجلات التقارير الإدارية الدورية</w:t>
            </w:r>
          </w:p>
        </w:tc>
        <w:tc>
          <w:tcPr>
            <w:tcW w:type="dxa" w:w="1247"/>
            <w:vAlign w:val="center"/>
            <w:shd w:fill="F2F2F2"/>
          </w:tcPr>
          <w:p>
            <w:pPr>
              <w:bidi w:val="1"/>
              <w:jc w:val="right"/>
            </w:pPr>
            <w:r>
              <w:rPr>
                <w:rFonts w:cs="Arial"/>
                <w:color w:val="262626"/>
                <w:sz w:val="14"/>
                <w:rtl w:val="1"/>
              </w:rPr>
              <w:t>سجل</w:t>
            </w:r>
          </w:p>
        </w:tc>
        <w:tc>
          <w:tcPr>
            <w:tcW w:type="dxa" w:w="1644"/>
            <w:vAlign w:val="center"/>
            <w:shd w:fill="F2F2F2"/>
          </w:tcPr>
          <w:p>
            <w:pPr>
              <w:bidi w:val="1"/>
              <w:jc w:val="right"/>
            </w:pPr>
            <w:r>
              <w:rPr>
                <w:rFonts w:cs="Arial"/>
                <w:color w:val="262626"/>
                <w:sz w:val="14"/>
                <w:rtl w:val="1"/>
              </w:rPr>
              <w:t>مكتب إدارة البيانات</w:t>
            </w:r>
          </w:p>
        </w:tc>
        <w:tc>
          <w:tcPr>
            <w:tcW w:type="dxa" w:w="1417"/>
            <w:vAlign w:val="center"/>
            <w:shd w:fill="F2F2F2"/>
          </w:tcPr>
          <w:p>
            <w:pPr>
              <w:bidi w:val="1"/>
              <w:jc w:val="center"/>
            </w:pPr>
            <w:r>
              <w:rPr>
                <w:rFonts w:cs="Arial"/>
                <w:b/>
                <w:color w:val="1F6F43"/>
                <w:sz w:val="14"/>
                <w:rtl w:val="1"/>
              </w:rPr>
              <w:t>مُجرَّد</w:t>
            </w:r>
          </w:p>
        </w:tc>
        <w:tc>
          <w:tcPr>
            <w:tcW w:type="dxa" w:w="1361"/>
            <w:vAlign w:val="center"/>
            <w:shd w:fill="F2F2F2"/>
          </w:tcPr>
          <w:p>
            <w:pPr>
              <w:bidi w:val="1"/>
              <w:jc w:val="right"/>
            </w:pPr>
            <w:r>
              <w:rPr>
                <w:rFonts w:cs="Arial"/>
                <w:color w:val="262626"/>
                <w:sz w:val="14"/>
                <w:rtl w:val="1"/>
              </w:rPr>
              <w:t>مقيّد</w:t>
            </w:r>
          </w:p>
        </w:tc>
      </w:tr>
      <w:tr>
        <w:trPr>
          <w:cantSplit/>
        </w:trPr>
        <w:tc>
          <w:tcPr>
            <w:tcW w:type="dxa" w:w="454"/>
            <w:vAlign w:val="center"/>
          </w:tcPr>
          <w:p>
            <w:pPr>
              <w:bidi w:val="1"/>
              <w:jc w:val="right"/>
            </w:pPr>
            <w:r>
              <w:rPr>
                <w:rFonts w:cs="Arial"/>
                <w:b/>
                <w:color w:val="1F2A44"/>
                <w:sz w:val="14"/>
                <w:rtl w:val="1"/>
              </w:rPr>
              <w:t>24</w:t>
            </w:r>
          </w:p>
        </w:tc>
        <w:tc>
          <w:tcPr>
            <w:tcW w:type="dxa" w:w="2608"/>
            <w:vAlign w:val="center"/>
          </w:tcPr>
          <w:p>
            <w:pPr>
              <w:bidi w:val="1"/>
              <w:jc w:val="right"/>
            </w:pPr>
            <w:r>
              <w:rPr>
                <w:rFonts w:cs="Arial"/>
                <w:color w:val="262626"/>
                <w:sz w:val="14"/>
                <w:rtl w:val="1"/>
              </w:rPr>
              <w:t>سجلات فعاليات الهيئة وأحداثها</w:t>
            </w:r>
          </w:p>
        </w:tc>
        <w:tc>
          <w:tcPr>
            <w:tcW w:type="dxa" w:w="1247"/>
            <w:vAlign w:val="center"/>
          </w:tcPr>
          <w:p>
            <w:pPr>
              <w:bidi w:val="1"/>
              <w:jc w:val="right"/>
            </w:pPr>
            <w:r>
              <w:rPr>
                <w:rFonts w:cs="Arial"/>
                <w:color w:val="262626"/>
                <w:sz w:val="14"/>
                <w:rtl w:val="1"/>
              </w:rPr>
              <w:t>سجل</w:t>
            </w:r>
          </w:p>
        </w:tc>
        <w:tc>
          <w:tcPr>
            <w:tcW w:type="dxa" w:w="1644"/>
            <w:vAlign w:val="center"/>
          </w:tcPr>
          <w:p>
            <w:pPr>
              <w:bidi w:val="1"/>
              <w:jc w:val="right"/>
            </w:pPr>
            <w:r>
              <w:rPr>
                <w:rFonts w:cs="Arial"/>
                <w:color w:val="262626"/>
                <w:sz w:val="14"/>
                <w:rtl w:val="1"/>
              </w:rPr>
              <w:t>إدارة الاتصال والعلاقات العامة</w:t>
            </w:r>
          </w:p>
        </w:tc>
        <w:tc>
          <w:tcPr>
            <w:tcW w:type="dxa" w:w="1417"/>
            <w:vAlign w:val="center"/>
          </w:tcPr>
          <w:p>
            <w:pPr>
              <w:bidi w:val="1"/>
              <w:jc w:val="center"/>
            </w:pPr>
            <w:r>
              <w:rPr>
                <w:rFonts w:cs="Arial"/>
                <w:b/>
                <w:color w:val="1F6F43"/>
                <w:sz w:val="14"/>
                <w:rtl w:val="1"/>
              </w:rPr>
              <w:t>مُجرَّد</w:t>
            </w:r>
          </w:p>
        </w:tc>
        <w:tc>
          <w:tcPr>
            <w:tcW w:type="dxa" w:w="1361"/>
            <w:vAlign w:val="center"/>
          </w:tcPr>
          <w:p>
            <w:pPr>
              <w:bidi w:val="1"/>
              <w:jc w:val="right"/>
            </w:pPr>
            <w:r>
              <w:rPr>
                <w:rFonts w:cs="Arial"/>
                <w:color w:val="262626"/>
                <w:sz w:val="14"/>
                <w:rtl w:val="1"/>
              </w:rPr>
              <w:t>عام</w:t>
            </w:r>
          </w:p>
        </w:tc>
      </w:tr>
      <w:tr>
        <w:trPr>
          <w:cantSplit/>
        </w:trPr>
        <w:tc>
          <w:tcPr>
            <w:tcW w:type="dxa" w:w="454"/>
            <w:vAlign w:val="center"/>
            <w:shd w:fill="F2F2F2"/>
          </w:tcPr>
          <w:p>
            <w:pPr>
              <w:bidi w:val="1"/>
              <w:jc w:val="right"/>
            </w:pPr>
            <w:r>
              <w:rPr>
                <w:rFonts w:cs="Arial"/>
                <w:b/>
                <w:color w:val="1F2A44"/>
                <w:sz w:val="14"/>
                <w:rtl w:val="1"/>
              </w:rPr>
              <w:t>25</w:t>
            </w:r>
          </w:p>
        </w:tc>
        <w:tc>
          <w:tcPr>
            <w:tcW w:type="dxa" w:w="2608"/>
            <w:vAlign w:val="center"/>
            <w:shd w:fill="F2F2F2"/>
          </w:tcPr>
          <w:p>
            <w:pPr>
              <w:bidi w:val="1"/>
              <w:jc w:val="right"/>
            </w:pPr>
            <w:r>
              <w:rPr>
                <w:rFonts w:cs="Arial"/>
                <w:color w:val="262626"/>
                <w:sz w:val="14"/>
                <w:rtl w:val="1"/>
              </w:rPr>
              <w:t>سجلات الشكاوى والمقترحات</w:t>
            </w:r>
          </w:p>
        </w:tc>
        <w:tc>
          <w:tcPr>
            <w:tcW w:type="dxa" w:w="1247"/>
            <w:vAlign w:val="center"/>
            <w:shd w:fill="F2F2F2"/>
          </w:tcPr>
          <w:p>
            <w:pPr>
              <w:bidi w:val="1"/>
              <w:jc w:val="right"/>
            </w:pPr>
            <w:r>
              <w:rPr>
                <w:rFonts w:cs="Arial"/>
                <w:color w:val="262626"/>
                <w:sz w:val="14"/>
                <w:rtl w:val="1"/>
              </w:rPr>
              <w:t>سجل</w:t>
            </w:r>
          </w:p>
        </w:tc>
        <w:tc>
          <w:tcPr>
            <w:tcW w:type="dxa" w:w="1644"/>
            <w:vAlign w:val="center"/>
            <w:shd w:fill="F2F2F2"/>
          </w:tcPr>
          <w:p>
            <w:pPr>
              <w:bidi w:val="1"/>
              <w:jc w:val="right"/>
            </w:pPr>
            <w:r>
              <w:rPr>
                <w:rFonts w:cs="Arial"/>
                <w:color w:val="262626"/>
                <w:sz w:val="14"/>
                <w:rtl w:val="1"/>
              </w:rPr>
              <w:t>إدارة الخدمات الرقمية</w:t>
            </w:r>
          </w:p>
        </w:tc>
        <w:tc>
          <w:tcPr>
            <w:tcW w:type="dxa" w:w="1417"/>
            <w:vAlign w:val="center"/>
            <w:shd w:fill="F2F2F2"/>
          </w:tcPr>
          <w:p>
            <w:pPr>
              <w:bidi w:val="1"/>
              <w:jc w:val="center"/>
            </w:pPr>
            <w:r>
              <w:rPr>
                <w:rFonts w:cs="Arial"/>
                <w:b/>
                <w:color w:val="1F6F43"/>
                <w:sz w:val="14"/>
                <w:rtl w:val="1"/>
              </w:rPr>
              <w:t>مُجرَّد</w:t>
            </w:r>
          </w:p>
        </w:tc>
        <w:tc>
          <w:tcPr>
            <w:tcW w:type="dxa" w:w="1361"/>
            <w:vAlign w:val="center"/>
            <w:shd w:fill="F2F2F2"/>
          </w:tcPr>
          <w:p>
            <w:pPr>
              <w:bidi w:val="1"/>
              <w:jc w:val="right"/>
            </w:pPr>
            <w:r>
              <w:rPr>
                <w:rFonts w:cs="Arial"/>
                <w:color w:val="262626"/>
                <w:sz w:val="14"/>
                <w:rtl w:val="1"/>
              </w:rPr>
              <w:t>مقيّد</w:t>
            </w:r>
          </w:p>
        </w:tc>
      </w:tr>
      <w:tr>
        <w:trPr>
          <w:cantSplit/>
        </w:trPr>
        <w:tc>
          <w:tcPr>
            <w:tcW w:type="dxa" w:w="454"/>
            <w:vAlign w:val="center"/>
          </w:tcPr>
          <w:p>
            <w:pPr>
              <w:bidi w:val="1"/>
              <w:jc w:val="right"/>
            </w:pPr>
            <w:r>
              <w:rPr>
                <w:rFonts w:cs="Arial"/>
                <w:b/>
                <w:color w:val="1F2A44"/>
                <w:sz w:val="14"/>
                <w:rtl w:val="1"/>
              </w:rPr>
              <w:t>26</w:t>
            </w:r>
          </w:p>
        </w:tc>
        <w:tc>
          <w:tcPr>
            <w:tcW w:type="dxa" w:w="2608"/>
            <w:vAlign w:val="center"/>
          </w:tcPr>
          <w:p>
            <w:pPr>
              <w:bidi w:val="1"/>
              <w:jc w:val="right"/>
            </w:pPr>
            <w:r>
              <w:rPr>
                <w:rFonts w:cs="Arial"/>
                <w:color w:val="262626"/>
                <w:sz w:val="14"/>
                <w:rtl w:val="1"/>
              </w:rPr>
              <w:t>سجلات قرارات وتوجيهات الإدارة العليا</w:t>
            </w:r>
          </w:p>
        </w:tc>
        <w:tc>
          <w:tcPr>
            <w:tcW w:type="dxa" w:w="1247"/>
            <w:vAlign w:val="center"/>
          </w:tcPr>
          <w:p>
            <w:pPr>
              <w:bidi w:val="1"/>
              <w:jc w:val="right"/>
            </w:pPr>
            <w:r>
              <w:rPr>
                <w:rFonts w:cs="Arial"/>
                <w:color w:val="262626"/>
                <w:sz w:val="14"/>
                <w:rtl w:val="1"/>
              </w:rPr>
              <w:t>سجل</w:t>
            </w:r>
          </w:p>
        </w:tc>
        <w:tc>
          <w:tcPr>
            <w:tcW w:type="dxa" w:w="1644"/>
            <w:vAlign w:val="center"/>
          </w:tcPr>
          <w:p>
            <w:pPr>
              <w:bidi w:val="1"/>
              <w:jc w:val="right"/>
            </w:pPr>
            <w:r>
              <w:rPr>
                <w:rFonts w:cs="Arial"/>
                <w:color w:val="262626"/>
                <w:sz w:val="14"/>
                <w:rtl w:val="1"/>
              </w:rPr>
              <w:t>مكتب المدير العام</w:t>
            </w:r>
          </w:p>
        </w:tc>
        <w:tc>
          <w:tcPr>
            <w:tcW w:type="dxa" w:w="1417"/>
            <w:vAlign w:val="center"/>
          </w:tcPr>
          <w:p>
            <w:pPr>
              <w:bidi w:val="1"/>
              <w:jc w:val="center"/>
            </w:pPr>
            <w:r>
              <w:rPr>
                <w:rFonts w:cs="Arial"/>
                <w:b/>
                <w:color w:val="1F6F43"/>
                <w:sz w:val="14"/>
                <w:rtl w:val="1"/>
              </w:rPr>
              <w:t>مُجرَّد</w:t>
            </w:r>
          </w:p>
        </w:tc>
        <w:tc>
          <w:tcPr>
            <w:tcW w:type="dxa" w:w="1361"/>
            <w:vAlign w:val="center"/>
          </w:tcPr>
          <w:p>
            <w:pPr>
              <w:bidi w:val="1"/>
              <w:jc w:val="right"/>
            </w:pPr>
            <w:r>
              <w:rPr>
                <w:rFonts w:cs="Arial"/>
                <w:color w:val="262626"/>
                <w:sz w:val="14"/>
                <w:rtl w:val="1"/>
              </w:rPr>
              <w:t>سرّي</w:t>
            </w:r>
          </w:p>
        </w:tc>
      </w:tr>
      <w:tr>
        <w:trPr>
          <w:cantSplit/>
        </w:trPr>
        <w:tc>
          <w:tcPr>
            <w:tcW w:type="dxa" w:w="454"/>
            <w:vAlign w:val="center"/>
            <w:shd w:fill="F2F2F2"/>
          </w:tcPr>
          <w:p>
            <w:pPr>
              <w:bidi w:val="1"/>
              <w:jc w:val="right"/>
            </w:pPr>
            <w:r>
              <w:rPr>
                <w:rFonts w:cs="Arial"/>
                <w:b/>
                <w:color w:val="1F2A44"/>
                <w:sz w:val="14"/>
                <w:rtl w:val="1"/>
              </w:rPr>
              <w:t>27</w:t>
            </w:r>
          </w:p>
        </w:tc>
        <w:tc>
          <w:tcPr>
            <w:tcW w:type="dxa" w:w="2608"/>
            <w:vAlign w:val="center"/>
            <w:shd w:fill="F2F2F2"/>
          </w:tcPr>
          <w:p>
            <w:pPr>
              <w:bidi w:val="1"/>
              <w:jc w:val="right"/>
            </w:pPr>
            <w:r>
              <w:rPr>
                <w:rFonts w:cs="Arial"/>
                <w:color w:val="262626"/>
                <w:sz w:val="14"/>
                <w:rtl w:val="1"/>
              </w:rPr>
              <w:t>سجلات التراخيص والتصاريح القانونية</w:t>
            </w:r>
          </w:p>
        </w:tc>
        <w:tc>
          <w:tcPr>
            <w:tcW w:type="dxa" w:w="1247"/>
            <w:vAlign w:val="center"/>
            <w:shd w:fill="F2F2F2"/>
          </w:tcPr>
          <w:p>
            <w:pPr>
              <w:bidi w:val="1"/>
              <w:jc w:val="right"/>
            </w:pPr>
            <w:r>
              <w:rPr>
                <w:rFonts w:cs="Arial"/>
                <w:color w:val="262626"/>
                <w:sz w:val="14"/>
                <w:rtl w:val="1"/>
              </w:rPr>
              <w:t>سجل</w:t>
            </w:r>
          </w:p>
        </w:tc>
        <w:tc>
          <w:tcPr>
            <w:tcW w:type="dxa" w:w="1644"/>
            <w:vAlign w:val="center"/>
            <w:shd w:fill="F2F2F2"/>
          </w:tcPr>
          <w:p>
            <w:pPr>
              <w:bidi w:val="1"/>
              <w:jc w:val="right"/>
            </w:pPr>
            <w:r>
              <w:rPr>
                <w:rFonts w:cs="Arial"/>
                <w:color w:val="262626"/>
                <w:sz w:val="14"/>
                <w:rtl w:val="1"/>
              </w:rPr>
              <w:t>إدارة الشؤون القانونية</w:t>
            </w:r>
          </w:p>
        </w:tc>
        <w:tc>
          <w:tcPr>
            <w:tcW w:type="dxa" w:w="1417"/>
            <w:vAlign w:val="center"/>
            <w:shd w:fill="F2F2F2"/>
          </w:tcPr>
          <w:p>
            <w:pPr>
              <w:bidi w:val="1"/>
              <w:jc w:val="center"/>
            </w:pPr>
            <w:r>
              <w:rPr>
                <w:rFonts w:cs="Arial"/>
                <w:b/>
                <w:color w:val="1F6F43"/>
                <w:sz w:val="14"/>
                <w:rtl w:val="1"/>
              </w:rPr>
              <w:t>مُجرَّد</w:t>
            </w:r>
          </w:p>
        </w:tc>
        <w:tc>
          <w:tcPr>
            <w:tcW w:type="dxa" w:w="1361"/>
            <w:vAlign w:val="center"/>
            <w:shd w:fill="F2F2F2"/>
          </w:tcPr>
          <w:p>
            <w:pPr>
              <w:bidi w:val="1"/>
              <w:jc w:val="right"/>
            </w:pPr>
            <w:r>
              <w:rPr>
                <w:rFonts w:cs="Arial"/>
                <w:color w:val="262626"/>
                <w:sz w:val="14"/>
                <w:rtl w:val="1"/>
              </w:rPr>
              <w:t>مقيّد</w:t>
            </w:r>
          </w:p>
        </w:tc>
      </w:tr>
      <w:tr>
        <w:trPr>
          <w:cantSplit/>
        </w:trPr>
        <w:tc>
          <w:tcPr>
            <w:tcW w:type="dxa" w:w="454"/>
            <w:vAlign w:val="center"/>
          </w:tcPr>
          <w:p>
            <w:pPr>
              <w:bidi w:val="1"/>
              <w:jc w:val="right"/>
            </w:pPr>
            <w:r>
              <w:rPr>
                <w:rFonts w:cs="Arial"/>
                <w:b/>
                <w:color w:val="1F2A44"/>
                <w:sz w:val="14"/>
                <w:rtl w:val="1"/>
              </w:rPr>
              <w:t>28</w:t>
            </w:r>
          </w:p>
        </w:tc>
        <w:tc>
          <w:tcPr>
            <w:tcW w:type="dxa" w:w="2608"/>
            <w:vAlign w:val="center"/>
          </w:tcPr>
          <w:p>
            <w:pPr>
              <w:bidi w:val="1"/>
              <w:jc w:val="right"/>
            </w:pPr>
            <w:r>
              <w:rPr>
                <w:rFonts w:cs="Arial"/>
                <w:color w:val="262626"/>
                <w:sz w:val="14"/>
                <w:rtl w:val="1"/>
              </w:rPr>
              <w:t>سجلات النسخ الاحتياطي واسترجاع البيانات</w:t>
            </w:r>
          </w:p>
        </w:tc>
        <w:tc>
          <w:tcPr>
            <w:tcW w:type="dxa" w:w="1247"/>
            <w:vAlign w:val="center"/>
          </w:tcPr>
          <w:p>
            <w:pPr>
              <w:bidi w:val="1"/>
              <w:jc w:val="right"/>
            </w:pPr>
            <w:r>
              <w:rPr>
                <w:rFonts w:cs="Arial"/>
                <w:color w:val="262626"/>
                <w:sz w:val="14"/>
                <w:rtl w:val="1"/>
              </w:rPr>
              <w:t>سجل</w:t>
            </w:r>
          </w:p>
        </w:tc>
        <w:tc>
          <w:tcPr>
            <w:tcW w:type="dxa" w:w="1644"/>
            <w:vAlign w:val="center"/>
          </w:tcPr>
          <w:p>
            <w:pPr>
              <w:bidi w:val="1"/>
              <w:jc w:val="right"/>
            </w:pPr>
            <w:r>
              <w:rPr>
                <w:rFonts w:cs="Arial"/>
                <w:color w:val="262626"/>
                <w:sz w:val="14"/>
                <w:rtl w:val="1"/>
              </w:rPr>
              <w:t>إدارة تقنية المعلومات</w:t>
            </w:r>
          </w:p>
        </w:tc>
        <w:tc>
          <w:tcPr>
            <w:tcW w:type="dxa" w:w="1417"/>
            <w:vAlign w:val="center"/>
          </w:tcPr>
          <w:p>
            <w:pPr>
              <w:bidi w:val="1"/>
              <w:jc w:val="center"/>
            </w:pPr>
            <w:r>
              <w:rPr>
                <w:rFonts w:cs="Arial"/>
                <w:b/>
                <w:color w:val="1F6F43"/>
                <w:sz w:val="14"/>
                <w:rtl w:val="1"/>
              </w:rPr>
              <w:t>مُجرَّد</w:t>
            </w:r>
          </w:p>
        </w:tc>
        <w:tc>
          <w:tcPr>
            <w:tcW w:type="dxa" w:w="1361"/>
            <w:vAlign w:val="center"/>
          </w:tcPr>
          <w:p>
            <w:pPr>
              <w:bidi w:val="1"/>
              <w:jc w:val="right"/>
            </w:pPr>
            <w:r>
              <w:rPr>
                <w:rFonts w:cs="Arial"/>
                <w:color w:val="262626"/>
                <w:sz w:val="14"/>
                <w:rtl w:val="1"/>
              </w:rPr>
              <w:t>سرّي</w:t>
            </w:r>
          </w:p>
        </w:tc>
      </w:tr>
      <w:tr>
        <w:trPr>
          <w:cantSplit/>
        </w:trPr>
        <w:tc>
          <w:tcPr>
            <w:tcW w:type="dxa" w:w="454"/>
            <w:vAlign w:val="center"/>
            <w:shd w:fill="F2F2F2"/>
          </w:tcPr>
          <w:p>
            <w:pPr>
              <w:bidi w:val="1"/>
              <w:jc w:val="right"/>
            </w:pPr>
            <w:r>
              <w:rPr>
                <w:rFonts w:cs="Arial"/>
                <w:b/>
                <w:color w:val="1F2A44"/>
                <w:sz w:val="14"/>
                <w:rtl w:val="1"/>
              </w:rPr>
              <w:t>29</w:t>
            </w:r>
          </w:p>
        </w:tc>
        <w:tc>
          <w:tcPr>
            <w:tcW w:type="dxa" w:w="2608"/>
            <w:vAlign w:val="center"/>
            <w:shd w:fill="F2F2F2"/>
          </w:tcPr>
          <w:p>
            <w:pPr>
              <w:bidi w:val="1"/>
              <w:jc w:val="right"/>
            </w:pPr>
            <w:r>
              <w:rPr>
                <w:rFonts w:cs="Arial"/>
                <w:color w:val="262626"/>
                <w:sz w:val="14"/>
                <w:rtl w:val="1"/>
              </w:rPr>
              <w:t>وثائق السياسات والإجراءات الداخلية</w:t>
            </w:r>
          </w:p>
        </w:tc>
        <w:tc>
          <w:tcPr>
            <w:tcW w:type="dxa" w:w="1247"/>
            <w:vAlign w:val="center"/>
            <w:shd w:fill="F2F2F2"/>
          </w:tcPr>
          <w:p>
            <w:pPr>
              <w:bidi w:val="1"/>
              <w:jc w:val="right"/>
            </w:pPr>
            <w:r>
              <w:rPr>
                <w:rFonts w:cs="Arial"/>
                <w:color w:val="262626"/>
                <w:sz w:val="14"/>
                <w:rtl w:val="1"/>
              </w:rPr>
              <w:t>سجل</w:t>
            </w:r>
          </w:p>
        </w:tc>
        <w:tc>
          <w:tcPr>
            <w:tcW w:type="dxa" w:w="1644"/>
            <w:vAlign w:val="center"/>
            <w:shd w:fill="F2F2F2"/>
          </w:tcPr>
          <w:p>
            <w:pPr>
              <w:bidi w:val="1"/>
              <w:jc w:val="right"/>
            </w:pPr>
            <w:r>
              <w:rPr>
                <w:rFonts w:cs="Arial"/>
                <w:color w:val="262626"/>
                <w:sz w:val="14"/>
                <w:rtl w:val="1"/>
              </w:rPr>
              <w:t>مكتب إدارة البيانات</w:t>
            </w:r>
          </w:p>
        </w:tc>
        <w:tc>
          <w:tcPr>
            <w:tcW w:type="dxa" w:w="1417"/>
            <w:vAlign w:val="center"/>
            <w:shd w:fill="F2F2F2"/>
          </w:tcPr>
          <w:p>
            <w:pPr>
              <w:bidi w:val="1"/>
              <w:jc w:val="center"/>
            </w:pPr>
            <w:r>
              <w:rPr>
                <w:rFonts w:cs="Arial"/>
                <w:b/>
                <w:color w:val="1F6F43"/>
                <w:sz w:val="14"/>
                <w:rtl w:val="1"/>
              </w:rPr>
              <w:t>مُجرَّد</w:t>
            </w:r>
          </w:p>
        </w:tc>
        <w:tc>
          <w:tcPr>
            <w:tcW w:type="dxa" w:w="1361"/>
            <w:vAlign w:val="center"/>
            <w:shd w:fill="F2F2F2"/>
          </w:tcPr>
          <w:p>
            <w:pPr>
              <w:bidi w:val="1"/>
              <w:jc w:val="right"/>
            </w:pPr>
            <w:r>
              <w:rPr>
                <w:rFonts w:cs="Arial"/>
                <w:color w:val="262626"/>
                <w:sz w:val="14"/>
                <w:rtl w:val="1"/>
              </w:rPr>
              <w:t>مقيّد</w:t>
            </w:r>
          </w:p>
        </w:tc>
      </w:tr>
      <w:tr>
        <w:trPr>
          <w:cantSplit/>
        </w:trPr>
        <w:tc>
          <w:tcPr>
            <w:tcW w:type="dxa" w:w="454"/>
            <w:vAlign w:val="center"/>
          </w:tcPr>
          <w:p>
            <w:pPr>
              <w:bidi w:val="1"/>
              <w:jc w:val="right"/>
            </w:pPr>
            <w:r>
              <w:rPr>
                <w:rFonts w:cs="Arial"/>
                <w:b/>
                <w:color w:val="1F2A44"/>
                <w:sz w:val="14"/>
                <w:rtl w:val="1"/>
              </w:rPr>
              <w:t>30</w:t>
            </w:r>
          </w:p>
        </w:tc>
        <w:tc>
          <w:tcPr>
            <w:tcW w:type="dxa" w:w="2608"/>
            <w:vAlign w:val="center"/>
          </w:tcPr>
          <w:p>
            <w:pPr>
              <w:bidi w:val="1"/>
              <w:jc w:val="right"/>
            </w:pPr>
            <w:r>
              <w:rPr>
                <w:rFonts w:cs="Arial"/>
                <w:color w:val="262626"/>
                <w:sz w:val="14"/>
                <w:rtl w:val="1"/>
              </w:rPr>
              <w:t>سجلات التغييرات والتحديثات التقنية</w:t>
            </w:r>
          </w:p>
        </w:tc>
        <w:tc>
          <w:tcPr>
            <w:tcW w:type="dxa" w:w="1247"/>
            <w:vAlign w:val="center"/>
          </w:tcPr>
          <w:p>
            <w:pPr>
              <w:bidi w:val="1"/>
              <w:jc w:val="right"/>
            </w:pPr>
            <w:r>
              <w:rPr>
                <w:rFonts w:cs="Arial"/>
                <w:color w:val="262626"/>
                <w:sz w:val="14"/>
                <w:rtl w:val="1"/>
              </w:rPr>
              <w:t>سجل</w:t>
            </w:r>
          </w:p>
        </w:tc>
        <w:tc>
          <w:tcPr>
            <w:tcW w:type="dxa" w:w="1644"/>
            <w:vAlign w:val="center"/>
          </w:tcPr>
          <w:p>
            <w:pPr>
              <w:bidi w:val="1"/>
              <w:jc w:val="right"/>
            </w:pPr>
            <w:r>
              <w:rPr>
                <w:rFonts w:cs="Arial"/>
                <w:color w:val="262626"/>
                <w:sz w:val="14"/>
                <w:rtl w:val="1"/>
              </w:rPr>
              <w:t>إدارة تقنية المعلومات</w:t>
            </w:r>
          </w:p>
        </w:tc>
        <w:tc>
          <w:tcPr>
            <w:tcW w:type="dxa" w:w="1417"/>
            <w:vAlign w:val="center"/>
          </w:tcPr>
          <w:p>
            <w:pPr>
              <w:bidi w:val="1"/>
              <w:jc w:val="center"/>
            </w:pPr>
            <w:r>
              <w:rPr>
                <w:rFonts w:cs="Arial"/>
                <w:b/>
                <w:color w:val="1F6F43"/>
                <w:sz w:val="14"/>
                <w:rtl w:val="1"/>
              </w:rPr>
              <w:t>مُجرَّد</w:t>
            </w:r>
          </w:p>
        </w:tc>
        <w:tc>
          <w:tcPr>
            <w:tcW w:type="dxa" w:w="1361"/>
            <w:vAlign w:val="center"/>
          </w:tcPr>
          <w:p>
            <w:pPr>
              <w:bidi w:val="1"/>
              <w:jc w:val="right"/>
            </w:pPr>
            <w:r>
              <w:rPr>
                <w:rFonts w:cs="Arial"/>
                <w:color w:val="262626"/>
                <w:sz w:val="14"/>
                <w:rtl w:val="1"/>
              </w:rPr>
              <w:t>مقيّد</w:t>
            </w:r>
          </w:p>
        </w:tc>
      </w:tr>
    </w:tbl>
    <w:p/>
    <w:p>
      <w:pPr>
        <w:bidi w:val="1"/>
        <w:jc w:val="right"/>
      </w:pPr>
      <w:r>
        <w:rPr>
          <w:rFonts w:cs="Arial"/>
          <w:b w:val="0"/>
          <w:i/>
          <w:color w:val="595959"/>
          <w:sz w:val="16"/>
          <w:rtl w:val="1"/>
        </w:rPr>
        <w:t>ملاحظة تدقيق: لا يتضمن أيٌّ من DC.C.3.1 أو DC.C.3.2 أو DC.C.5.1 معرّفات مستقلة للأصول (مثل رموز SGSA-DAT/REC)؛ لذلك استُخدم الرقم التسلسلي (م) كما ورد في هذه المصادر نفسها كمعرّف تتبّع لكل أصل في الجدول أعلاه. لم تُستخدم أي بيانات من تقرير DC.M.7 في هذا السجل، التزاماً بالاقتصار على المصادر الثلاثة المصرَّح بها أعلاه فقط.</w:t>
      </w:r>
    </w:p>
    <w:p>
      <w:r>
        <w:br w:type="page"/>
      </w:r>
    </w:p>
    <w:p>
      <w:pPr>
        <w:bidi w:val="1"/>
        <w:jc w:val="right"/>
      </w:pPr>
      <w:r>
        <w:rPr>
          <w:rFonts w:cs="Arial"/>
          <w:b/>
          <w:color w:val="1B2A4E"/>
          <w:sz w:val="26"/>
          <w:rtl w:val="1"/>
        </w:rPr>
        <w:t>5.  تطبيق المعادلة</w:t>
      </w:r>
    </w:p>
    <w:tbl>
      <w:tblPr>
        <w:tblStyle w:val="TableGrid"/>
        <w:tblW w:type="auto" w:w="0"/>
        <w:tblLook w:firstColumn="1" w:firstRow="1" w:lastColumn="0" w:lastRow="0" w:noHBand="0" w:noVBand="1" w:val="04A0"/>
        <w:bidiVisual w:val="1"/>
      </w:tblPr>
      <w:tblGrid>
        <w:gridCol w:w="5386"/>
        <w:gridCol w:w="3345"/>
      </w:tblGrid>
      <w:tr>
        <w:trPr>
          <w:cantSplit/>
        </w:trPr>
        <w:tc>
          <w:tcPr>
            <w:tcW w:type="dxa" w:w="5213"/>
            <w:shd w:fill="1B2A4E"/>
            <w:vAlign w:val="center"/>
          </w:tcPr>
          <w:p>
            <w:pPr>
              <w:bidi w:val="1"/>
              <w:jc w:val="center"/>
            </w:pPr>
            <w:r/>
            <w:r>
              <w:rPr>
                <w:rFonts w:cs="Arial"/>
                <w:b/>
                <w:color w:val="FFFFFF"/>
                <w:sz w:val="17"/>
                <w:rtl w:val="1"/>
              </w:rPr>
              <w:t>البند</w:t>
            </w:r>
          </w:p>
        </w:tc>
        <w:tc>
          <w:tcPr>
            <w:tcW w:type="dxa" w:w="5213"/>
            <w:shd w:fill="1B2A4E"/>
            <w:vAlign w:val="center"/>
          </w:tcPr>
          <w:p>
            <w:pPr>
              <w:bidi w:val="1"/>
              <w:jc w:val="center"/>
            </w:pPr>
            <w:r/>
            <w:r>
              <w:rPr>
                <w:rFonts w:cs="Arial"/>
                <w:b/>
                <w:color w:val="FFFFFF"/>
                <w:sz w:val="17"/>
                <w:rtl w:val="1"/>
              </w:rPr>
              <w:t>القيمة</w:t>
            </w:r>
          </w:p>
        </w:tc>
      </w:tr>
      <w:tr>
        <w:trPr>
          <w:cantSplit/>
        </w:trPr>
        <w:tc>
          <w:tcPr>
            <w:tcW w:type="dxa" w:w="5386"/>
            <w:vAlign w:val="center"/>
            <w:shd w:fill="F2F2F2"/>
          </w:tcPr>
          <w:p>
            <w:pPr>
              <w:bidi w:val="1"/>
              <w:jc w:val="right"/>
            </w:pPr>
            <w:r>
              <w:rPr>
                <w:rFonts w:cs="Arial"/>
                <w:b/>
                <w:color w:val="1B2A4E"/>
                <w:sz w:val="18"/>
                <w:rtl w:val="1"/>
              </w:rPr>
              <w:t>إجمالي الأصول البيانية (وفق DC.C.3.1)</w:t>
            </w:r>
          </w:p>
        </w:tc>
        <w:tc>
          <w:tcPr>
            <w:tcW w:type="dxa" w:w="3345"/>
            <w:vAlign w:val="center"/>
            <w:shd w:fill="F2F2F2"/>
          </w:tcPr>
          <w:p>
            <w:pPr>
              <w:bidi w:val="1"/>
              <w:jc w:val="center"/>
            </w:pPr>
            <w:r>
              <w:rPr>
                <w:rFonts w:cs="Arial"/>
                <w:b/>
                <w:color w:val="595959"/>
                <w:sz w:val="18"/>
                <w:rtl w:val="1"/>
              </w:rPr>
              <w:t>30</w:t>
            </w:r>
          </w:p>
        </w:tc>
      </w:tr>
      <w:tr>
        <w:trPr>
          <w:cantSplit/>
        </w:trPr>
        <w:tc>
          <w:tcPr>
            <w:tcW w:type="dxa" w:w="5386"/>
            <w:vAlign w:val="center"/>
          </w:tcPr>
          <w:p>
            <w:pPr>
              <w:bidi w:val="1"/>
              <w:jc w:val="right"/>
            </w:pPr>
            <w:r>
              <w:rPr>
                <w:rFonts w:cs="Arial"/>
                <w:b/>
                <w:color w:val="1B2A4E"/>
                <w:sz w:val="18"/>
                <w:rtl w:val="1"/>
              </w:rPr>
              <w:t>عدد الأصول المصنَّفة (وفق DC.C.3.2)</w:t>
            </w:r>
          </w:p>
        </w:tc>
        <w:tc>
          <w:tcPr>
            <w:tcW w:type="dxa" w:w="3345"/>
            <w:vAlign w:val="center"/>
          </w:tcPr>
          <w:p>
            <w:pPr>
              <w:bidi w:val="1"/>
              <w:jc w:val="center"/>
            </w:pPr>
            <w:r>
              <w:rPr>
                <w:rFonts w:cs="Arial"/>
                <w:b/>
                <w:color w:val="595959"/>
                <w:sz w:val="18"/>
                <w:rtl w:val="1"/>
              </w:rPr>
              <w:t>30</w:t>
            </w:r>
          </w:p>
        </w:tc>
      </w:tr>
      <w:tr>
        <w:trPr>
          <w:cantSplit/>
        </w:trPr>
        <w:tc>
          <w:tcPr>
            <w:tcW w:type="dxa" w:w="5386"/>
            <w:vAlign w:val="center"/>
            <w:shd w:fill="F2F2F2"/>
          </w:tcPr>
          <w:p>
            <w:pPr>
              <w:bidi w:val="1"/>
              <w:jc w:val="right"/>
            </w:pPr>
            <w:r>
              <w:rPr>
                <w:rFonts w:cs="Arial"/>
                <w:b/>
                <w:color w:val="1B2A4E"/>
                <w:sz w:val="18"/>
                <w:rtl w:val="1"/>
              </w:rPr>
              <w:t>معادلة المؤشر</w:t>
            </w:r>
          </w:p>
        </w:tc>
        <w:tc>
          <w:tcPr>
            <w:tcW w:type="dxa" w:w="3345"/>
            <w:vAlign w:val="center"/>
            <w:shd w:fill="F2F2F2"/>
          </w:tcPr>
          <w:p>
            <w:pPr>
              <w:bidi w:val="1"/>
              <w:jc w:val="center"/>
            </w:pPr>
            <w:r>
              <w:rPr>
                <w:rFonts w:cs="Arial"/>
                <w:b/>
                <w:color w:val="595959"/>
                <w:sz w:val="18"/>
                <w:rtl w:val="1"/>
              </w:rPr>
              <w:t>عدد الأصول المصنَّفة ÷ إجمالي الأصول البيانية × 100</w:t>
            </w:r>
          </w:p>
        </w:tc>
      </w:tr>
      <w:tr>
        <w:trPr>
          <w:cantSplit/>
        </w:trPr>
        <w:tc>
          <w:tcPr>
            <w:tcW w:type="dxa" w:w="5386"/>
            <w:vAlign w:val="center"/>
          </w:tcPr>
          <w:p>
            <w:pPr>
              <w:bidi w:val="1"/>
              <w:jc w:val="right"/>
            </w:pPr>
            <w:r>
              <w:rPr>
                <w:rFonts w:cs="Arial"/>
                <w:b/>
                <w:color w:val="1B2A4E"/>
                <w:sz w:val="18"/>
                <w:rtl w:val="1"/>
              </w:rPr>
              <w:t>تطبيق المعادلة</w:t>
            </w:r>
          </w:p>
        </w:tc>
        <w:tc>
          <w:tcPr>
            <w:tcW w:type="dxa" w:w="3345"/>
            <w:vAlign w:val="center"/>
          </w:tcPr>
          <w:p>
            <w:pPr>
              <w:bidi w:val="1"/>
              <w:jc w:val="center"/>
            </w:pPr>
            <w:r>
              <w:rPr>
                <w:rFonts w:cs="Arial"/>
                <w:b/>
                <w:color w:val="595959"/>
                <w:sz w:val="18"/>
                <w:rtl w:val="1"/>
              </w:rPr>
              <w:t>30 ÷ 30 × 100</w:t>
            </w:r>
          </w:p>
        </w:tc>
      </w:tr>
      <w:tr>
        <w:trPr>
          <w:cantSplit/>
        </w:trPr>
        <w:tc>
          <w:tcPr>
            <w:tcW w:type="dxa" w:w="5386"/>
            <w:vAlign w:val="center"/>
            <w:shd w:fill="F2F2F2"/>
          </w:tcPr>
          <w:p>
            <w:pPr>
              <w:bidi w:val="1"/>
              <w:jc w:val="right"/>
            </w:pPr>
            <w:r>
              <w:rPr>
                <w:rFonts w:cs="Arial"/>
                <w:b/>
                <w:color w:val="1B2A4E"/>
                <w:sz w:val="18"/>
                <w:rtl w:val="1"/>
              </w:rPr>
              <w:t>القيمة النهائية للمؤشر</w:t>
            </w:r>
          </w:p>
        </w:tc>
        <w:tc>
          <w:tcPr>
            <w:tcW w:type="dxa" w:w="3345"/>
            <w:vAlign w:val="center"/>
            <w:shd w:fill="F2F2F2"/>
          </w:tcPr>
          <w:p>
            <w:pPr>
              <w:bidi w:val="1"/>
              <w:jc w:val="center"/>
            </w:pPr>
            <w:r>
              <w:rPr>
                <w:rFonts w:cs="Arial"/>
                <w:b/>
                <w:color w:val="595959"/>
                <w:sz w:val="18"/>
                <w:rtl w:val="1"/>
              </w:rPr>
              <w:t>100%</w:t>
            </w:r>
          </w:p>
        </w:tc>
      </w:tr>
    </w:tbl>
    <w:p/>
    <w:p>
      <w:pPr>
        <w:bidi w:val="1"/>
        <w:jc w:val="right"/>
      </w:pPr>
      <w:r>
        <w:rPr>
          <w:rFonts w:cs="Arial"/>
          <w:b/>
          <w:color w:val="1B2A4E"/>
          <w:sz w:val="26"/>
          <w:rtl w:val="1"/>
        </w:rPr>
        <w:t>6.  النتيجة والتحقق مقابل DC.C.4.1</w:t>
      </w:r>
    </w:p>
    <w:p>
      <w:pPr>
        <w:bidi w:val="1"/>
        <w:jc w:val="right"/>
      </w:pPr>
      <w:r>
        <w:rPr>
          <w:rFonts w:cs="Arial"/>
          <w:b w:val="0"/>
          <w:i w:val="0"/>
          <w:color w:val="262626"/>
          <w:sz w:val="19"/>
          <w:rtl w:val="1"/>
        </w:rPr>
        <w:t>القيمة الناتجة (100%) مطابقة تماماً للقيمة المقيسة الواردة في بطاقة مؤشر KPI-DC-01 ضمن تقرير DC.C.4.1 (القسم 8 وبند 9.1: «100% (30 أصلاً من أصل 30 مُصنَّفاً)»)، وللقيمة الواردة في جدول لوحة الأداء الإجمالية (القسم 10) وجدول التوافق مع متطلبات NDMO (القسم 14).</w:t>
      </w:r>
    </w:p>
    <w:p>
      <w:pPr>
        <w:bidi w:val="1"/>
        <w:jc w:val="right"/>
      </w:pPr>
      <w:r>
        <w:rPr>
          <w:rFonts w:cs="Arial"/>
          <w:color w:val="262626"/>
          <w:sz w:val="19"/>
          <w:rtl w:val="1"/>
        </w:rPr>
        <w:t>•  تم التحقق من مطابقة عدد الأصول (30) وأسمائها وترتيبها التسلسلي بين DC.C.3.1 وDC.C.3.2 وDC.C.5.1 دون أي تعارض.</w:t>
      </w:r>
    </w:p>
    <w:p>
      <w:pPr>
        <w:bidi w:val="1"/>
        <w:jc w:val="right"/>
      </w:pPr>
      <w:r>
        <w:rPr>
          <w:rFonts w:cs="Arial"/>
          <w:color w:val="262626"/>
          <w:sz w:val="19"/>
          <w:rtl w:val="1"/>
        </w:rPr>
        <w:t>•  جميع الأصول الثلاثين مُصنَّفة (لا يوجد أصل بلا مستوى تصنيف ناتج)، وبذلك فإن البسط يساوي المقام ويكون الناتج 100% دون تقريب.</w:t>
      </w:r>
    </w:p>
    <w:p>
      <w:pPr>
        <w:bidi w:val="1"/>
        <w:jc w:val="right"/>
      </w:pPr>
      <w:r>
        <w:rPr>
          <w:rFonts w:cs="Arial"/>
          <w:color w:val="262626"/>
          <w:sz w:val="19"/>
          <w:rtl w:val="1"/>
        </w:rPr>
        <w:t>•  أي معلومة غير واردة حرفياً في DC.C.3.1 أو DC.C.3.2 أو DC.C.5.1 تم استبعادها من هذا السجل.</w:t>
      </w:r>
    </w:p>
    <w:p/>
    <w:p>
      <w:pPr>
        <w:bidi w:val="1"/>
        <w:jc w:val="right"/>
      </w:pPr>
      <w:r>
        <w:rPr>
          <w:rFonts w:cs="Arial"/>
          <w:b/>
          <w:color w:val="1B2A4E"/>
          <w:sz w:val="26"/>
          <w:rtl w:val="1"/>
        </w:rPr>
        <w:t>7.  الاعتماد والتوقيع</w:t>
      </w:r>
    </w:p>
    <w:p>
      <w:pPr>
        <w:bidi w:val="1"/>
        <w:jc w:val="right"/>
      </w:pPr>
      <w:r>
        <w:rPr>
          <w:rFonts w:cs="Arial"/>
          <w:b w:val="0"/>
          <w:i w:val="0"/>
          <w:color w:val="262626"/>
          <w:sz w:val="19"/>
          <w:rtl w:val="1"/>
        </w:rPr>
        <w:t>تمت مراجعة هذا السجل من مكتب إدارة البيانات، وتم التحقق من مطابقة البيانات الواردة فيه لمحتوى DC.C.3.1 وDC.C.3.2 وDC.C.5.1 دون أي إضافة أو حذف أو تعديل.</w:t>
      </w:r>
    </w:p>
    <w:p/>
    <w:tbl>
      <w:tblPr>
        <w:tblStyle w:val="TableGrid"/>
        <w:tblW w:type="auto" w:w="0"/>
        <w:tblLook w:firstColumn="1" w:firstRow="1" w:lastColumn="0" w:lastRow="0" w:noHBand="0" w:noVBand="1" w:val="04A0"/>
        <w:bidiVisual w:val="1"/>
      </w:tblPr>
      <w:tblGrid>
        <w:gridCol w:w="2606"/>
        <w:gridCol w:w="2606"/>
        <w:gridCol w:w="2606"/>
        <w:gridCol w:w="2606"/>
      </w:tblGrid>
      <w:tr>
        <w:tc>
          <w:tcPr>
            <w:tcW w:type="dxa" w:w="2606"/>
            <w:shd w:fill="1B2A4E"/>
            <w:vAlign w:val="center"/>
          </w:tcPr>
          <w:p>
            <w:pPr>
              <w:bidi w:val="1"/>
              <w:jc w:val="center"/>
            </w:pPr>
            <w:r>
              <w:rPr>
                <w:rFonts w:cs="Arial"/>
                <w:b/>
                <w:color w:val="FFFFFF"/>
                <w:sz w:val="19"/>
                <w:rtl w:val="1"/>
              </w:rPr>
              <w:t>صاحب الصلاحية</w:t>
            </w:r>
          </w:p>
        </w:tc>
        <w:tc>
          <w:tcPr>
            <w:tcW w:type="dxa" w:w="2606"/>
            <w:shd w:fill="1B2A4E"/>
            <w:vAlign w:val="center"/>
          </w:tcPr>
          <w:p>
            <w:pPr>
              <w:bidi w:val="1"/>
              <w:jc w:val="center"/>
            </w:pPr>
            <w:r>
              <w:rPr>
                <w:rFonts w:cs="Arial"/>
                <w:b/>
                <w:color w:val="FFFFFF"/>
                <w:sz w:val="19"/>
                <w:rtl w:val="1"/>
              </w:rPr>
              <w:t>المسمى الوظيفي</w:t>
            </w:r>
          </w:p>
        </w:tc>
        <w:tc>
          <w:tcPr>
            <w:tcW w:type="dxa" w:w="2606"/>
            <w:shd w:fill="1B2A4E"/>
            <w:vAlign w:val="center"/>
          </w:tcPr>
          <w:p>
            <w:pPr>
              <w:bidi w:val="1"/>
              <w:jc w:val="center"/>
            </w:pPr>
            <w:r>
              <w:rPr>
                <w:rFonts w:cs="Arial"/>
                <w:b/>
                <w:color w:val="FFFFFF"/>
                <w:sz w:val="19"/>
                <w:rtl w:val="1"/>
              </w:rPr>
              <w:t>التوقيع</w:t>
            </w:r>
          </w:p>
        </w:tc>
        <w:tc>
          <w:tcPr>
            <w:tcW w:type="dxa" w:w="2606"/>
            <w:shd w:fill="1B2A4E"/>
            <w:vAlign w:val="center"/>
          </w:tcPr>
          <w:p>
            <w:pPr>
              <w:bidi w:val="1"/>
              <w:jc w:val="center"/>
            </w:pPr>
            <w:r>
              <w:rPr>
                <w:rFonts w:cs="Arial"/>
                <w:b/>
                <w:color w:val="FFFFFF"/>
                <w:sz w:val="19"/>
                <w:rtl w:val="1"/>
              </w:rPr>
              <w:t>التاريخ</w:t>
            </w:r>
          </w:p>
        </w:tc>
      </w:tr>
      <w:tr>
        <w:tc>
          <w:tcPr>
            <w:tcW w:type="dxa" w:w="2606"/>
          </w:tcPr>
          <w:p>
            <w:pPr>
              <w:bidi w:val="1"/>
              <w:jc w:val="center"/>
            </w:pPr>
            <w:r>
              <w:rPr>
                <w:rFonts w:cs="Arial"/>
                <w:sz w:val="18"/>
                <w:rtl w:val="1"/>
              </w:rPr>
              <w:t>________________</w:t>
            </w:r>
          </w:p>
        </w:tc>
        <w:tc>
          <w:tcPr>
            <w:tcW w:type="dxa" w:w="2606"/>
          </w:tcPr>
          <w:p>
            <w:pPr>
              <w:bidi w:val="1"/>
              <w:jc w:val="center"/>
            </w:pPr>
            <w:r>
              <w:rPr>
                <w:rFonts w:cs="Arial"/>
                <w:sz w:val="18"/>
                <w:rtl w:val="1"/>
              </w:rPr>
              <w:t>مدير مكتب إدارة البيانات</w:t>
            </w:r>
          </w:p>
        </w:tc>
        <w:tc>
          <w:tcPr>
            <w:tcW w:type="dxa" w:w="2606"/>
          </w:tcPr>
          <w:p>
            <w:pPr>
              <w:bidi w:val="1"/>
              <w:jc w:val="center"/>
            </w:pPr>
            <w:r>
              <w:rPr>
                <w:rFonts w:cs="Arial"/>
                <w:sz w:val="18"/>
                <w:rtl w:val="1"/>
              </w:rPr>
              <w:t>________________</w:t>
            </w:r>
          </w:p>
        </w:tc>
        <w:tc>
          <w:tcPr>
            <w:tcW w:type="dxa" w:w="2606"/>
          </w:tcPr>
          <w:p>
            <w:pPr>
              <w:bidi w:val="1"/>
              <w:jc w:val="center"/>
            </w:pPr>
            <w:r>
              <w:rPr>
                <w:rFonts w:cs="Arial"/>
                <w:sz w:val="18"/>
                <w:rtl w:val="1"/>
              </w:rPr>
              <w:t>________________</w:t>
            </w:r>
          </w:p>
        </w:tc>
      </w:tr>
    </w:tbl>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