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426"/>
      </w:tblGrid>
      <w:tr>
        <w:tc>
          <w:tcPr>
            <w:tcW w:type="dxa" w:w="10426"/>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8"/>
          <w:rtl w:val="1"/>
        </w:rPr>
        <w:t>سجل احتساب توزيع الأصول حسب مستوى التصنيف (KPI-DC-02)</w:t>
      </w:r>
    </w:p>
    <w:p>
      <w:pPr>
        <w:bidi w:val="1"/>
        <w:jc w:val="right"/>
      </w:pPr>
      <w:r>
        <w:rPr>
          <w:rFonts w:cs="Arial"/>
          <w:b w:val="0"/>
          <w:i/>
          <w:color w:val="29C79A"/>
          <w:sz w:val="22"/>
          <w:rtl w:val="1"/>
        </w:rPr>
        <w:t>Classification Distribution KPI Calculation Record</w:t>
      </w:r>
    </w:p>
    <w:p/>
    <w:p>
      <w:pPr>
        <w:bidi w:val="1"/>
        <w:jc w:val="right"/>
      </w:pPr>
      <w:r>
        <w:rPr>
          <w:rFonts w:cs="Arial"/>
          <w:b/>
          <w:color w:val="1B2A4E"/>
          <w:sz w:val="23"/>
          <w:rtl w:val="1"/>
        </w:rPr>
        <w:t>1.  بيانات الوثيقة</w:t>
      </w:r>
    </w:p>
    <w:tbl>
      <w:tblPr>
        <w:tblW w:type="auto" w:w="0"/>
        <w:tblLayout w:type="autofit"/>
        <w:tblLook w:firstColumn="1" w:firstRow="1" w:lastColumn="0" w:lastRow="0" w:noHBand="0" w:noVBand="1" w:val="04A0"/>
        <w:bidiVisual w:val="1"/>
      </w:tblPr>
      <w:tblGrid>
        <w:gridCol w:w="6520"/>
        <w:gridCol w:w="2835"/>
      </w:tblGrid>
      <w:tr>
        <w:tc>
          <w:tcPr>
            <w:tcW w:type="dxa" w:w="6520"/>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520"/>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520"/>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520"/>
          </w:tcPr>
          <w:p>
            <w:pPr>
              <w:bidi w:val="1"/>
              <w:jc w:val="right"/>
            </w:pPr>
            <w:r>
              <w:rPr>
                <w:rFonts w:cs="Arial"/>
                <w:color w:val="262626"/>
                <w:sz w:val="18"/>
                <w:rtl w:val="1"/>
              </w:rPr>
              <w:t>DC.C.4.1-E02</w:t>
            </w:r>
          </w:p>
        </w:tc>
        <w:tc>
          <w:tcPr>
            <w:tcW w:type="dxa" w:w="2835"/>
          </w:tcPr>
          <w:p>
            <w:pPr>
              <w:bidi w:val="1"/>
              <w:jc w:val="right"/>
            </w:pPr>
            <w:r>
              <w:rPr>
                <w:rFonts w:cs="Arial"/>
                <w:b/>
                <w:color w:val="595959"/>
                <w:sz w:val="18"/>
                <w:rtl w:val="1"/>
              </w:rPr>
              <w:t>رمز الدليل</w:t>
            </w:r>
          </w:p>
        </w:tc>
      </w:tr>
      <w:tr>
        <w:tc>
          <w:tcPr>
            <w:tcW w:type="dxa" w:w="6520"/>
          </w:tcPr>
          <w:p>
            <w:pPr>
              <w:bidi w:val="1"/>
              <w:jc w:val="right"/>
            </w:pPr>
            <w:r>
              <w:rPr>
                <w:rFonts w:cs="Arial"/>
                <w:color w:val="262626"/>
                <w:sz w:val="18"/>
                <w:rtl w:val="1"/>
              </w:rPr>
              <w:t>Calculation Record</w:t>
            </w:r>
          </w:p>
        </w:tc>
        <w:tc>
          <w:tcPr>
            <w:tcW w:type="dxa" w:w="2835"/>
          </w:tcPr>
          <w:p>
            <w:pPr>
              <w:bidi w:val="1"/>
              <w:jc w:val="right"/>
            </w:pPr>
            <w:r>
              <w:rPr>
                <w:rFonts w:cs="Arial"/>
                <w:b/>
                <w:color w:val="595959"/>
                <w:sz w:val="18"/>
                <w:rtl w:val="1"/>
              </w:rPr>
              <w:t>نوع الوثيقة</w:t>
            </w:r>
          </w:p>
        </w:tc>
      </w:tr>
      <w:tr>
        <w:tc>
          <w:tcPr>
            <w:tcW w:type="dxa" w:w="6520"/>
          </w:tcPr>
          <w:p>
            <w:pPr>
              <w:bidi w:val="1"/>
              <w:jc w:val="right"/>
            </w:pPr>
            <w:r>
              <w:rPr>
                <w:rFonts w:cs="Arial"/>
                <w:color w:val="262626"/>
                <w:sz w:val="18"/>
                <w:rtl w:val="1"/>
              </w:rPr>
              <w:t>DC.C.4.1 — تقرير مراقبة عمليات تصنيف البيانات عبر مؤشرات الأداء الرئيسية</w:t>
            </w:r>
          </w:p>
        </w:tc>
        <w:tc>
          <w:tcPr>
            <w:tcW w:type="dxa" w:w="2835"/>
          </w:tcPr>
          <w:p>
            <w:pPr>
              <w:bidi w:val="1"/>
              <w:jc w:val="right"/>
            </w:pPr>
            <w:r>
              <w:rPr>
                <w:rFonts w:cs="Arial"/>
                <w:b/>
                <w:color w:val="595959"/>
                <w:sz w:val="18"/>
                <w:rtl w:val="1"/>
              </w:rPr>
              <w:t>المتطلب المرتبط</w:t>
            </w:r>
          </w:p>
        </w:tc>
      </w:tr>
      <w:tr>
        <w:tc>
          <w:tcPr>
            <w:tcW w:type="dxa" w:w="6520"/>
          </w:tcPr>
          <w:p>
            <w:pPr>
              <w:bidi w:val="1"/>
              <w:jc w:val="right"/>
            </w:pPr>
            <w:r>
              <w:rPr>
                <w:rFonts w:cs="Arial"/>
                <w:color w:val="262626"/>
                <w:sz w:val="18"/>
                <w:rtl w:val="1"/>
              </w:rPr>
              <w:t>KPI-DC-02 — نسبة الأصول المصنفة بكل مستوى تصنيف</w:t>
            </w:r>
          </w:p>
        </w:tc>
        <w:tc>
          <w:tcPr>
            <w:tcW w:type="dxa" w:w="2835"/>
          </w:tcPr>
          <w:p>
            <w:pPr>
              <w:bidi w:val="1"/>
              <w:jc w:val="right"/>
            </w:pPr>
            <w:r>
              <w:rPr>
                <w:rFonts w:cs="Arial"/>
                <w:b/>
                <w:color w:val="595959"/>
                <w:sz w:val="18"/>
                <w:rtl w:val="1"/>
              </w:rPr>
              <w:t>المؤشر المرتبط</w:t>
            </w:r>
          </w:p>
        </w:tc>
      </w:tr>
      <w:tr>
        <w:tc>
          <w:tcPr>
            <w:tcW w:type="dxa" w:w="6520"/>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520"/>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520"/>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2.  نطاق القياس</w:t>
      </w:r>
    </w:p>
    <w:tbl>
      <w:tblPr>
        <w:tblW w:type="auto" w:w="0"/>
        <w:tblLayout w:type="autofit"/>
        <w:tblLook w:firstColumn="1" w:firstRow="1" w:lastColumn="0" w:lastRow="0" w:noHBand="0" w:noVBand="1" w:val="04A0"/>
        <w:bidiVisual w:val="1"/>
      </w:tblPr>
      <w:tblGrid>
        <w:gridCol w:w="6520"/>
        <w:gridCol w:w="2835"/>
      </w:tblGrid>
      <w:tr>
        <w:tc>
          <w:tcPr>
            <w:tcW w:type="dxa" w:w="6520"/>
          </w:tcPr>
          <w:p>
            <w:pPr>
              <w:bidi w:val="1"/>
              <w:jc w:val="right"/>
            </w:pPr>
            <w:r>
              <w:rPr>
                <w:rFonts w:cs="Arial"/>
                <w:color w:val="262626"/>
                <w:sz w:val="18"/>
                <w:rtl w:val="1"/>
              </w:rPr>
              <w:t>الربع الثاني 2026 (أبريل – يونيو 2026) — كما ورد في تقرير DC.C.4.1</w:t>
            </w:r>
          </w:p>
        </w:tc>
        <w:tc>
          <w:tcPr>
            <w:tcW w:type="dxa" w:w="2835"/>
          </w:tcPr>
          <w:p>
            <w:pPr>
              <w:bidi w:val="1"/>
              <w:jc w:val="right"/>
            </w:pPr>
            <w:r>
              <w:rPr>
                <w:rFonts w:cs="Arial"/>
                <w:b/>
                <w:color w:val="595959"/>
                <w:sz w:val="18"/>
                <w:rtl w:val="1"/>
              </w:rPr>
              <w:t>فترة القياس</w:t>
            </w:r>
          </w:p>
        </w:tc>
      </w:tr>
      <w:tr>
        <w:tc>
          <w:tcPr>
            <w:tcW w:type="dxa" w:w="6520"/>
          </w:tcPr>
          <w:p>
            <w:pPr>
              <w:bidi w:val="1"/>
              <w:jc w:val="right"/>
            </w:pPr>
            <w:r>
              <w:rPr>
                <w:rFonts w:cs="Arial"/>
                <w:color w:val="262626"/>
                <w:sz w:val="18"/>
                <w:rtl w:val="1"/>
              </w:rPr>
              <w:t>جميع الأصول البيانية الثلاثين (30) بمستوى تصنيفها النهائي (المعتمد أثناء المراجعة) كما ورد في سجل DC.C.5.1، وهو السجل الذي يدمج نتائج DC.C.3.2 مع قرارات إعادة التصنيف الواردة في DC.C.3.3.</w:t>
            </w:r>
          </w:p>
        </w:tc>
        <w:tc>
          <w:tcPr>
            <w:tcW w:type="dxa" w:w="2835"/>
          </w:tcPr>
          <w:p>
            <w:pPr>
              <w:bidi w:val="1"/>
              <w:jc w:val="right"/>
            </w:pPr>
            <w:r>
              <w:rPr>
                <w:rFonts w:cs="Arial"/>
                <w:b/>
                <w:color w:val="595959"/>
                <w:sz w:val="18"/>
                <w:rtl w:val="1"/>
              </w:rPr>
              <w:t>نطاق القياس</w:t>
            </w:r>
          </w:p>
        </w:tc>
      </w:tr>
      <w:tr>
        <w:tc>
          <w:tcPr>
            <w:tcW w:type="dxa" w:w="6520"/>
          </w:tcPr>
          <w:p>
            <w:pPr>
              <w:bidi w:val="1"/>
              <w:jc w:val="right"/>
            </w:pPr>
            <w:r>
              <w:rPr>
                <w:rFonts w:cs="Arial"/>
                <w:color w:val="262626"/>
                <w:sz w:val="18"/>
                <w:rtl w:val="1"/>
              </w:rPr>
              <w:t>يونيو 2026 (تاريخ إصدار DC.C.3.2 وDC.C.5.1)</w:t>
            </w:r>
          </w:p>
        </w:tc>
        <w:tc>
          <w:tcPr>
            <w:tcW w:type="dxa" w:w="2835"/>
          </w:tcPr>
          <w:p>
            <w:pPr>
              <w:bidi w:val="1"/>
              <w:jc w:val="right"/>
            </w:pPr>
            <w:r>
              <w:rPr>
                <w:rFonts w:cs="Arial"/>
                <w:b/>
                <w:color w:val="595959"/>
                <w:sz w:val="18"/>
                <w:rtl w:val="1"/>
              </w:rPr>
              <w:t>تاريخ استخراج البيانات</w:t>
            </w:r>
          </w:p>
        </w:tc>
      </w:tr>
    </w:tbl>
    <w:p/>
    <w:p>
      <w:pPr>
        <w:bidi w:val="1"/>
        <w:jc w:val="right"/>
      </w:pPr>
      <w:r>
        <w:rPr>
          <w:rFonts w:cs="Arial"/>
          <w:b/>
          <w:color w:val="1B2A4E"/>
          <w:sz w:val="26"/>
          <w:rtl w:val="1"/>
        </w:rPr>
        <w:t>3.  مصدر البيانات</w:t>
      </w:r>
    </w:p>
    <w:p>
      <w:pPr>
        <w:bidi w:val="1"/>
        <w:jc w:val="right"/>
      </w:pPr>
      <w:r>
        <w:rPr>
          <w:rFonts w:cs="Arial"/>
          <w:color w:val="262626"/>
          <w:sz w:val="19"/>
          <w:rtl w:val="1"/>
        </w:rPr>
        <w:t>•  DC.C.3.2 — تقرير تقييم الأثر (مستوى التصنيف الناتج/الممنوح أصلاً لكل أصل، قبل مراجعة إعادة التصنيف).</w:t>
      </w:r>
    </w:p>
    <w:p>
      <w:pPr>
        <w:bidi w:val="1"/>
        <w:jc w:val="right"/>
      </w:pPr>
      <w:r>
        <w:rPr>
          <w:rFonts w:cs="Arial"/>
          <w:color w:val="262626"/>
          <w:sz w:val="19"/>
          <w:rtl w:val="1"/>
        </w:rPr>
        <w:t>•  DC.C.5.1 — سجل البيانات (السجل الموحّد الذي يثبت لكل أصل مستوى التصنيف الممنوح ومستوى التصنيف المعتمد أثناء المراجعة).</w:t>
      </w:r>
    </w:p>
    <w:p>
      <w:pPr>
        <w:bidi w:val="1"/>
        <w:jc w:val="right"/>
      </w:pPr>
      <w:r>
        <w:rPr>
          <w:rFonts w:cs="Arial"/>
          <w:color w:val="262626"/>
          <w:sz w:val="19"/>
          <w:rtl w:val="1"/>
        </w:rPr>
        <w:t>•  لم تُستخدم بيانات DC.M.7 كمصدر لقيمة هذا المؤشر (انظر ملاحظة التدقيق في القسم 4)، رغم إشارة DC.C.4.1 إليه كمرجع عام.</w:t>
      </w:r>
    </w:p>
    <w:p/>
    <w:p>
      <w:pPr>
        <w:bidi w:val="1"/>
        <w:jc w:val="right"/>
      </w:pPr>
      <w:r>
        <w:rPr>
          <w:rFonts w:cs="Arial"/>
          <w:b/>
          <w:color w:val="1B2A4E"/>
          <w:sz w:val="26"/>
          <w:rtl w:val="1"/>
        </w:rPr>
        <w:t>4.  جدول البيانات المستخدمة</w:t>
      </w:r>
    </w:p>
    <w:p>
      <w:pPr>
        <w:bidi w:val="1"/>
        <w:jc w:val="right"/>
      </w:pPr>
      <w:r>
        <w:rPr>
          <w:rFonts w:cs="Arial"/>
          <w:b w:val="0"/>
          <w:i w:val="0"/>
          <w:color w:val="262626"/>
          <w:sz w:val="19"/>
          <w:rtl w:val="1"/>
        </w:rPr>
        <w:t>يعرض الجدول التالي جميع الأصول البيانية الثلاثين مع مستوى التصنيف الممنوح أصلاً (DC.C.3.2) ومستوى التصنيف المعتمد أثناء المراجعة (DC.C.5.1)، مرتبة حسب الرقم التسلسلي (م):</w:t>
      </w:r>
    </w:p>
    <w:tbl>
      <w:tblPr>
        <w:tblStyle w:val="TableGrid"/>
        <w:tblW w:type="auto" w:w="0"/>
        <w:tblLook w:firstColumn="1" w:firstRow="1" w:lastColumn="0" w:lastRow="0" w:noHBand="0" w:noVBand="1" w:val="04A0"/>
        <w:bidiVisual w:val="1"/>
      </w:tblPr>
      <w:tblGrid>
        <w:gridCol w:w="454"/>
        <w:gridCol w:w="3515"/>
        <w:gridCol w:w="2551"/>
        <w:gridCol w:w="2551"/>
      </w:tblGrid>
      <w:tr>
        <w:trPr>
          <w:cantSplit/>
        </w:trPr>
        <w:tc>
          <w:tcPr>
            <w:tcW w:type="dxa" w:w="2606"/>
            <w:shd w:fill="1B2A4E"/>
            <w:vAlign w:val="center"/>
          </w:tcPr>
          <w:p>
            <w:pPr>
              <w:bidi w:val="1"/>
              <w:jc w:val="center"/>
            </w:pPr>
            <w:r/>
            <w:r>
              <w:rPr>
                <w:rFonts w:cs="Arial"/>
                <w:b/>
                <w:color w:val="FFFFFF"/>
                <w:sz w:val="17"/>
                <w:rtl w:val="1"/>
              </w:rPr>
              <w:t>م</w:t>
            </w:r>
          </w:p>
        </w:tc>
        <w:tc>
          <w:tcPr>
            <w:tcW w:type="dxa" w:w="2606"/>
            <w:shd w:fill="1B2A4E"/>
            <w:vAlign w:val="center"/>
          </w:tcPr>
          <w:p>
            <w:pPr>
              <w:bidi w:val="1"/>
              <w:jc w:val="center"/>
            </w:pPr>
            <w:r/>
            <w:r>
              <w:rPr>
                <w:rFonts w:cs="Arial"/>
                <w:b/>
                <w:color w:val="FFFFFF"/>
                <w:sz w:val="17"/>
                <w:rtl w:val="1"/>
              </w:rPr>
              <w:t>اسم الأصل</w:t>
            </w:r>
          </w:p>
        </w:tc>
        <w:tc>
          <w:tcPr>
            <w:tcW w:type="dxa" w:w="2606"/>
            <w:shd w:fill="1B2A4E"/>
            <w:vAlign w:val="center"/>
          </w:tcPr>
          <w:p>
            <w:pPr>
              <w:bidi w:val="1"/>
              <w:jc w:val="center"/>
            </w:pPr>
            <w:r/>
            <w:r>
              <w:rPr>
                <w:rFonts w:cs="Arial"/>
                <w:b/>
                <w:color w:val="FFFFFF"/>
                <w:sz w:val="17"/>
                <w:rtl w:val="1"/>
              </w:rPr>
              <w:t>مستوى التصنيف الممنوح (DC.C.3.2)</w:t>
            </w:r>
          </w:p>
        </w:tc>
        <w:tc>
          <w:tcPr>
            <w:tcW w:type="dxa" w:w="2606"/>
            <w:shd w:fill="1B2A4E"/>
            <w:vAlign w:val="center"/>
          </w:tcPr>
          <w:p>
            <w:pPr>
              <w:bidi w:val="1"/>
              <w:jc w:val="center"/>
            </w:pPr>
            <w:r/>
            <w:r>
              <w:rPr>
                <w:rFonts w:cs="Arial"/>
                <w:b/>
                <w:color w:val="FFFFFF"/>
                <w:sz w:val="17"/>
                <w:rtl w:val="1"/>
              </w:rPr>
              <w:t>مستوى التصنيف المعتمد (DC.C.5.1)</w:t>
            </w:r>
          </w:p>
        </w:tc>
      </w:tr>
      <w:tr>
        <w:trPr>
          <w:cantSplit/>
        </w:trPr>
        <w:tc>
          <w:tcPr>
            <w:tcW w:type="dxa" w:w="454"/>
            <w:vAlign w:val="center"/>
            <w:shd w:fill="F2F2F2"/>
          </w:tcPr>
          <w:p>
            <w:pPr>
              <w:bidi w:val="1"/>
              <w:jc w:val="right"/>
            </w:pPr>
            <w:r>
              <w:rPr>
                <w:rFonts w:cs="Arial"/>
                <w:b/>
                <w:color w:val="1F2A44"/>
                <w:sz w:val="15"/>
                <w:rtl w:val="1"/>
              </w:rPr>
              <w:t>1</w:t>
            </w:r>
          </w:p>
        </w:tc>
        <w:tc>
          <w:tcPr>
            <w:tcW w:type="dxa" w:w="3515"/>
            <w:vAlign w:val="center"/>
            <w:shd w:fill="F2F2F2"/>
          </w:tcPr>
          <w:p>
            <w:pPr>
              <w:bidi w:val="1"/>
              <w:jc w:val="right"/>
            </w:pPr>
            <w:r>
              <w:rPr>
                <w:rFonts w:cs="Arial"/>
                <w:color w:val="262626"/>
                <w:sz w:val="15"/>
                <w:rtl w:val="1"/>
              </w:rPr>
              <w:t>بيانات الهوية والتحقق الإلكتروني</w:t>
            </w:r>
          </w:p>
        </w:tc>
        <w:tc>
          <w:tcPr>
            <w:tcW w:type="dxa" w:w="2551"/>
            <w:vAlign w:val="center"/>
            <w:shd w:fill="F2F2F2"/>
          </w:tcPr>
          <w:p>
            <w:pPr>
              <w:bidi w:val="1"/>
              <w:jc w:val="center"/>
            </w:pPr>
            <w:r>
              <w:rPr>
                <w:rFonts w:cs="Arial"/>
                <w:b/>
                <w:color w:val="1B2A4E"/>
                <w:sz w:val="15"/>
                <w:rtl w:val="1"/>
              </w:rPr>
              <w:t>سرّي للغاية</w:t>
            </w:r>
          </w:p>
        </w:tc>
        <w:tc>
          <w:tcPr>
            <w:tcW w:type="dxa" w:w="2551"/>
            <w:vAlign w:val="center"/>
            <w:shd w:fill="F2F2F2"/>
          </w:tcPr>
          <w:p>
            <w:pPr>
              <w:bidi w:val="1"/>
              <w:jc w:val="center"/>
            </w:pPr>
            <w:r>
              <w:rPr>
                <w:rFonts w:cs="Arial"/>
                <w:b/>
                <w:color w:val="1B2A4E"/>
                <w:sz w:val="15"/>
                <w:rtl w:val="1"/>
              </w:rPr>
              <w:t>سرّي للغاية</w:t>
            </w:r>
          </w:p>
        </w:tc>
      </w:tr>
      <w:tr>
        <w:trPr>
          <w:cantSplit/>
        </w:trPr>
        <w:tc>
          <w:tcPr>
            <w:tcW w:type="dxa" w:w="454"/>
            <w:vAlign w:val="center"/>
          </w:tcPr>
          <w:p>
            <w:pPr>
              <w:bidi w:val="1"/>
              <w:jc w:val="right"/>
            </w:pPr>
            <w:r>
              <w:rPr>
                <w:rFonts w:cs="Arial"/>
                <w:b/>
                <w:color w:val="1F2A44"/>
                <w:sz w:val="15"/>
                <w:rtl w:val="1"/>
              </w:rPr>
              <w:t>2</w:t>
            </w:r>
          </w:p>
        </w:tc>
        <w:tc>
          <w:tcPr>
            <w:tcW w:type="dxa" w:w="3515"/>
            <w:vAlign w:val="center"/>
          </w:tcPr>
          <w:p>
            <w:pPr>
              <w:bidi w:val="1"/>
              <w:jc w:val="right"/>
            </w:pPr>
            <w:r>
              <w:rPr>
                <w:rFonts w:cs="Arial"/>
                <w:color w:val="262626"/>
                <w:sz w:val="15"/>
                <w:rtl w:val="1"/>
              </w:rPr>
              <w:t>بيانات الأحداث والتنبيهات الأمنية</w:t>
            </w:r>
          </w:p>
        </w:tc>
        <w:tc>
          <w:tcPr>
            <w:tcW w:type="dxa" w:w="2551"/>
            <w:vAlign w:val="center"/>
          </w:tcPr>
          <w:p>
            <w:pPr>
              <w:bidi w:val="1"/>
              <w:jc w:val="center"/>
            </w:pPr>
            <w:r>
              <w:rPr>
                <w:rFonts w:cs="Arial"/>
                <w:b/>
                <w:color w:val="1B2A4E"/>
                <w:sz w:val="15"/>
                <w:rtl w:val="1"/>
              </w:rPr>
              <w:t>سرّي للغاية</w:t>
            </w:r>
          </w:p>
        </w:tc>
        <w:tc>
          <w:tcPr>
            <w:tcW w:type="dxa" w:w="2551"/>
            <w:vAlign w:val="center"/>
          </w:tcPr>
          <w:p>
            <w:pPr>
              <w:bidi w:val="1"/>
              <w:jc w:val="center"/>
            </w:pPr>
            <w:r>
              <w:rPr>
                <w:rFonts w:cs="Arial"/>
                <w:b/>
                <w:color w:val="1B2A4E"/>
                <w:sz w:val="15"/>
                <w:rtl w:val="1"/>
              </w:rPr>
              <w:t>سرّي للغاية</w:t>
            </w:r>
          </w:p>
        </w:tc>
      </w:tr>
      <w:tr>
        <w:trPr>
          <w:cantSplit/>
        </w:trPr>
        <w:tc>
          <w:tcPr>
            <w:tcW w:type="dxa" w:w="454"/>
            <w:vAlign w:val="center"/>
            <w:shd w:fill="F2F2F2"/>
          </w:tcPr>
          <w:p>
            <w:pPr>
              <w:bidi w:val="1"/>
              <w:jc w:val="right"/>
            </w:pPr>
            <w:r>
              <w:rPr>
                <w:rFonts w:cs="Arial"/>
                <w:b/>
                <w:color w:val="1F2A44"/>
                <w:sz w:val="15"/>
                <w:rtl w:val="1"/>
              </w:rPr>
              <w:t>3</w:t>
            </w:r>
          </w:p>
        </w:tc>
        <w:tc>
          <w:tcPr>
            <w:tcW w:type="dxa" w:w="3515"/>
            <w:vAlign w:val="center"/>
            <w:shd w:fill="F2F2F2"/>
          </w:tcPr>
          <w:p>
            <w:pPr>
              <w:bidi w:val="1"/>
              <w:jc w:val="right"/>
            </w:pPr>
            <w:r>
              <w:rPr>
                <w:rFonts w:cs="Arial"/>
                <w:color w:val="262626"/>
                <w:sz w:val="15"/>
                <w:rtl w:val="1"/>
              </w:rPr>
              <w:t>بيانات الصلاحيات وإدارة الهوية</w:t>
            </w:r>
          </w:p>
        </w:tc>
        <w:tc>
          <w:tcPr>
            <w:tcW w:type="dxa" w:w="2551"/>
            <w:vAlign w:val="center"/>
            <w:shd w:fill="F2F2F2"/>
          </w:tcPr>
          <w:p>
            <w:pPr>
              <w:bidi w:val="1"/>
              <w:jc w:val="center"/>
            </w:pPr>
            <w:r>
              <w:rPr>
                <w:rFonts w:cs="Arial"/>
                <w:b/>
                <w:color w:val="1B2A4E"/>
                <w:sz w:val="15"/>
                <w:rtl w:val="1"/>
              </w:rPr>
              <w:t>سرّي للغاية</w:t>
            </w:r>
          </w:p>
        </w:tc>
        <w:tc>
          <w:tcPr>
            <w:tcW w:type="dxa" w:w="2551"/>
            <w:vAlign w:val="center"/>
            <w:shd w:fill="F2F2F2"/>
          </w:tcPr>
          <w:p>
            <w:pPr>
              <w:bidi w:val="1"/>
              <w:jc w:val="center"/>
            </w:pPr>
            <w:r>
              <w:rPr>
                <w:rFonts w:cs="Arial"/>
                <w:b/>
                <w:color w:val="1B2A4E"/>
                <w:sz w:val="15"/>
                <w:rtl w:val="1"/>
              </w:rPr>
              <w:t>سرّي للغاية</w:t>
            </w:r>
          </w:p>
        </w:tc>
      </w:tr>
      <w:tr>
        <w:trPr>
          <w:cantSplit/>
        </w:trPr>
        <w:tc>
          <w:tcPr>
            <w:tcW w:type="dxa" w:w="454"/>
            <w:vAlign w:val="center"/>
          </w:tcPr>
          <w:p>
            <w:pPr>
              <w:bidi w:val="1"/>
              <w:jc w:val="right"/>
            </w:pPr>
            <w:r>
              <w:rPr>
                <w:rFonts w:cs="Arial"/>
                <w:b/>
                <w:color w:val="1F2A44"/>
                <w:sz w:val="15"/>
                <w:rtl w:val="1"/>
              </w:rPr>
              <w:t>4</w:t>
            </w:r>
          </w:p>
        </w:tc>
        <w:tc>
          <w:tcPr>
            <w:tcW w:type="dxa" w:w="3515"/>
            <w:vAlign w:val="center"/>
          </w:tcPr>
          <w:p>
            <w:pPr>
              <w:bidi w:val="1"/>
              <w:jc w:val="right"/>
            </w:pPr>
            <w:r>
              <w:rPr>
                <w:rFonts w:cs="Arial"/>
                <w:color w:val="262626"/>
                <w:sz w:val="15"/>
                <w:rtl w:val="1"/>
              </w:rPr>
              <w:t>بيانات التكامل مع الجهات الحكومية</w:t>
            </w:r>
          </w:p>
        </w:tc>
        <w:tc>
          <w:tcPr>
            <w:tcW w:type="dxa" w:w="2551"/>
            <w:vAlign w:val="center"/>
          </w:tcPr>
          <w:p>
            <w:pPr>
              <w:bidi w:val="1"/>
              <w:jc w:val="center"/>
            </w:pPr>
            <w:r>
              <w:rPr>
                <w:rFonts w:cs="Arial"/>
                <w:b/>
                <w:color w:val="1B2A4E"/>
                <w:sz w:val="15"/>
                <w:rtl w:val="1"/>
              </w:rPr>
              <w:t>سرّي للغاية</w:t>
            </w:r>
          </w:p>
        </w:tc>
        <w:tc>
          <w:tcPr>
            <w:tcW w:type="dxa" w:w="2551"/>
            <w:vAlign w:val="center"/>
          </w:tcPr>
          <w:p>
            <w:pPr>
              <w:bidi w:val="1"/>
              <w:jc w:val="center"/>
            </w:pPr>
            <w:r>
              <w:rPr>
                <w:rFonts w:cs="Arial"/>
                <w:b/>
                <w:color w:val="1B2A4E"/>
                <w:sz w:val="15"/>
                <w:rtl w:val="1"/>
              </w:rPr>
              <w:t>سرّي للغاية</w:t>
            </w:r>
          </w:p>
        </w:tc>
      </w:tr>
      <w:tr>
        <w:trPr>
          <w:cantSplit/>
        </w:trPr>
        <w:tc>
          <w:tcPr>
            <w:tcW w:type="dxa" w:w="454"/>
            <w:vAlign w:val="center"/>
            <w:shd w:fill="F2F2F2"/>
          </w:tcPr>
          <w:p>
            <w:pPr>
              <w:bidi w:val="1"/>
              <w:jc w:val="right"/>
            </w:pPr>
            <w:r>
              <w:rPr>
                <w:rFonts w:cs="Arial"/>
                <w:b/>
                <w:color w:val="1F2A44"/>
                <w:sz w:val="15"/>
                <w:rtl w:val="1"/>
              </w:rPr>
              <w:t>5</w:t>
            </w:r>
          </w:p>
        </w:tc>
        <w:tc>
          <w:tcPr>
            <w:tcW w:type="dxa" w:w="3515"/>
            <w:vAlign w:val="center"/>
            <w:shd w:fill="F2F2F2"/>
          </w:tcPr>
          <w:p>
            <w:pPr>
              <w:bidi w:val="1"/>
              <w:jc w:val="right"/>
            </w:pPr>
            <w:r>
              <w:rPr>
                <w:rFonts w:cs="Arial"/>
                <w:color w:val="262626"/>
                <w:sz w:val="15"/>
                <w:rtl w:val="1"/>
              </w:rPr>
              <w:t>بيانات الرواتب والمزايا الوظيفية</w:t>
            </w:r>
          </w:p>
        </w:tc>
        <w:tc>
          <w:tcPr>
            <w:tcW w:type="dxa" w:w="2551"/>
            <w:vAlign w:val="center"/>
            <w:shd w:fill="F2F2F2"/>
          </w:tcPr>
          <w:p>
            <w:pPr>
              <w:bidi w:val="1"/>
              <w:jc w:val="center"/>
            </w:pPr>
            <w:r>
              <w:rPr>
                <w:rFonts w:cs="Arial"/>
                <w:b/>
                <w:color w:val="8A6D00"/>
                <w:sz w:val="15"/>
                <w:rtl w:val="1"/>
              </w:rPr>
              <w:t>سرّي</w:t>
            </w:r>
          </w:p>
        </w:tc>
        <w:tc>
          <w:tcPr>
            <w:tcW w:type="dxa" w:w="2551"/>
            <w:vAlign w:val="center"/>
            <w:shd w:fill="F2F2F2"/>
          </w:tcPr>
          <w:p>
            <w:pPr>
              <w:bidi w:val="1"/>
              <w:jc w:val="center"/>
            </w:pPr>
            <w:r>
              <w:rPr>
                <w:rFonts w:cs="Arial"/>
                <w:b/>
                <w:color w:val="8A6D00"/>
                <w:sz w:val="15"/>
                <w:rtl w:val="1"/>
              </w:rPr>
              <w:t>سرّي</w:t>
            </w:r>
          </w:p>
        </w:tc>
      </w:tr>
      <w:tr>
        <w:trPr>
          <w:cantSplit/>
        </w:trPr>
        <w:tc>
          <w:tcPr>
            <w:tcW w:type="dxa" w:w="454"/>
            <w:vAlign w:val="center"/>
          </w:tcPr>
          <w:p>
            <w:pPr>
              <w:bidi w:val="1"/>
              <w:jc w:val="right"/>
            </w:pPr>
            <w:r>
              <w:rPr>
                <w:rFonts w:cs="Arial"/>
                <w:b/>
                <w:color w:val="1F2A44"/>
                <w:sz w:val="15"/>
                <w:rtl w:val="1"/>
              </w:rPr>
              <w:t>6</w:t>
            </w:r>
          </w:p>
        </w:tc>
        <w:tc>
          <w:tcPr>
            <w:tcW w:type="dxa" w:w="3515"/>
            <w:vAlign w:val="center"/>
          </w:tcPr>
          <w:p>
            <w:pPr>
              <w:bidi w:val="1"/>
              <w:jc w:val="right"/>
            </w:pPr>
            <w:r>
              <w:rPr>
                <w:rFonts w:cs="Arial"/>
                <w:color w:val="262626"/>
                <w:sz w:val="15"/>
                <w:rtl w:val="1"/>
              </w:rPr>
              <w:t>بيانات المدفوعات والمعاملات المالية</w:t>
            </w:r>
          </w:p>
        </w:tc>
        <w:tc>
          <w:tcPr>
            <w:tcW w:type="dxa" w:w="2551"/>
            <w:vAlign w:val="center"/>
          </w:tcPr>
          <w:p>
            <w:pPr>
              <w:bidi w:val="1"/>
              <w:jc w:val="center"/>
            </w:pPr>
            <w:r>
              <w:rPr>
                <w:rFonts w:cs="Arial"/>
                <w:b/>
                <w:color w:val="8A6D00"/>
                <w:sz w:val="15"/>
                <w:rtl w:val="1"/>
              </w:rPr>
              <w:t>سرّي</w:t>
            </w:r>
          </w:p>
        </w:tc>
        <w:tc>
          <w:tcPr>
            <w:tcW w:type="dxa" w:w="2551"/>
            <w:vAlign w:val="center"/>
          </w:tcPr>
          <w:p>
            <w:pPr>
              <w:bidi w:val="1"/>
              <w:jc w:val="center"/>
            </w:pPr>
            <w:r>
              <w:rPr>
                <w:rFonts w:cs="Arial"/>
                <w:b/>
                <w:color w:val="8A6D00"/>
                <w:sz w:val="15"/>
                <w:rtl w:val="1"/>
              </w:rPr>
              <w:t>سرّي</w:t>
            </w:r>
          </w:p>
        </w:tc>
      </w:tr>
      <w:tr>
        <w:trPr>
          <w:cantSplit/>
        </w:trPr>
        <w:tc>
          <w:tcPr>
            <w:tcW w:type="dxa" w:w="454"/>
            <w:vAlign w:val="center"/>
            <w:shd w:fill="F2F2F2"/>
          </w:tcPr>
          <w:p>
            <w:pPr>
              <w:bidi w:val="1"/>
              <w:jc w:val="right"/>
            </w:pPr>
            <w:r>
              <w:rPr>
                <w:rFonts w:cs="Arial"/>
                <w:b/>
                <w:color w:val="1F2A44"/>
                <w:sz w:val="15"/>
                <w:rtl w:val="1"/>
              </w:rPr>
              <w:t>7</w:t>
            </w:r>
          </w:p>
        </w:tc>
        <w:tc>
          <w:tcPr>
            <w:tcW w:type="dxa" w:w="3515"/>
            <w:vAlign w:val="center"/>
            <w:shd w:fill="F2F2F2"/>
          </w:tcPr>
          <w:p>
            <w:pPr>
              <w:bidi w:val="1"/>
              <w:jc w:val="right"/>
            </w:pPr>
            <w:r>
              <w:rPr>
                <w:rFonts w:cs="Arial"/>
                <w:color w:val="262626"/>
                <w:sz w:val="15"/>
                <w:rtl w:val="1"/>
              </w:rPr>
              <w:t>بيانات الموظفين والملفات الوظيفية</w:t>
            </w:r>
          </w:p>
        </w:tc>
        <w:tc>
          <w:tcPr>
            <w:tcW w:type="dxa" w:w="2551"/>
            <w:vAlign w:val="center"/>
            <w:shd w:fill="F2F2F2"/>
          </w:tcPr>
          <w:p>
            <w:pPr>
              <w:bidi w:val="1"/>
              <w:jc w:val="center"/>
            </w:pPr>
            <w:r>
              <w:rPr>
                <w:rFonts w:cs="Arial"/>
                <w:b/>
                <w:color w:val="8A6D00"/>
                <w:sz w:val="15"/>
                <w:rtl w:val="1"/>
              </w:rPr>
              <w:t>سرّي</w:t>
            </w:r>
          </w:p>
        </w:tc>
        <w:tc>
          <w:tcPr>
            <w:tcW w:type="dxa" w:w="2551"/>
            <w:vAlign w:val="center"/>
            <w:shd w:fill="F2F2F2"/>
          </w:tcPr>
          <w:p>
            <w:pPr>
              <w:bidi w:val="1"/>
              <w:jc w:val="center"/>
            </w:pPr>
            <w:r>
              <w:rPr>
                <w:rFonts w:cs="Arial"/>
                <w:b/>
                <w:color w:val="8A6D00"/>
                <w:sz w:val="15"/>
                <w:rtl w:val="1"/>
              </w:rPr>
              <w:t>سرّي</w:t>
            </w:r>
          </w:p>
        </w:tc>
      </w:tr>
      <w:tr>
        <w:trPr>
          <w:cantSplit/>
        </w:trPr>
        <w:tc>
          <w:tcPr>
            <w:tcW w:type="dxa" w:w="454"/>
            <w:vAlign w:val="center"/>
          </w:tcPr>
          <w:p>
            <w:pPr>
              <w:bidi w:val="1"/>
              <w:jc w:val="right"/>
            </w:pPr>
            <w:r>
              <w:rPr>
                <w:rFonts w:cs="Arial"/>
                <w:b/>
                <w:color w:val="1F2A44"/>
                <w:sz w:val="15"/>
                <w:rtl w:val="1"/>
              </w:rPr>
              <w:t>8</w:t>
            </w:r>
          </w:p>
        </w:tc>
        <w:tc>
          <w:tcPr>
            <w:tcW w:type="dxa" w:w="3515"/>
            <w:vAlign w:val="center"/>
          </w:tcPr>
          <w:p>
            <w:pPr>
              <w:bidi w:val="1"/>
              <w:jc w:val="right"/>
            </w:pPr>
            <w:r>
              <w:rPr>
                <w:rFonts w:cs="Arial"/>
                <w:color w:val="262626"/>
                <w:sz w:val="15"/>
                <w:rtl w:val="1"/>
              </w:rPr>
              <w:t>بيانات المستخدمين والمستفيدين</w:t>
            </w:r>
          </w:p>
        </w:tc>
        <w:tc>
          <w:tcPr>
            <w:tcW w:type="dxa" w:w="2551"/>
            <w:vAlign w:val="center"/>
          </w:tcPr>
          <w:p>
            <w:pPr>
              <w:bidi w:val="1"/>
              <w:jc w:val="center"/>
            </w:pPr>
            <w:r>
              <w:rPr>
                <w:rFonts w:cs="Arial"/>
                <w:b/>
                <w:color w:val="8A6D00"/>
                <w:sz w:val="15"/>
                <w:rtl w:val="1"/>
              </w:rPr>
              <w:t>سرّي</w:t>
            </w:r>
          </w:p>
        </w:tc>
        <w:tc>
          <w:tcPr>
            <w:tcW w:type="dxa" w:w="2551"/>
            <w:vAlign w:val="center"/>
          </w:tcPr>
          <w:p>
            <w:pPr>
              <w:bidi w:val="1"/>
              <w:jc w:val="center"/>
            </w:pPr>
            <w:r>
              <w:rPr>
                <w:rFonts w:cs="Arial"/>
                <w:b/>
                <w:color w:val="8A6D00"/>
                <w:sz w:val="15"/>
                <w:rtl w:val="1"/>
              </w:rPr>
              <w:t>سرّي</w:t>
            </w:r>
          </w:p>
        </w:tc>
      </w:tr>
      <w:tr>
        <w:trPr>
          <w:cantSplit/>
        </w:trPr>
        <w:tc>
          <w:tcPr>
            <w:tcW w:type="dxa" w:w="454"/>
            <w:vAlign w:val="center"/>
            <w:shd w:fill="F2F2F2"/>
          </w:tcPr>
          <w:p>
            <w:pPr>
              <w:bidi w:val="1"/>
              <w:jc w:val="right"/>
            </w:pPr>
            <w:r>
              <w:rPr>
                <w:rFonts w:cs="Arial"/>
                <w:b/>
                <w:color w:val="1F2A44"/>
                <w:sz w:val="15"/>
                <w:rtl w:val="1"/>
              </w:rPr>
              <w:t>9</w:t>
            </w:r>
          </w:p>
        </w:tc>
        <w:tc>
          <w:tcPr>
            <w:tcW w:type="dxa" w:w="3515"/>
            <w:vAlign w:val="center"/>
            <w:shd w:fill="F2F2F2"/>
          </w:tcPr>
          <w:p>
            <w:pPr>
              <w:bidi w:val="1"/>
              <w:jc w:val="right"/>
            </w:pPr>
            <w:r>
              <w:rPr>
                <w:rFonts w:cs="Arial"/>
                <w:color w:val="262626"/>
                <w:sz w:val="15"/>
                <w:rtl w:val="1"/>
              </w:rPr>
              <w:t>بيانات طلبات ومعاملات المستفيدين</w:t>
            </w:r>
          </w:p>
        </w:tc>
        <w:tc>
          <w:tcPr>
            <w:tcW w:type="dxa" w:w="2551"/>
            <w:vAlign w:val="center"/>
            <w:shd w:fill="F2F2F2"/>
          </w:tcPr>
          <w:p>
            <w:pPr>
              <w:bidi w:val="1"/>
              <w:jc w:val="center"/>
            </w:pPr>
            <w:r>
              <w:rPr>
                <w:rFonts w:cs="Arial"/>
                <w:b/>
                <w:color w:val="8A6D00"/>
                <w:sz w:val="15"/>
                <w:rtl w:val="1"/>
              </w:rPr>
              <w:t>مقيّد</w:t>
            </w:r>
          </w:p>
        </w:tc>
        <w:tc>
          <w:tcPr>
            <w:tcW w:type="dxa" w:w="2551"/>
            <w:vAlign w:val="center"/>
            <w:shd w:fill="F2F2F2"/>
          </w:tcPr>
          <w:p>
            <w:pPr>
              <w:bidi w:val="1"/>
              <w:jc w:val="center"/>
            </w:pPr>
            <w:r>
              <w:rPr>
                <w:rFonts w:cs="Arial"/>
                <w:b/>
                <w:color w:val="8A6D00"/>
                <w:sz w:val="15"/>
                <w:rtl w:val="1"/>
              </w:rPr>
              <w:t>مقيّد</w:t>
            </w:r>
          </w:p>
        </w:tc>
      </w:tr>
      <w:tr>
        <w:trPr>
          <w:cantSplit/>
        </w:trPr>
        <w:tc>
          <w:tcPr>
            <w:tcW w:type="dxa" w:w="454"/>
            <w:vAlign w:val="center"/>
          </w:tcPr>
          <w:p>
            <w:pPr>
              <w:bidi w:val="1"/>
              <w:jc w:val="right"/>
            </w:pPr>
            <w:r>
              <w:rPr>
                <w:rFonts w:cs="Arial"/>
                <w:b/>
                <w:color w:val="1F2A44"/>
                <w:sz w:val="15"/>
                <w:rtl w:val="1"/>
              </w:rPr>
              <w:t>10</w:t>
            </w:r>
          </w:p>
        </w:tc>
        <w:tc>
          <w:tcPr>
            <w:tcW w:type="dxa" w:w="3515"/>
            <w:vAlign w:val="center"/>
          </w:tcPr>
          <w:p>
            <w:pPr>
              <w:bidi w:val="1"/>
              <w:jc w:val="right"/>
            </w:pPr>
            <w:r>
              <w:rPr>
                <w:rFonts w:cs="Arial"/>
                <w:color w:val="262626"/>
                <w:sz w:val="15"/>
                <w:rtl w:val="1"/>
              </w:rPr>
              <w:t>بيانات الخدمات الحكومية الرقمية</w:t>
            </w:r>
          </w:p>
        </w:tc>
        <w:tc>
          <w:tcPr>
            <w:tcW w:type="dxa" w:w="2551"/>
            <w:vAlign w:val="center"/>
          </w:tcPr>
          <w:p>
            <w:pPr>
              <w:bidi w:val="1"/>
              <w:jc w:val="center"/>
            </w:pPr>
            <w:r>
              <w:rPr>
                <w:rFonts w:cs="Arial"/>
                <w:b/>
                <w:color w:val="8A6D00"/>
                <w:sz w:val="15"/>
                <w:rtl w:val="1"/>
              </w:rPr>
              <w:t>مقيّد</w:t>
            </w:r>
          </w:p>
        </w:tc>
        <w:tc>
          <w:tcPr>
            <w:tcW w:type="dxa" w:w="2551"/>
            <w:vAlign w:val="center"/>
          </w:tcPr>
          <w:p>
            <w:pPr>
              <w:bidi w:val="1"/>
              <w:jc w:val="center"/>
            </w:pPr>
            <w:r>
              <w:rPr>
                <w:rFonts w:cs="Arial"/>
                <w:b/>
                <w:color w:val="1F6F43"/>
                <w:sz w:val="15"/>
                <w:rtl w:val="1"/>
              </w:rPr>
              <w:t>عام</w:t>
            </w:r>
          </w:p>
        </w:tc>
      </w:tr>
      <w:tr>
        <w:trPr>
          <w:cantSplit/>
        </w:trPr>
        <w:tc>
          <w:tcPr>
            <w:tcW w:type="dxa" w:w="454"/>
            <w:vAlign w:val="center"/>
            <w:shd w:fill="F2F2F2"/>
          </w:tcPr>
          <w:p>
            <w:pPr>
              <w:bidi w:val="1"/>
              <w:jc w:val="right"/>
            </w:pPr>
            <w:r>
              <w:rPr>
                <w:rFonts w:cs="Arial"/>
                <w:b/>
                <w:color w:val="1F2A44"/>
                <w:sz w:val="15"/>
                <w:rtl w:val="1"/>
              </w:rPr>
              <w:t>11</w:t>
            </w:r>
          </w:p>
        </w:tc>
        <w:tc>
          <w:tcPr>
            <w:tcW w:type="dxa" w:w="3515"/>
            <w:vAlign w:val="center"/>
            <w:shd w:fill="F2F2F2"/>
          </w:tcPr>
          <w:p>
            <w:pPr>
              <w:bidi w:val="1"/>
              <w:jc w:val="right"/>
            </w:pPr>
            <w:r>
              <w:rPr>
                <w:rFonts w:cs="Arial"/>
                <w:color w:val="262626"/>
                <w:sz w:val="15"/>
                <w:rtl w:val="1"/>
              </w:rPr>
              <w:t>بيانات الموردين والمتعاقدين</w:t>
            </w:r>
          </w:p>
        </w:tc>
        <w:tc>
          <w:tcPr>
            <w:tcW w:type="dxa" w:w="2551"/>
            <w:vAlign w:val="center"/>
            <w:shd w:fill="F2F2F2"/>
          </w:tcPr>
          <w:p>
            <w:pPr>
              <w:bidi w:val="1"/>
              <w:jc w:val="center"/>
            </w:pPr>
            <w:r>
              <w:rPr>
                <w:rFonts w:cs="Arial"/>
                <w:b/>
                <w:color w:val="8A6D00"/>
                <w:sz w:val="15"/>
                <w:rtl w:val="1"/>
              </w:rPr>
              <w:t>مقيّد</w:t>
            </w:r>
          </w:p>
        </w:tc>
        <w:tc>
          <w:tcPr>
            <w:tcW w:type="dxa" w:w="2551"/>
            <w:vAlign w:val="center"/>
            <w:shd w:fill="F2F2F2"/>
          </w:tcPr>
          <w:p>
            <w:pPr>
              <w:bidi w:val="1"/>
              <w:jc w:val="center"/>
            </w:pPr>
            <w:r>
              <w:rPr>
                <w:rFonts w:cs="Arial"/>
                <w:b/>
                <w:color w:val="8A6D00"/>
                <w:sz w:val="15"/>
                <w:rtl w:val="1"/>
              </w:rPr>
              <w:t>مقيّد</w:t>
            </w:r>
          </w:p>
        </w:tc>
      </w:tr>
      <w:tr>
        <w:trPr>
          <w:cantSplit/>
        </w:trPr>
        <w:tc>
          <w:tcPr>
            <w:tcW w:type="dxa" w:w="454"/>
            <w:vAlign w:val="center"/>
          </w:tcPr>
          <w:p>
            <w:pPr>
              <w:bidi w:val="1"/>
              <w:jc w:val="right"/>
            </w:pPr>
            <w:r>
              <w:rPr>
                <w:rFonts w:cs="Arial"/>
                <w:b/>
                <w:color w:val="1F2A44"/>
                <w:sz w:val="15"/>
                <w:rtl w:val="1"/>
              </w:rPr>
              <w:t>12</w:t>
            </w:r>
          </w:p>
        </w:tc>
        <w:tc>
          <w:tcPr>
            <w:tcW w:type="dxa" w:w="3515"/>
            <w:vAlign w:val="center"/>
          </w:tcPr>
          <w:p>
            <w:pPr>
              <w:bidi w:val="1"/>
              <w:jc w:val="right"/>
            </w:pPr>
            <w:r>
              <w:rPr>
                <w:rFonts w:cs="Arial"/>
                <w:color w:val="262626"/>
                <w:sz w:val="15"/>
                <w:rtl w:val="1"/>
              </w:rPr>
              <w:t>بيانات الأصول والبنية التحتية التقنية</w:t>
            </w:r>
          </w:p>
        </w:tc>
        <w:tc>
          <w:tcPr>
            <w:tcW w:type="dxa" w:w="2551"/>
            <w:vAlign w:val="center"/>
          </w:tcPr>
          <w:p>
            <w:pPr>
              <w:bidi w:val="1"/>
              <w:jc w:val="center"/>
            </w:pPr>
            <w:r>
              <w:rPr>
                <w:rFonts w:cs="Arial"/>
                <w:b/>
                <w:color w:val="8A6D00"/>
                <w:sz w:val="15"/>
                <w:rtl w:val="1"/>
              </w:rPr>
              <w:t>سرّي</w:t>
            </w:r>
          </w:p>
        </w:tc>
        <w:tc>
          <w:tcPr>
            <w:tcW w:type="dxa" w:w="2551"/>
            <w:vAlign w:val="center"/>
          </w:tcPr>
          <w:p>
            <w:pPr>
              <w:bidi w:val="1"/>
              <w:jc w:val="center"/>
            </w:pPr>
            <w:r>
              <w:rPr>
                <w:rFonts w:cs="Arial"/>
                <w:b/>
                <w:color w:val="8A6D00"/>
                <w:sz w:val="15"/>
                <w:rtl w:val="1"/>
              </w:rPr>
              <w:t>سرّي</w:t>
            </w:r>
          </w:p>
        </w:tc>
      </w:tr>
      <w:tr>
        <w:trPr>
          <w:cantSplit/>
        </w:trPr>
        <w:tc>
          <w:tcPr>
            <w:tcW w:type="dxa" w:w="454"/>
            <w:vAlign w:val="center"/>
            <w:shd w:fill="F2F2F2"/>
          </w:tcPr>
          <w:p>
            <w:pPr>
              <w:bidi w:val="1"/>
              <w:jc w:val="right"/>
            </w:pPr>
            <w:r>
              <w:rPr>
                <w:rFonts w:cs="Arial"/>
                <w:b/>
                <w:color w:val="1F2A44"/>
                <w:sz w:val="15"/>
                <w:rtl w:val="1"/>
              </w:rPr>
              <w:t>13</w:t>
            </w:r>
          </w:p>
        </w:tc>
        <w:tc>
          <w:tcPr>
            <w:tcW w:type="dxa" w:w="3515"/>
            <w:vAlign w:val="center"/>
            <w:shd w:fill="F2F2F2"/>
          </w:tcPr>
          <w:p>
            <w:pPr>
              <w:bidi w:val="1"/>
              <w:jc w:val="right"/>
            </w:pPr>
            <w:r>
              <w:rPr>
                <w:rFonts w:cs="Arial"/>
                <w:color w:val="262626"/>
                <w:sz w:val="15"/>
                <w:rtl w:val="1"/>
              </w:rPr>
              <w:t>بيانات الأهداف والخطط الاستراتيجية</w:t>
            </w:r>
          </w:p>
        </w:tc>
        <w:tc>
          <w:tcPr>
            <w:tcW w:type="dxa" w:w="2551"/>
            <w:vAlign w:val="center"/>
            <w:shd w:fill="F2F2F2"/>
          </w:tcPr>
          <w:p>
            <w:pPr>
              <w:bidi w:val="1"/>
              <w:jc w:val="center"/>
            </w:pPr>
            <w:r>
              <w:rPr>
                <w:rFonts w:cs="Arial"/>
                <w:b/>
                <w:color w:val="8A6D00"/>
                <w:sz w:val="15"/>
                <w:rtl w:val="1"/>
              </w:rPr>
              <w:t>سرّي</w:t>
            </w:r>
          </w:p>
        </w:tc>
        <w:tc>
          <w:tcPr>
            <w:tcW w:type="dxa" w:w="2551"/>
            <w:vAlign w:val="center"/>
            <w:shd w:fill="F2F2F2"/>
          </w:tcPr>
          <w:p>
            <w:pPr>
              <w:bidi w:val="1"/>
              <w:jc w:val="center"/>
            </w:pPr>
            <w:r>
              <w:rPr>
                <w:rFonts w:cs="Arial"/>
                <w:b/>
                <w:color w:val="8A6D00"/>
                <w:sz w:val="15"/>
                <w:rtl w:val="1"/>
              </w:rPr>
              <w:t>سرّي</w:t>
            </w:r>
          </w:p>
        </w:tc>
      </w:tr>
      <w:tr>
        <w:trPr>
          <w:cantSplit/>
        </w:trPr>
        <w:tc>
          <w:tcPr>
            <w:tcW w:type="dxa" w:w="454"/>
            <w:vAlign w:val="center"/>
          </w:tcPr>
          <w:p>
            <w:pPr>
              <w:bidi w:val="1"/>
              <w:jc w:val="right"/>
            </w:pPr>
            <w:r>
              <w:rPr>
                <w:rFonts w:cs="Arial"/>
                <w:b/>
                <w:color w:val="1F2A44"/>
                <w:sz w:val="15"/>
                <w:rtl w:val="1"/>
              </w:rPr>
              <w:t>14</w:t>
            </w:r>
          </w:p>
        </w:tc>
        <w:tc>
          <w:tcPr>
            <w:tcW w:type="dxa" w:w="3515"/>
            <w:vAlign w:val="center"/>
          </w:tcPr>
          <w:p>
            <w:pPr>
              <w:bidi w:val="1"/>
              <w:jc w:val="right"/>
            </w:pPr>
            <w:r>
              <w:rPr>
                <w:rFonts w:cs="Arial"/>
                <w:color w:val="262626"/>
                <w:sz w:val="15"/>
                <w:rtl w:val="1"/>
              </w:rPr>
              <w:t>بيانات التدريب والتطوير الوظيفي</w:t>
            </w:r>
          </w:p>
        </w:tc>
        <w:tc>
          <w:tcPr>
            <w:tcW w:type="dxa" w:w="2551"/>
            <w:vAlign w:val="center"/>
          </w:tcPr>
          <w:p>
            <w:pPr>
              <w:bidi w:val="1"/>
              <w:jc w:val="center"/>
            </w:pPr>
            <w:r>
              <w:rPr>
                <w:rFonts w:cs="Arial"/>
                <w:b/>
                <w:color w:val="8A6D00"/>
                <w:sz w:val="15"/>
                <w:rtl w:val="1"/>
              </w:rPr>
              <w:t>مقيّد</w:t>
            </w:r>
          </w:p>
        </w:tc>
        <w:tc>
          <w:tcPr>
            <w:tcW w:type="dxa" w:w="2551"/>
            <w:vAlign w:val="center"/>
          </w:tcPr>
          <w:p>
            <w:pPr>
              <w:bidi w:val="1"/>
              <w:jc w:val="center"/>
            </w:pPr>
            <w:r>
              <w:rPr>
                <w:rFonts w:cs="Arial"/>
                <w:b/>
                <w:color w:val="8A6D00"/>
                <w:sz w:val="15"/>
                <w:rtl w:val="1"/>
              </w:rPr>
              <w:t>مقيّد</w:t>
            </w:r>
          </w:p>
        </w:tc>
      </w:tr>
      <w:tr>
        <w:trPr>
          <w:cantSplit/>
        </w:trPr>
        <w:tc>
          <w:tcPr>
            <w:tcW w:type="dxa" w:w="454"/>
            <w:vAlign w:val="center"/>
            <w:shd w:fill="F2F2F2"/>
          </w:tcPr>
          <w:p>
            <w:pPr>
              <w:bidi w:val="1"/>
              <w:jc w:val="right"/>
            </w:pPr>
            <w:r>
              <w:rPr>
                <w:rFonts w:cs="Arial"/>
                <w:b/>
                <w:color w:val="1F2A44"/>
                <w:sz w:val="15"/>
                <w:rtl w:val="1"/>
              </w:rPr>
              <w:t>15</w:t>
            </w:r>
          </w:p>
        </w:tc>
        <w:tc>
          <w:tcPr>
            <w:tcW w:type="dxa" w:w="3515"/>
            <w:vAlign w:val="center"/>
            <w:shd w:fill="F2F2F2"/>
          </w:tcPr>
          <w:p>
            <w:pPr>
              <w:bidi w:val="1"/>
              <w:jc w:val="right"/>
            </w:pPr>
            <w:r>
              <w:rPr>
                <w:rFonts w:cs="Arial"/>
                <w:color w:val="262626"/>
                <w:sz w:val="15"/>
                <w:rtl w:val="1"/>
              </w:rPr>
              <w:t>بيانات استطلاعات رضا المستفيدين</w:t>
            </w:r>
          </w:p>
        </w:tc>
        <w:tc>
          <w:tcPr>
            <w:tcW w:type="dxa" w:w="2551"/>
            <w:vAlign w:val="center"/>
            <w:shd w:fill="F2F2F2"/>
          </w:tcPr>
          <w:p>
            <w:pPr>
              <w:bidi w:val="1"/>
              <w:jc w:val="center"/>
            </w:pPr>
            <w:r>
              <w:rPr>
                <w:rFonts w:cs="Arial"/>
                <w:b/>
                <w:color w:val="1F6F43"/>
                <w:sz w:val="15"/>
                <w:rtl w:val="1"/>
              </w:rPr>
              <w:t>عام</w:t>
            </w:r>
          </w:p>
        </w:tc>
        <w:tc>
          <w:tcPr>
            <w:tcW w:type="dxa" w:w="2551"/>
            <w:vAlign w:val="center"/>
            <w:shd w:fill="F2F2F2"/>
          </w:tcPr>
          <w:p>
            <w:pPr>
              <w:bidi w:val="1"/>
              <w:jc w:val="center"/>
            </w:pPr>
            <w:r>
              <w:rPr>
                <w:rFonts w:cs="Arial"/>
                <w:b/>
                <w:color w:val="1F6F43"/>
                <w:sz w:val="15"/>
                <w:rtl w:val="1"/>
              </w:rPr>
              <w:t>عام</w:t>
            </w:r>
          </w:p>
        </w:tc>
      </w:tr>
      <w:tr>
        <w:trPr>
          <w:cantSplit/>
        </w:trPr>
        <w:tc>
          <w:tcPr>
            <w:tcW w:type="dxa" w:w="454"/>
            <w:vAlign w:val="center"/>
          </w:tcPr>
          <w:p>
            <w:pPr>
              <w:bidi w:val="1"/>
              <w:jc w:val="right"/>
            </w:pPr>
            <w:r>
              <w:rPr>
                <w:rFonts w:cs="Arial"/>
                <w:b/>
                <w:color w:val="1F2A44"/>
                <w:sz w:val="15"/>
                <w:rtl w:val="1"/>
              </w:rPr>
              <w:t>16</w:t>
            </w:r>
          </w:p>
        </w:tc>
        <w:tc>
          <w:tcPr>
            <w:tcW w:type="dxa" w:w="3515"/>
            <w:vAlign w:val="center"/>
          </w:tcPr>
          <w:p>
            <w:pPr>
              <w:bidi w:val="1"/>
              <w:jc w:val="right"/>
            </w:pPr>
            <w:r>
              <w:rPr>
                <w:rFonts w:cs="Arial"/>
                <w:color w:val="262626"/>
                <w:sz w:val="15"/>
                <w:rtl w:val="1"/>
              </w:rPr>
              <w:t>بيانات الحوادث التقنية وطلبات الدعم</w:t>
            </w:r>
          </w:p>
        </w:tc>
        <w:tc>
          <w:tcPr>
            <w:tcW w:type="dxa" w:w="2551"/>
            <w:vAlign w:val="center"/>
          </w:tcPr>
          <w:p>
            <w:pPr>
              <w:bidi w:val="1"/>
              <w:jc w:val="center"/>
            </w:pPr>
            <w:r>
              <w:rPr>
                <w:rFonts w:cs="Arial"/>
                <w:b/>
                <w:color w:val="8A6D00"/>
                <w:sz w:val="15"/>
                <w:rtl w:val="1"/>
              </w:rPr>
              <w:t>مقيّد</w:t>
            </w:r>
          </w:p>
        </w:tc>
        <w:tc>
          <w:tcPr>
            <w:tcW w:type="dxa" w:w="2551"/>
            <w:vAlign w:val="center"/>
          </w:tcPr>
          <w:p>
            <w:pPr>
              <w:bidi w:val="1"/>
              <w:jc w:val="center"/>
            </w:pPr>
            <w:r>
              <w:rPr>
                <w:rFonts w:cs="Arial"/>
                <w:b/>
                <w:color w:val="8A6D00"/>
                <w:sz w:val="15"/>
                <w:rtl w:val="1"/>
              </w:rPr>
              <w:t>مقيّد</w:t>
            </w:r>
          </w:p>
        </w:tc>
      </w:tr>
      <w:tr>
        <w:trPr>
          <w:cantSplit/>
        </w:trPr>
        <w:tc>
          <w:tcPr>
            <w:tcW w:type="dxa" w:w="454"/>
            <w:vAlign w:val="center"/>
            <w:shd w:fill="F2F2F2"/>
          </w:tcPr>
          <w:p>
            <w:pPr>
              <w:bidi w:val="1"/>
              <w:jc w:val="right"/>
            </w:pPr>
            <w:r>
              <w:rPr>
                <w:rFonts w:cs="Arial"/>
                <w:b/>
                <w:color w:val="1F2A44"/>
                <w:sz w:val="15"/>
                <w:rtl w:val="1"/>
              </w:rPr>
              <w:t>17</w:t>
            </w:r>
          </w:p>
        </w:tc>
        <w:tc>
          <w:tcPr>
            <w:tcW w:type="dxa" w:w="3515"/>
            <w:vAlign w:val="center"/>
            <w:shd w:fill="F2F2F2"/>
          </w:tcPr>
          <w:p>
            <w:pPr>
              <w:bidi w:val="1"/>
              <w:jc w:val="right"/>
            </w:pPr>
            <w:r>
              <w:rPr>
                <w:rFonts w:cs="Arial"/>
                <w:color w:val="262626"/>
                <w:sz w:val="15"/>
                <w:rtl w:val="1"/>
              </w:rPr>
              <w:t>بيانات المحتوى الرقمي والموقع الإلكتروني</w:t>
            </w:r>
          </w:p>
        </w:tc>
        <w:tc>
          <w:tcPr>
            <w:tcW w:type="dxa" w:w="2551"/>
            <w:vAlign w:val="center"/>
            <w:shd w:fill="F2F2F2"/>
          </w:tcPr>
          <w:p>
            <w:pPr>
              <w:bidi w:val="1"/>
              <w:jc w:val="center"/>
            </w:pPr>
            <w:r>
              <w:rPr>
                <w:rFonts w:cs="Arial"/>
                <w:b/>
                <w:color w:val="1F6F43"/>
                <w:sz w:val="15"/>
                <w:rtl w:val="1"/>
              </w:rPr>
              <w:t>عام</w:t>
            </w:r>
          </w:p>
        </w:tc>
        <w:tc>
          <w:tcPr>
            <w:tcW w:type="dxa" w:w="2551"/>
            <w:vAlign w:val="center"/>
            <w:shd w:fill="F2F2F2"/>
          </w:tcPr>
          <w:p>
            <w:pPr>
              <w:bidi w:val="1"/>
              <w:jc w:val="center"/>
            </w:pPr>
            <w:r>
              <w:rPr>
                <w:rFonts w:cs="Arial"/>
                <w:b/>
                <w:color w:val="1F6F43"/>
                <w:sz w:val="15"/>
                <w:rtl w:val="1"/>
              </w:rPr>
              <w:t>عام</w:t>
            </w:r>
          </w:p>
        </w:tc>
      </w:tr>
      <w:tr>
        <w:trPr>
          <w:cantSplit/>
        </w:trPr>
        <w:tc>
          <w:tcPr>
            <w:tcW w:type="dxa" w:w="454"/>
            <w:vAlign w:val="center"/>
          </w:tcPr>
          <w:p>
            <w:pPr>
              <w:bidi w:val="1"/>
              <w:jc w:val="right"/>
            </w:pPr>
            <w:r>
              <w:rPr>
                <w:rFonts w:cs="Arial"/>
                <w:b/>
                <w:color w:val="1F2A44"/>
                <w:sz w:val="15"/>
                <w:rtl w:val="1"/>
              </w:rPr>
              <w:t>18</w:t>
            </w:r>
          </w:p>
        </w:tc>
        <w:tc>
          <w:tcPr>
            <w:tcW w:type="dxa" w:w="3515"/>
            <w:vAlign w:val="center"/>
          </w:tcPr>
          <w:p>
            <w:pPr>
              <w:bidi w:val="1"/>
              <w:jc w:val="right"/>
            </w:pPr>
            <w:r>
              <w:rPr>
                <w:rFonts w:cs="Arial"/>
                <w:color w:val="262626"/>
                <w:sz w:val="15"/>
                <w:rtl w:val="1"/>
              </w:rPr>
              <w:t>بيانات التقارير والإحصاءات المنشورة</w:t>
            </w:r>
          </w:p>
        </w:tc>
        <w:tc>
          <w:tcPr>
            <w:tcW w:type="dxa" w:w="2551"/>
            <w:vAlign w:val="center"/>
          </w:tcPr>
          <w:p>
            <w:pPr>
              <w:bidi w:val="1"/>
              <w:jc w:val="center"/>
            </w:pPr>
            <w:r>
              <w:rPr>
                <w:rFonts w:cs="Arial"/>
                <w:b/>
                <w:color w:val="1F6F43"/>
                <w:sz w:val="15"/>
                <w:rtl w:val="1"/>
              </w:rPr>
              <w:t>عام</w:t>
            </w:r>
          </w:p>
        </w:tc>
        <w:tc>
          <w:tcPr>
            <w:tcW w:type="dxa" w:w="2551"/>
            <w:vAlign w:val="center"/>
          </w:tcPr>
          <w:p>
            <w:pPr>
              <w:bidi w:val="1"/>
              <w:jc w:val="center"/>
            </w:pPr>
            <w:r>
              <w:rPr>
                <w:rFonts w:cs="Arial"/>
                <w:b/>
                <w:color w:val="1F6F43"/>
                <w:sz w:val="15"/>
                <w:rtl w:val="1"/>
              </w:rPr>
              <w:t>عام</w:t>
            </w:r>
          </w:p>
        </w:tc>
      </w:tr>
      <w:tr>
        <w:trPr>
          <w:cantSplit/>
        </w:trPr>
        <w:tc>
          <w:tcPr>
            <w:tcW w:type="dxa" w:w="454"/>
            <w:vAlign w:val="center"/>
            <w:shd w:fill="F2F2F2"/>
          </w:tcPr>
          <w:p>
            <w:pPr>
              <w:bidi w:val="1"/>
              <w:jc w:val="right"/>
            </w:pPr>
            <w:r>
              <w:rPr>
                <w:rFonts w:cs="Arial"/>
                <w:b/>
                <w:color w:val="1F2A44"/>
                <w:sz w:val="15"/>
                <w:rtl w:val="1"/>
              </w:rPr>
              <w:t>19</w:t>
            </w:r>
          </w:p>
        </w:tc>
        <w:tc>
          <w:tcPr>
            <w:tcW w:type="dxa" w:w="3515"/>
            <w:vAlign w:val="center"/>
            <w:shd w:fill="F2F2F2"/>
          </w:tcPr>
          <w:p>
            <w:pPr>
              <w:bidi w:val="1"/>
              <w:jc w:val="right"/>
            </w:pPr>
            <w:r>
              <w:rPr>
                <w:rFonts w:cs="Arial"/>
                <w:color w:val="262626"/>
                <w:sz w:val="15"/>
                <w:rtl w:val="1"/>
              </w:rPr>
              <w:t>سجلات العقود والاتفاقيات</w:t>
            </w:r>
          </w:p>
        </w:tc>
        <w:tc>
          <w:tcPr>
            <w:tcW w:type="dxa" w:w="2551"/>
            <w:vAlign w:val="center"/>
            <w:shd w:fill="F2F2F2"/>
          </w:tcPr>
          <w:p>
            <w:pPr>
              <w:bidi w:val="1"/>
              <w:jc w:val="center"/>
            </w:pPr>
            <w:r>
              <w:rPr>
                <w:rFonts w:cs="Arial"/>
                <w:b/>
                <w:color w:val="8A6D00"/>
                <w:sz w:val="15"/>
                <w:rtl w:val="1"/>
              </w:rPr>
              <w:t>سرّي</w:t>
            </w:r>
          </w:p>
        </w:tc>
        <w:tc>
          <w:tcPr>
            <w:tcW w:type="dxa" w:w="2551"/>
            <w:vAlign w:val="center"/>
            <w:shd w:fill="F2F2F2"/>
          </w:tcPr>
          <w:p>
            <w:pPr>
              <w:bidi w:val="1"/>
              <w:jc w:val="center"/>
            </w:pPr>
            <w:r>
              <w:rPr>
                <w:rFonts w:cs="Arial"/>
                <w:b/>
                <w:color w:val="8A6D00"/>
                <w:sz w:val="15"/>
                <w:rtl w:val="1"/>
              </w:rPr>
              <w:t>سرّي</w:t>
            </w:r>
          </w:p>
        </w:tc>
      </w:tr>
      <w:tr>
        <w:trPr>
          <w:cantSplit/>
        </w:trPr>
        <w:tc>
          <w:tcPr>
            <w:tcW w:type="dxa" w:w="454"/>
            <w:vAlign w:val="center"/>
          </w:tcPr>
          <w:p>
            <w:pPr>
              <w:bidi w:val="1"/>
              <w:jc w:val="right"/>
            </w:pPr>
            <w:r>
              <w:rPr>
                <w:rFonts w:cs="Arial"/>
                <w:b/>
                <w:color w:val="1F2A44"/>
                <w:sz w:val="15"/>
                <w:rtl w:val="1"/>
              </w:rPr>
              <w:t>20</w:t>
            </w:r>
          </w:p>
        </w:tc>
        <w:tc>
          <w:tcPr>
            <w:tcW w:type="dxa" w:w="3515"/>
            <w:vAlign w:val="center"/>
          </w:tcPr>
          <w:p>
            <w:pPr>
              <w:bidi w:val="1"/>
              <w:jc w:val="right"/>
            </w:pPr>
            <w:r>
              <w:rPr>
                <w:rFonts w:cs="Arial"/>
                <w:color w:val="262626"/>
                <w:sz w:val="15"/>
                <w:rtl w:val="1"/>
              </w:rPr>
              <w:t>سجلات التدقيق الداخلي والرقابة</w:t>
            </w:r>
          </w:p>
        </w:tc>
        <w:tc>
          <w:tcPr>
            <w:tcW w:type="dxa" w:w="2551"/>
            <w:vAlign w:val="center"/>
          </w:tcPr>
          <w:p>
            <w:pPr>
              <w:bidi w:val="1"/>
              <w:jc w:val="center"/>
            </w:pPr>
            <w:r>
              <w:rPr>
                <w:rFonts w:cs="Arial"/>
                <w:b/>
                <w:color w:val="8A6D00"/>
                <w:sz w:val="15"/>
                <w:rtl w:val="1"/>
              </w:rPr>
              <w:t>سرّي</w:t>
            </w:r>
          </w:p>
        </w:tc>
        <w:tc>
          <w:tcPr>
            <w:tcW w:type="dxa" w:w="2551"/>
            <w:vAlign w:val="center"/>
          </w:tcPr>
          <w:p>
            <w:pPr>
              <w:bidi w:val="1"/>
              <w:jc w:val="center"/>
            </w:pPr>
            <w:r>
              <w:rPr>
                <w:rFonts w:cs="Arial"/>
                <w:b/>
                <w:color w:val="8A6D00"/>
                <w:sz w:val="15"/>
                <w:rtl w:val="1"/>
              </w:rPr>
              <w:t>سرّي</w:t>
            </w:r>
          </w:p>
        </w:tc>
      </w:tr>
      <w:tr>
        <w:trPr>
          <w:cantSplit/>
        </w:trPr>
        <w:tc>
          <w:tcPr>
            <w:tcW w:type="dxa" w:w="454"/>
            <w:vAlign w:val="center"/>
            <w:shd w:fill="F2F2F2"/>
          </w:tcPr>
          <w:p>
            <w:pPr>
              <w:bidi w:val="1"/>
              <w:jc w:val="right"/>
            </w:pPr>
            <w:r>
              <w:rPr>
                <w:rFonts w:cs="Arial"/>
                <w:b/>
                <w:color w:val="1F2A44"/>
                <w:sz w:val="15"/>
                <w:rtl w:val="1"/>
              </w:rPr>
              <w:t>21</w:t>
            </w:r>
          </w:p>
        </w:tc>
        <w:tc>
          <w:tcPr>
            <w:tcW w:type="dxa" w:w="3515"/>
            <w:vAlign w:val="center"/>
            <w:shd w:fill="F2F2F2"/>
          </w:tcPr>
          <w:p>
            <w:pPr>
              <w:bidi w:val="1"/>
              <w:jc w:val="right"/>
            </w:pPr>
            <w:r>
              <w:rPr>
                <w:rFonts w:cs="Arial"/>
                <w:color w:val="262626"/>
                <w:sz w:val="15"/>
                <w:rtl w:val="1"/>
              </w:rPr>
              <w:t>سجلات المراسلات والخطابات الرسمية</w:t>
            </w:r>
          </w:p>
        </w:tc>
        <w:tc>
          <w:tcPr>
            <w:tcW w:type="dxa" w:w="2551"/>
            <w:vAlign w:val="center"/>
            <w:shd w:fill="F2F2F2"/>
          </w:tcPr>
          <w:p>
            <w:pPr>
              <w:bidi w:val="1"/>
              <w:jc w:val="center"/>
            </w:pPr>
            <w:r>
              <w:rPr>
                <w:rFonts w:cs="Arial"/>
                <w:b/>
                <w:color w:val="8A6D00"/>
                <w:sz w:val="15"/>
                <w:rtl w:val="1"/>
              </w:rPr>
              <w:t>مقيّد</w:t>
            </w:r>
          </w:p>
        </w:tc>
        <w:tc>
          <w:tcPr>
            <w:tcW w:type="dxa" w:w="2551"/>
            <w:vAlign w:val="center"/>
            <w:shd w:fill="F2F2F2"/>
          </w:tcPr>
          <w:p>
            <w:pPr>
              <w:bidi w:val="1"/>
              <w:jc w:val="center"/>
            </w:pPr>
            <w:r>
              <w:rPr>
                <w:rFonts w:cs="Arial"/>
                <w:b/>
                <w:color w:val="8A6D00"/>
                <w:sz w:val="15"/>
                <w:rtl w:val="1"/>
              </w:rPr>
              <w:t>مقيّد</w:t>
            </w:r>
          </w:p>
        </w:tc>
      </w:tr>
      <w:tr>
        <w:trPr>
          <w:cantSplit/>
        </w:trPr>
        <w:tc>
          <w:tcPr>
            <w:tcW w:type="dxa" w:w="454"/>
            <w:vAlign w:val="center"/>
          </w:tcPr>
          <w:p>
            <w:pPr>
              <w:bidi w:val="1"/>
              <w:jc w:val="right"/>
            </w:pPr>
            <w:r>
              <w:rPr>
                <w:rFonts w:cs="Arial"/>
                <w:b/>
                <w:color w:val="1F2A44"/>
                <w:sz w:val="15"/>
                <w:rtl w:val="1"/>
              </w:rPr>
              <w:t>22</w:t>
            </w:r>
          </w:p>
        </w:tc>
        <w:tc>
          <w:tcPr>
            <w:tcW w:type="dxa" w:w="3515"/>
            <w:vAlign w:val="center"/>
          </w:tcPr>
          <w:p>
            <w:pPr>
              <w:bidi w:val="1"/>
              <w:jc w:val="right"/>
            </w:pPr>
            <w:r>
              <w:rPr>
                <w:rFonts w:cs="Arial"/>
                <w:color w:val="262626"/>
                <w:sz w:val="15"/>
                <w:rtl w:val="1"/>
              </w:rPr>
              <w:t>سجلات الاجتماعات واللجان الحوكمية</w:t>
            </w:r>
          </w:p>
        </w:tc>
        <w:tc>
          <w:tcPr>
            <w:tcW w:type="dxa" w:w="2551"/>
            <w:vAlign w:val="center"/>
          </w:tcPr>
          <w:p>
            <w:pPr>
              <w:bidi w:val="1"/>
              <w:jc w:val="center"/>
            </w:pPr>
            <w:r>
              <w:rPr>
                <w:rFonts w:cs="Arial"/>
                <w:b/>
                <w:color w:val="8A6D00"/>
                <w:sz w:val="15"/>
                <w:rtl w:val="1"/>
              </w:rPr>
              <w:t>مقيّد</w:t>
            </w:r>
          </w:p>
        </w:tc>
        <w:tc>
          <w:tcPr>
            <w:tcW w:type="dxa" w:w="2551"/>
            <w:vAlign w:val="center"/>
          </w:tcPr>
          <w:p>
            <w:pPr>
              <w:bidi w:val="1"/>
              <w:jc w:val="center"/>
            </w:pPr>
            <w:r>
              <w:rPr>
                <w:rFonts w:cs="Arial"/>
                <w:b/>
                <w:color w:val="8A6D00"/>
                <w:sz w:val="15"/>
                <w:rtl w:val="1"/>
              </w:rPr>
              <w:t>مقيّد</w:t>
            </w:r>
          </w:p>
        </w:tc>
      </w:tr>
      <w:tr>
        <w:trPr>
          <w:cantSplit/>
        </w:trPr>
        <w:tc>
          <w:tcPr>
            <w:tcW w:type="dxa" w:w="454"/>
            <w:vAlign w:val="center"/>
            <w:shd w:fill="F2F2F2"/>
          </w:tcPr>
          <w:p>
            <w:pPr>
              <w:bidi w:val="1"/>
              <w:jc w:val="right"/>
            </w:pPr>
            <w:r>
              <w:rPr>
                <w:rFonts w:cs="Arial"/>
                <w:b/>
                <w:color w:val="1F2A44"/>
                <w:sz w:val="15"/>
                <w:rtl w:val="1"/>
              </w:rPr>
              <w:t>23</w:t>
            </w:r>
          </w:p>
        </w:tc>
        <w:tc>
          <w:tcPr>
            <w:tcW w:type="dxa" w:w="3515"/>
            <w:vAlign w:val="center"/>
            <w:shd w:fill="F2F2F2"/>
          </w:tcPr>
          <w:p>
            <w:pPr>
              <w:bidi w:val="1"/>
              <w:jc w:val="right"/>
            </w:pPr>
            <w:r>
              <w:rPr>
                <w:rFonts w:cs="Arial"/>
                <w:color w:val="262626"/>
                <w:sz w:val="15"/>
                <w:rtl w:val="1"/>
              </w:rPr>
              <w:t>سجلات التقارير الإدارية الدورية</w:t>
            </w:r>
          </w:p>
        </w:tc>
        <w:tc>
          <w:tcPr>
            <w:tcW w:type="dxa" w:w="2551"/>
            <w:vAlign w:val="center"/>
            <w:shd w:fill="F2F2F2"/>
          </w:tcPr>
          <w:p>
            <w:pPr>
              <w:bidi w:val="1"/>
              <w:jc w:val="center"/>
            </w:pPr>
            <w:r>
              <w:rPr>
                <w:rFonts w:cs="Arial"/>
                <w:b/>
                <w:color w:val="8A6D00"/>
                <w:sz w:val="15"/>
                <w:rtl w:val="1"/>
              </w:rPr>
              <w:t>مقيّد</w:t>
            </w:r>
          </w:p>
        </w:tc>
        <w:tc>
          <w:tcPr>
            <w:tcW w:type="dxa" w:w="2551"/>
            <w:vAlign w:val="center"/>
            <w:shd w:fill="F2F2F2"/>
          </w:tcPr>
          <w:p>
            <w:pPr>
              <w:bidi w:val="1"/>
              <w:jc w:val="center"/>
            </w:pPr>
            <w:r>
              <w:rPr>
                <w:rFonts w:cs="Arial"/>
                <w:b/>
                <w:color w:val="1F6F43"/>
                <w:sz w:val="15"/>
                <w:rtl w:val="1"/>
              </w:rPr>
              <w:t>عام</w:t>
            </w:r>
          </w:p>
        </w:tc>
      </w:tr>
      <w:tr>
        <w:trPr>
          <w:cantSplit/>
        </w:trPr>
        <w:tc>
          <w:tcPr>
            <w:tcW w:type="dxa" w:w="454"/>
            <w:vAlign w:val="center"/>
          </w:tcPr>
          <w:p>
            <w:pPr>
              <w:bidi w:val="1"/>
              <w:jc w:val="right"/>
            </w:pPr>
            <w:r>
              <w:rPr>
                <w:rFonts w:cs="Arial"/>
                <w:b/>
                <w:color w:val="1F2A44"/>
                <w:sz w:val="15"/>
                <w:rtl w:val="1"/>
              </w:rPr>
              <w:t>24</w:t>
            </w:r>
          </w:p>
        </w:tc>
        <w:tc>
          <w:tcPr>
            <w:tcW w:type="dxa" w:w="3515"/>
            <w:vAlign w:val="center"/>
          </w:tcPr>
          <w:p>
            <w:pPr>
              <w:bidi w:val="1"/>
              <w:jc w:val="right"/>
            </w:pPr>
            <w:r>
              <w:rPr>
                <w:rFonts w:cs="Arial"/>
                <w:color w:val="262626"/>
                <w:sz w:val="15"/>
                <w:rtl w:val="1"/>
              </w:rPr>
              <w:t>سجلات فعاليات الهيئة وأحداثها</w:t>
            </w:r>
          </w:p>
        </w:tc>
        <w:tc>
          <w:tcPr>
            <w:tcW w:type="dxa" w:w="2551"/>
            <w:vAlign w:val="center"/>
          </w:tcPr>
          <w:p>
            <w:pPr>
              <w:bidi w:val="1"/>
              <w:jc w:val="center"/>
            </w:pPr>
            <w:r>
              <w:rPr>
                <w:rFonts w:cs="Arial"/>
                <w:b/>
                <w:color w:val="1F6F43"/>
                <w:sz w:val="15"/>
                <w:rtl w:val="1"/>
              </w:rPr>
              <w:t>عام</w:t>
            </w:r>
          </w:p>
        </w:tc>
        <w:tc>
          <w:tcPr>
            <w:tcW w:type="dxa" w:w="2551"/>
            <w:vAlign w:val="center"/>
          </w:tcPr>
          <w:p>
            <w:pPr>
              <w:bidi w:val="1"/>
              <w:jc w:val="center"/>
            </w:pPr>
            <w:r>
              <w:rPr>
                <w:rFonts w:cs="Arial"/>
                <w:b/>
                <w:color w:val="1F6F43"/>
                <w:sz w:val="15"/>
                <w:rtl w:val="1"/>
              </w:rPr>
              <w:t>عام</w:t>
            </w:r>
          </w:p>
        </w:tc>
      </w:tr>
      <w:tr>
        <w:trPr>
          <w:cantSplit/>
        </w:trPr>
        <w:tc>
          <w:tcPr>
            <w:tcW w:type="dxa" w:w="454"/>
            <w:vAlign w:val="center"/>
            <w:shd w:fill="F2F2F2"/>
          </w:tcPr>
          <w:p>
            <w:pPr>
              <w:bidi w:val="1"/>
              <w:jc w:val="right"/>
            </w:pPr>
            <w:r>
              <w:rPr>
                <w:rFonts w:cs="Arial"/>
                <w:b/>
                <w:color w:val="1F2A44"/>
                <w:sz w:val="15"/>
                <w:rtl w:val="1"/>
              </w:rPr>
              <w:t>25</w:t>
            </w:r>
          </w:p>
        </w:tc>
        <w:tc>
          <w:tcPr>
            <w:tcW w:type="dxa" w:w="3515"/>
            <w:vAlign w:val="center"/>
            <w:shd w:fill="F2F2F2"/>
          </w:tcPr>
          <w:p>
            <w:pPr>
              <w:bidi w:val="1"/>
              <w:jc w:val="right"/>
            </w:pPr>
            <w:r>
              <w:rPr>
                <w:rFonts w:cs="Arial"/>
                <w:color w:val="262626"/>
                <w:sz w:val="15"/>
                <w:rtl w:val="1"/>
              </w:rPr>
              <w:t>سجلات الشكاوى والمقترحات</w:t>
            </w:r>
          </w:p>
        </w:tc>
        <w:tc>
          <w:tcPr>
            <w:tcW w:type="dxa" w:w="2551"/>
            <w:vAlign w:val="center"/>
            <w:shd w:fill="F2F2F2"/>
          </w:tcPr>
          <w:p>
            <w:pPr>
              <w:bidi w:val="1"/>
              <w:jc w:val="center"/>
            </w:pPr>
            <w:r>
              <w:rPr>
                <w:rFonts w:cs="Arial"/>
                <w:b/>
                <w:color w:val="8A6D00"/>
                <w:sz w:val="15"/>
                <w:rtl w:val="1"/>
              </w:rPr>
              <w:t>مقيّد</w:t>
            </w:r>
          </w:p>
        </w:tc>
        <w:tc>
          <w:tcPr>
            <w:tcW w:type="dxa" w:w="2551"/>
            <w:vAlign w:val="center"/>
            <w:shd w:fill="F2F2F2"/>
          </w:tcPr>
          <w:p>
            <w:pPr>
              <w:bidi w:val="1"/>
              <w:jc w:val="center"/>
            </w:pPr>
            <w:r>
              <w:rPr>
                <w:rFonts w:cs="Arial"/>
                <w:b/>
                <w:color w:val="8A6D00"/>
                <w:sz w:val="15"/>
                <w:rtl w:val="1"/>
              </w:rPr>
              <w:t>مقيّد</w:t>
            </w:r>
          </w:p>
        </w:tc>
      </w:tr>
      <w:tr>
        <w:trPr>
          <w:cantSplit/>
        </w:trPr>
        <w:tc>
          <w:tcPr>
            <w:tcW w:type="dxa" w:w="454"/>
            <w:vAlign w:val="center"/>
          </w:tcPr>
          <w:p>
            <w:pPr>
              <w:bidi w:val="1"/>
              <w:jc w:val="right"/>
            </w:pPr>
            <w:r>
              <w:rPr>
                <w:rFonts w:cs="Arial"/>
                <w:b/>
                <w:color w:val="1F2A44"/>
                <w:sz w:val="15"/>
                <w:rtl w:val="1"/>
              </w:rPr>
              <w:t>26</w:t>
            </w:r>
          </w:p>
        </w:tc>
        <w:tc>
          <w:tcPr>
            <w:tcW w:type="dxa" w:w="3515"/>
            <w:vAlign w:val="center"/>
          </w:tcPr>
          <w:p>
            <w:pPr>
              <w:bidi w:val="1"/>
              <w:jc w:val="right"/>
            </w:pPr>
            <w:r>
              <w:rPr>
                <w:rFonts w:cs="Arial"/>
                <w:color w:val="262626"/>
                <w:sz w:val="15"/>
                <w:rtl w:val="1"/>
              </w:rPr>
              <w:t>سجلات قرارات وتوجيهات الإدارة العليا</w:t>
            </w:r>
          </w:p>
        </w:tc>
        <w:tc>
          <w:tcPr>
            <w:tcW w:type="dxa" w:w="2551"/>
            <w:vAlign w:val="center"/>
          </w:tcPr>
          <w:p>
            <w:pPr>
              <w:bidi w:val="1"/>
              <w:jc w:val="center"/>
            </w:pPr>
            <w:r>
              <w:rPr>
                <w:rFonts w:cs="Arial"/>
                <w:b/>
                <w:color w:val="8A6D00"/>
                <w:sz w:val="15"/>
                <w:rtl w:val="1"/>
              </w:rPr>
              <w:t>سرّي</w:t>
            </w:r>
          </w:p>
        </w:tc>
        <w:tc>
          <w:tcPr>
            <w:tcW w:type="dxa" w:w="2551"/>
            <w:vAlign w:val="center"/>
          </w:tcPr>
          <w:p>
            <w:pPr>
              <w:bidi w:val="1"/>
              <w:jc w:val="center"/>
            </w:pPr>
            <w:r>
              <w:rPr>
                <w:rFonts w:cs="Arial"/>
                <w:b/>
                <w:color w:val="8A6D00"/>
                <w:sz w:val="15"/>
                <w:rtl w:val="1"/>
              </w:rPr>
              <w:t>سرّي</w:t>
            </w:r>
          </w:p>
        </w:tc>
      </w:tr>
      <w:tr>
        <w:trPr>
          <w:cantSplit/>
        </w:trPr>
        <w:tc>
          <w:tcPr>
            <w:tcW w:type="dxa" w:w="454"/>
            <w:vAlign w:val="center"/>
            <w:shd w:fill="F2F2F2"/>
          </w:tcPr>
          <w:p>
            <w:pPr>
              <w:bidi w:val="1"/>
              <w:jc w:val="right"/>
            </w:pPr>
            <w:r>
              <w:rPr>
                <w:rFonts w:cs="Arial"/>
                <w:b/>
                <w:color w:val="1F2A44"/>
                <w:sz w:val="15"/>
                <w:rtl w:val="1"/>
              </w:rPr>
              <w:t>27</w:t>
            </w:r>
          </w:p>
        </w:tc>
        <w:tc>
          <w:tcPr>
            <w:tcW w:type="dxa" w:w="3515"/>
            <w:vAlign w:val="center"/>
            <w:shd w:fill="F2F2F2"/>
          </w:tcPr>
          <w:p>
            <w:pPr>
              <w:bidi w:val="1"/>
              <w:jc w:val="right"/>
            </w:pPr>
            <w:r>
              <w:rPr>
                <w:rFonts w:cs="Arial"/>
                <w:color w:val="262626"/>
                <w:sz w:val="15"/>
                <w:rtl w:val="1"/>
              </w:rPr>
              <w:t>سجلات التراخيص والتصاريح القانونية</w:t>
            </w:r>
          </w:p>
        </w:tc>
        <w:tc>
          <w:tcPr>
            <w:tcW w:type="dxa" w:w="2551"/>
            <w:vAlign w:val="center"/>
            <w:shd w:fill="F2F2F2"/>
          </w:tcPr>
          <w:p>
            <w:pPr>
              <w:bidi w:val="1"/>
              <w:jc w:val="center"/>
            </w:pPr>
            <w:r>
              <w:rPr>
                <w:rFonts w:cs="Arial"/>
                <w:b/>
                <w:color w:val="8A6D00"/>
                <w:sz w:val="15"/>
                <w:rtl w:val="1"/>
              </w:rPr>
              <w:t>مقيّد</w:t>
            </w:r>
          </w:p>
        </w:tc>
        <w:tc>
          <w:tcPr>
            <w:tcW w:type="dxa" w:w="2551"/>
            <w:vAlign w:val="center"/>
            <w:shd w:fill="F2F2F2"/>
          </w:tcPr>
          <w:p>
            <w:pPr>
              <w:bidi w:val="1"/>
              <w:jc w:val="center"/>
            </w:pPr>
            <w:r>
              <w:rPr>
                <w:rFonts w:cs="Arial"/>
                <w:b/>
                <w:color w:val="1F6F43"/>
                <w:sz w:val="15"/>
                <w:rtl w:val="1"/>
              </w:rPr>
              <w:t>عام</w:t>
            </w:r>
          </w:p>
        </w:tc>
      </w:tr>
      <w:tr>
        <w:trPr>
          <w:cantSplit/>
        </w:trPr>
        <w:tc>
          <w:tcPr>
            <w:tcW w:type="dxa" w:w="454"/>
            <w:vAlign w:val="center"/>
          </w:tcPr>
          <w:p>
            <w:pPr>
              <w:bidi w:val="1"/>
              <w:jc w:val="right"/>
            </w:pPr>
            <w:r>
              <w:rPr>
                <w:rFonts w:cs="Arial"/>
                <w:b/>
                <w:color w:val="1F2A44"/>
                <w:sz w:val="15"/>
                <w:rtl w:val="1"/>
              </w:rPr>
              <w:t>28</w:t>
            </w:r>
          </w:p>
        </w:tc>
        <w:tc>
          <w:tcPr>
            <w:tcW w:type="dxa" w:w="3515"/>
            <w:vAlign w:val="center"/>
          </w:tcPr>
          <w:p>
            <w:pPr>
              <w:bidi w:val="1"/>
              <w:jc w:val="right"/>
            </w:pPr>
            <w:r>
              <w:rPr>
                <w:rFonts w:cs="Arial"/>
                <w:color w:val="262626"/>
                <w:sz w:val="15"/>
                <w:rtl w:val="1"/>
              </w:rPr>
              <w:t>سجلات النسخ الاحتياطي واسترجاع البيانات</w:t>
            </w:r>
          </w:p>
        </w:tc>
        <w:tc>
          <w:tcPr>
            <w:tcW w:type="dxa" w:w="2551"/>
            <w:vAlign w:val="center"/>
          </w:tcPr>
          <w:p>
            <w:pPr>
              <w:bidi w:val="1"/>
              <w:jc w:val="center"/>
            </w:pPr>
            <w:r>
              <w:rPr>
                <w:rFonts w:cs="Arial"/>
                <w:b/>
                <w:color w:val="8A6D00"/>
                <w:sz w:val="15"/>
                <w:rtl w:val="1"/>
              </w:rPr>
              <w:t>سرّي</w:t>
            </w:r>
          </w:p>
        </w:tc>
        <w:tc>
          <w:tcPr>
            <w:tcW w:type="dxa" w:w="2551"/>
            <w:vAlign w:val="center"/>
          </w:tcPr>
          <w:p>
            <w:pPr>
              <w:bidi w:val="1"/>
              <w:jc w:val="center"/>
            </w:pPr>
            <w:r>
              <w:rPr>
                <w:rFonts w:cs="Arial"/>
                <w:b/>
                <w:color w:val="8A6D00"/>
                <w:sz w:val="15"/>
                <w:rtl w:val="1"/>
              </w:rPr>
              <w:t>سرّي</w:t>
            </w:r>
          </w:p>
        </w:tc>
      </w:tr>
      <w:tr>
        <w:trPr>
          <w:cantSplit/>
        </w:trPr>
        <w:tc>
          <w:tcPr>
            <w:tcW w:type="dxa" w:w="454"/>
            <w:vAlign w:val="center"/>
            <w:shd w:fill="F2F2F2"/>
          </w:tcPr>
          <w:p>
            <w:pPr>
              <w:bidi w:val="1"/>
              <w:jc w:val="right"/>
            </w:pPr>
            <w:r>
              <w:rPr>
                <w:rFonts w:cs="Arial"/>
                <w:b/>
                <w:color w:val="1F2A44"/>
                <w:sz w:val="15"/>
                <w:rtl w:val="1"/>
              </w:rPr>
              <w:t>29</w:t>
            </w:r>
          </w:p>
        </w:tc>
        <w:tc>
          <w:tcPr>
            <w:tcW w:type="dxa" w:w="3515"/>
            <w:vAlign w:val="center"/>
            <w:shd w:fill="F2F2F2"/>
          </w:tcPr>
          <w:p>
            <w:pPr>
              <w:bidi w:val="1"/>
              <w:jc w:val="right"/>
            </w:pPr>
            <w:r>
              <w:rPr>
                <w:rFonts w:cs="Arial"/>
                <w:color w:val="262626"/>
                <w:sz w:val="15"/>
                <w:rtl w:val="1"/>
              </w:rPr>
              <w:t>وثائق السياسات والإجراءات الداخلية</w:t>
            </w:r>
          </w:p>
        </w:tc>
        <w:tc>
          <w:tcPr>
            <w:tcW w:type="dxa" w:w="2551"/>
            <w:vAlign w:val="center"/>
            <w:shd w:fill="F2F2F2"/>
          </w:tcPr>
          <w:p>
            <w:pPr>
              <w:bidi w:val="1"/>
              <w:jc w:val="center"/>
            </w:pPr>
            <w:r>
              <w:rPr>
                <w:rFonts w:cs="Arial"/>
                <w:b/>
                <w:color w:val="8A6D00"/>
                <w:sz w:val="15"/>
                <w:rtl w:val="1"/>
              </w:rPr>
              <w:t>مقيّد</w:t>
            </w:r>
          </w:p>
        </w:tc>
        <w:tc>
          <w:tcPr>
            <w:tcW w:type="dxa" w:w="2551"/>
            <w:vAlign w:val="center"/>
            <w:shd w:fill="F2F2F2"/>
          </w:tcPr>
          <w:p>
            <w:pPr>
              <w:bidi w:val="1"/>
              <w:jc w:val="center"/>
            </w:pPr>
            <w:r>
              <w:rPr>
                <w:rFonts w:cs="Arial"/>
                <w:b/>
                <w:color w:val="8A6D00"/>
                <w:sz w:val="15"/>
                <w:rtl w:val="1"/>
              </w:rPr>
              <w:t>مقيّد</w:t>
            </w:r>
          </w:p>
        </w:tc>
      </w:tr>
      <w:tr>
        <w:trPr>
          <w:cantSplit/>
        </w:trPr>
        <w:tc>
          <w:tcPr>
            <w:tcW w:type="dxa" w:w="454"/>
            <w:vAlign w:val="center"/>
          </w:tcPr>
          <w:p>
            <w:pPr>
              <w:bidi w:val="1"/>
              <w:jc w:val="right"/>
            </w:pPr>
            <w:r>
              <w:rPr>
                <w:rFonts w:cs="Arial"/>
                <w:b/>
                <w:color w:val="1F2A44"/>
                <w:sz w:val="15"/>
                <w:rtl w:val="1"/>
              </w:rPr>
              <w:t>30</w:t>
            </w:r>
          </w:p>
        </w:tc>
        <w:tc>
          <w:tcPr>
            <w:tcW w:type="dxa" w:w="3515"/>
            <w:vAlign w:val="center"/>
          </w:tcPr>
          <w:p>
            <w:pPr>
              <w:bidi w:val="1"/>
              <w:jc w:val="right"/>
            </w:pPr>
            <w:r>
              <w:rPr>
                <w:rFonts w:cs="Arial"/>
                <w:color w:val="262626"/>
                <w:sz w:val="15"/>
                <w:rtl w:val="1"/>
              </w:rPr>
              <w:t>سجلات التغييرات والتحديثات التقنية</w:t>
            </w:r>
          </w:p>
        </w:tc>
        <w:tc>
          <w:tcPr>
            <w:tcW w:type="dxa" w:w="2551"/>
            <w:vAlign w:val="center"/>
          </w:tcPr>
          <w:p>
            <w:pPr>
              <w:bidi w:val="1"/>
              <w:jc w:val="center"/>
            </w:pPr>
            <w:r>
              <w:rPr>
                <w:rFonts w:cs="Arial"/>
                <w:b/>
                <w:color w:val="8A6D00"/>
                <w:sz w:val="15"/>
                <w:rtl w:val="1"/>
              </w:rPr>
              <w:t>مقيّد</w:t>
            </w:r>
          </w:p>
        </w:tc>
        <w:tc>
          <w:tcPr>
            <w:tcW w:type="dxa" w:w="2551"/>
            <w:vAlign w:val="center"/>
          </w:tcPr>
          <w:p>
            <w:pPr>
              <w:bidi w:val="1"/>
              <w:jc w:val="center"/>
            </w:pPr>
            <w:r>
              <w:rPr>
                <w:rFonts w:cs="Arial"/>
                <w:b/>
                <w:color w:val="8A6D00"/>
                <w:sz w:val="15"/>
                <w:rtl w:val="1"/>
              </w:rPr>
              <w:t>مقيّد</w:t>
            </w:r>
          </w:p>
        </w:tc>
      </w:tr>
    </w:tbl>
    <w:p/>
    <w:p>
      <w:pPr>
        <w:bidi w:val="1"/>
        <w:jc w:val="right"/>
      </w:pPr>
      <w:r>
        <w:rPr>
          <w:rFonts w:cs="Arial"/>
          <w:b w:val="0"/>
          <w:i/>
          <w:color w:val="595959"/>
          <w:sz w:val="16"/>
          <w:rtl w:val="1"/>
        </w:rPr>
        <w:t>ملاحظة تدقيق: الأصول رقم 10 و23 و27 هي الأصول الثلاثة التي أُعيد تصنيفها من «مقيّد» إلى «عام» بموجب مراجعة DC.C.3.3. يعرض فهرس البيانات المؤسسي (DC.M.7) تصنيف هذه الأصول الثلاثة كما كانت قبل تلك المراجعة، لأن تحديث الفهرس لم يواكب تاريخ اعتماد إعادة التصنيف؛ لذلك اعتُمد عمود «مستوى التصنيف المعتمد أثناء المراجعة» في DC.C.5.1 حصراً كمصدر للقيمة النهائية، تفادياً للتعارض، وتماشياً مع التوضيح الوارد صراحة في تقرير DC.C.4.1 (بند 9.2).</w:t>
      </w:r>
    </w:p>
    <w:p>
      <w:r>
        <w:br w:type="page"/>
      </w:r>
    </w:p>
    <w:p>
      <w:pPr>
        <w:bidi w:val="1"/>
        <w:jc w:val="right"/>
      </w:pPr>
      <w:r>
        <w:rPr>
          <w:rFonts w:cs="Arial"/>
          <w:b/>
          <w:color w:val="1B2A4E"/>
          <w:sz w:val="26"/>
          <w:rtl w:val="1"/>
        </w:rPr>
        <w:t>5.  تطبيق المعادلة</w:t>
      </w:r>
    </w:p>
    <w:p>
      <w:pPr>
        <w:bidi w:val="1"/>
        <w:jc w:val="right"/>
      </w:pPr>
      <w:r>
        <w:rPr>
          <w:rFonts w:cs="Arial"/>
          <w:b w:val="0"/>
          <w:i w:val="0"/>
          <w:color w:val="262626"/>
          <w:sz w:val="19"/>
          <w:rtl w:val="1"/>
        </w:rPr>
        <w:t>معادلة كل مستوى: (عدد الأصول بمستوى X ÷ إجمالي الأصول المصنَّفة) × 100</w:t>
      </w:r>
    </w:p>
    <w:tbl>
      <w:tblPr>
        <w:tblStyle w:val="TableGrid"/>
        <w:tblW w:type="auto" w:w="0"/>
        <w:tblLook w:firstColumn="1" w:firstRow="1" w:lastColumn="0" w:lastRow="0" w:noHBand="0" w:noVBand="1" w:val="04A0"/>
        <w:bidiVisual w:val="1"/>
      </w:tblPr>
      <w:tblGrid>
        <w:gridCol w:w="1984"/>
        <w:gridCol w:w="1701"/>
        <w:gridCol w:w="2551"/>
        <w:gridCol w:w="1701"/>
      </w:tblGrid>
      <w:tr>
        <w:trPr>
          <w:cantSplit/>
        </w:trPr>
        <w:tc>
          <w:tcPr>
            <w:tcW w:type="dxa" w:w="2606"/>
            <w:shd w:fill="1B2A4E"/>
            <w:vAlign w:val="center"/>
          </w:tcPr>
          <w:p>
            <w:pPr>
              <w:bidi w:val="1"/>
              <w:jc w:val="center"/>
            </w:pPr>
            <w:r/>
            <w:r>
              <w:rPr>
                <w:rFonts w:cs="Arial"/>
                <w:b/>
                <w:color w:val="FFFFFF"/>
                <w:sz w:val="17"/>
                <w:rtl w:val="1"/>
              </w:rPr>
              <w:t>مستوى التصنيف</w:t>
            </w:r>
          </w:p>
        </w:tc>
        <w:tc>
          <w:tcPr>
            <w:tcW w:type="dxa" w:w="2606"/>
            <w:shd w:fill="1B2A4E"/>
            <w:vAlign w:val="center"/>
          </w:tcPr>
          <w:p>
            <w:pPr>
              <w:bidi w:val="1"/>
              <w:jc w:val="center"/>
            </w:pPr>
            <w:r/>
            <w:r>
              <w:rPr>
                <w:rFonts w:cs="Arial"/>
                <w:b/>
                <w:color w:val="FFFFFF"/>
                <w:sz w:val="17"/>
                <w:rtl w:val="1"/>
              </w:rPr>
              <w:t>عدد الأصول</w:t>
            </w:r>
          </w:p>
        </w:tc>
        <w:tc>
          <w:tcPr>
            <w:tcW w:type="dxa" w:w="2606"/>
            <w:shd w:fill="1B2A4E"/>
            <w:vAlign w:val="center"/>
          </w:tcPr>
          <w:p>
            <w:pPr>
              <w:bidi w:val="1"/>
              <w:jc w:val="center"/>
            </w:pPr>
            <w:r/>
            <w:r>
              <w:rPr>
                <w:rFonts w:cs="Arial"/>
                <w:b/>
                <w:color w:val="FFFFFF"/>
                <w:sz w:val="17"/>
                <w:rtl w:val="1"/>
              </w:rPr>
              <w:t>تطبيق المعادلة</w:t>
            </w:r>
          </w:p>
        </w:tc>
        <w:tc>
          <w:tcPr>
            <w:tcW w:type="dxa" w:w="2606"/>
            <w:shd w:fill="1B2A4E"/>
            <w:vAlign w:val="center"/>
          </w:tcPr>
          <w:p>
            <w:pPr>
              <w:bidi w:val="1"/>
              <w:jc w:val="center"/>
            </w:pPr>
            <w:r/>
            <w:r>
              <w:rPr>
                <w:rFonts w:cs="Arial"/>
                <w:b/>
                <w:color w:val="FFFFFF"/>
                <w:sz w:val="17"/>
                <w:rtl w:val="1"/>
              </w:rPr>
              <w:t>النسبة النهائية</w:t>
            </w:r>
          </w:p>
        </w:tc>
      </w:tr>
      <w:tr>
        <w:trPr>
          <w:cantSplit/>
        </w:trPr>
        <w:tc>
          <w:tcPr>
            <w:tcW w:type="dxa" w:w="1984"/>
            <w:vAlign w:val="center"/>
            <w:shd w:fill="F2F2F2"/>
          </w:tcPr>
          <w:p>
            <w:pPr>
              <w:bidi w:val="1"/>
              <w:jc w:val="center"/>
            </w:pPr>
            <w:r>
              <w:rPr>
                <w:rFonts w:cs="Arial"/>
                <w:b/>
                <w:color w:val="1B2A4E"/>
                <w:sz w:val="18"/>
                <w:rtl w:val="1"/>
              </w:rPr>
              <w:t>سرّي للغاية</w:t>
            </w:r>
          </w:p>
        </w:tc>
        <w:tc>
          <w:tcPr>
            <w:tcW w:type="dxa" w:w="1701"/>
            <w:vAlign w:val="center"/>
            <w:shd w:fill="F2F2F2"/>
          </w:tcPr>
          <w:p>
            <w:pPr>
              <w:bidi w:val="1"/>
              <w:jc w:val="right"/>
            </w:pPr>
            <w:r>
              <w:rPr>
                <w:rFonts w:cs="Arial"/>
                <w:color w:val="262626"/>
                <w:sz w:val="18"/>
                <w:rtl w:val="1"/>
              </w:rPr>
              <w:t>4</w:t>
            </w:r>
          </w:p>
        </w:tc>
        <w:tc>
          <w:tcPr>
            <w:tcW w:type="dxa" w:w="2551"/>
            <w:vAlign w:val="center"/>
            <w:shd w:fill="F2F2F2"/>
          </w:tcPr>
          <w:p>
            <w:pPr>
              <w:bidi w:val="1"/>
              <w:jc w:val="right"/>
            </w:pPr>
            <w:r>
              <w:rPr>
                <w:rFonts w:cs="Arial"/>
                <w:color w:val="262626"/>
                <w:sz w:val="18"/>
                <w:rtl w:val="1"/>
              </w:rPr>
              <w:t>4 ÷ 30 × 100</w:t>
            </w:r>
          </w:p>
        </w:tc>
        <w:tc>
          <w:tcPr>
            <w:tcW w:type="dxa" w:w="1701"/>
            <w:vAlign w:val="center"/>
            <w:shd w:fill="F2F2F2"/>
          </w:tcPr>
          <w:p>
            <w:pPr>
              <w:bidi w:val="1"/>
              <w:jc w:val="center"/>
            </w:pPr>
            <w:r>
              <w:rPr>
                <w:rFonts w:cs="Arial"/>
                <w:b/>
                <w:color w:val="262626"/>
                <w:sz w:val="18"/>
                <w:rtl w:val="1"/>
              </w:rPr>
              <w:t>13.3%</w:t>
            </w:r>
          </w:p>
        </w:tc>
      </w:tr>
      <w:tr>
        <w:trPr>
          <w:cantSplit/>
        </w:trPr>
        <w:tc>
          <w:tcPr>
            <w:tcW w:type="dxa" w:w="1984"/>
            <w:vAlign w:val="center"/>
          </w:tcPr>
          <w:p>
            <w:pPr>
              <w:bidi w:val="1"/>
              <w:jc w:val="center"/>
            </w:pPr>
            <w:r>
              <w:rPr>
                <w:rFonts w:cs="Arial"/>
                <w:b/>
                <w:color w:val="1B2A4E"/>
                <w:sz w:val="18"/>
                <w:rtl w:val="1"/>
              </w:rPr>
              <w:t>سرّي</w:t>
            </w:r>
          </w:p>
        </w:tc>
        <w:tc>
          <w:tcPr>
            <w:tcW w:type="dxa" w:w="1701"/>
            <w:vAlign w:val="center"/>
          </w:tcPr>
          <w:p>
            <w:pPr>
              <w:bidi w:val="1"/>
              <w:jc w:val="right"/>
            </w:pPr>
            <w:r>
              <w:rPr>
                <w:rFonts w:cs="Arial"/>
                <w:color w:val="262626"/>
                <w:sz w:val="18"/>
                <w:rtl w:val="1"/>
              </w:rPr>
              <w:t>10</w:t>
            </w:r>
          </w:p>
        </w:tc>
        <w:tc>
          <w:tcPr>
            <w:tcW w:type="dxa" w:w="2551"/>
            <w:vAlign w:val="center"/>
          </w:tcPr>
          <w:p>
            <w:pPr>
              <w:bidi w:val="1"/>
              <w:jc w:val="right"/>
            </w:pPr>
            <w:r>
              <w:rPr>
                <w:rFonts w:cs="Arial"/>
                <w:color w:val="262626"/>
                <w:sz w:val="18"/>
                <w:rtl w:val="1"/>
              </w:rPr>
              <w:t>10 ÷ 30 × 100</w:t>
            </w:r>
          </w:p>
        </w:tc>
        <w:tc>
          <w:tcPr>
            <w:tcW w:type="dxa" w:w="1701"/>
            <w:vAlign w:val="center"/>
          </w:tcPr>
          <w:p>
            <w:pPr>
              <w:bidi w:val="1"/>
              <w:jc w:val="center"/>
            </w:pPr>
            <w:r>
              <w:rPr>
                <w:rFonts w:cs="Arial"/>
                <w:b/>
                <w:color w:val="262626"/>
                <w:sz w:val="18"/>
                <w:rtl w:val="1"/>
              </w:rPr>
              <w:t>33.3%</w:t>
            </w:r>
          </w:p>
        </w:tc>
      </w:tr>
      <w:tr>
        <w:trPr>
          <w:cantSplit/>
        </w:trPr>
        <w:tc>
          <w:tcPr>
            <w:tcW w:type="dxa" w:w="1984"/>
            <w:vAlign w:val="center"/>
            <w:shd w:fill="F2F2F2"/>
          </w:tcPr>
          <w:p>
            <w:pPr>
              <w:bidi w:val="1"/>
              <w:jc w:val="center"/>
            </w:pPr>
            <w:r>
              <w:rPr>
                <w:rFonts w:cs="Arial"/>
                <w:b/>
                <w:color w:val="1B2A4E"/>
                <w:sz w:val="18"/>
                <w:rtl w:val="1"/>
              </w:rPr>
              <w:t>مقيّد</w:t>
            </w:r>
          </w:p>
        </w:tc>
        <w:tc>
          <w:tcPr>
            <w:tcW w:type="dxa" w:w="1701"/>
            <w:vAlign w:val="center"/>
            <w:shd w:fill="F2F2F2"/>
          </w:tcPr>
          <w:p>
            <w:pPr>
              <w:bidi w:val="1"/>
              <w:jc w:val="right"/>
            </w:pPr>
            <w:r>
              <w:rPr>
                <w:rFonts w:cs="Arial"/>
                <w:color w:val="262626"/>
                <w:sz w:val="18"/>
                <w:rtl w:val="1"/>
              </w:rPr>
              <w:t>9</w:t>
            </w:r>
          </w:p>
        </w:tc>
        <w:tc>
          <w:tcPr>
            <w:tcW w:type="dxa" w:w="2551"/>
            <w:vAlign w:val="center"/>
            <w:shd w:fill="F2F2F2"/>
          </w:tcPr>
          <w:p>
            <w:pPr>
              <w:bidi w:val="1"/>
              <w:jc w:val="right"/>
            </w:pPr>
            <w:r>
              <w:rPr>
                <w:rFonts w:cs="Arial"/>
                <w:color w:val="262626"/>
                <w:sz w:val="18"/>
                <w:rtl w:val="1"/>
              </w:rPr>
              <w:t>9 ÷ 30 × 100</w:t>
            </w:r>
          </w:p>
        </w:tc>
        <w:tc>
          <w:tcPr>
            <w:tcW w:type="dxa" w:w="1701"/>
            <w:vAlign w:val="center"/>
            <w:shd w:fill="F2F2F2"/>
          </w:tcPr>
          <w:p>
            <w:pPr>
              <w:bidi w:val="1"/>
              <w:jc w:val="center"/>
            </w:pPr>
            <w:r>
              <w:rPr>
                <w:rFonts w:cs="Arial"/>
                <w:b/>
                <w:color w:val="262626"/>
                <w:sz w:val="18"/>
                <w:rtl w:val="1"/>
              </w:rPr>
              <w:t>30.0%</w:t>
            </w:r>
          </w:p>
        </w:tc>
      </w:tr>
      <w:tr>
        <w:trPr>
          <w:cantSplit/>
        </w:trPr>
        <w:tc>
          <w:tcPr>
            <w:tcW w:type="dxa" w:w="1984"/>
            <w:vAlign w:val="center"/>
          </w:tcPr>
          <w:p>
            <w:pPr>
              <w:bidi w:val="1"/>
              <w:jc w:val="center"/>
            </w:pPr>
            <w:r>
              <w:rPr>
                <w:rFonts w:cs="Arial"/>
                <w:b/>
                <w:color w:val="1B2A4E"/>
                <w:sz w:val="18"/>
                <w:rtl w:val="1"/>
              </w:rPr>
              <w:t>عام</w:t>
            </w:r>
          </w:p>
        </w:tc>
        <w:tc>
          <w:tcPr>
            <w:tcW w:type="dxa" w:w="1701"/>
            <w:vAlign w:val="center"/>
          </w:tcPr>
          <w:p>
            <w:pPr>
              <w:bidi w:val="1"/>
              <w:jc w:val="right"/>
            </w:pPr>
            <w:r>
              <w:rPr>
                <w:rFonts w:cs="Arial"/>
                <w:color w:val="262626"/>
                <w:sz w:val="18"/>
                <w:rtl w:val="1"/>
              </w:rPr>
              <w:t>7</w:t>
            </w:r>
          </w:p>
        </w:tc>
        <w:tc>
          <w:tcPr>
            <w:tcW w:type="dxa" w:w="2551"/>
            <w:vAlign w:val="center"/>
          </w:tcPr>
          <w:p>
            <w:pPr>
              <w:bidi w:val="1"/>
              <w:jc w:val="right"/>
            </w:pPr>
            <w:r>
              <w:rPr>
                <w:rFonts w:cs="Arial"/>
                <w:color w:val="262626"/>
                <w:sz w:val="18"/>
                <w:rtl w:val="1"/>
              </w:rPr>
              <w:t>7 ÷ 30 × 100</w:t>
            </w:r>
          </w:p>
        </w:tc>
        <w:tc>
          <w:tcPr>
            <w:tcW w:type="dxa" w:w="1701"/>
            <w:vAlign w:val="center"/>
          </w:tcPr>
          <w:p>
            <w:pPr>
              <w:bidi w:val="1"/>
              <w:jc w:val="center"/>
            </w:pPr>
            <w:r>
              <w:rPr>
                <w:rFonts w:cs="Arial"/>
                <w:b/>
                <w:color w:val="262626"/>
                <w:sz w:val="18"/>
                <w:rtl w:val="1"/>
              </w:rPr>
              <w:t>23.3%</w:t>
            </w:r>
          </w:p>
        </w:tc>
      </w:tr>
      <w:tr>
        <w:trPr>
          <w:cantSplit/>
        </w:trPr>
        <w:tc>
          <w:tcPr>
            <w:tcW w:type="dxa" w:w="1984"/>
            <w:vAlign w:val="center"/>
            <w:shd w:fill="F2F2F2"/>
          </w:tcPr>
          <w:p>
            <w:pPr>
              <w:bidi w:val="1"/>
              <w:jc w:val="center"/>
            </w:pPr>
            <w:r>
              <w:rPr>
                <w:rFonts w:cs="Arial"/>
                <w:b/>
                <w:color w:val="1B2A4E"/>
                <w:sz w:val="18"/>
                <w:rtl w:val="1"/>
              </w:rPr>
              <w:t>الإجمالي</w:t>
            </w:r>
          </w:p>
        </w:tc>
        <w:tc>
          <w:tcPr>
            <w:tcW w:type="dxa" w:w="1701"/>
            <w:vAlign w:val="center"/>
            <w:shd w:fill="F2F2F2"/>
          </w:tcPr>
          <w:p>
            <w:pPr>
              <w:bidi w:val="1"/>
              <w:jc w:val="right"/>
            </w:pPr>
            <w:r>
              <w:rPr>
                <w:rFonts w:cs="Arial"/>
                <w:color w:val="262626"/>
                <w:sz w:val="18"/>
                <w:rtl w:val="1"/>
              </w:rPr>
              <w:t>30</w:t>
            </w:r>
          </w:p>
        </w:tc>
        <w:tc>
          <w:tcPr>
            <w:tcW w:type="dxa" w:w="2551"/>
            <w:vAlign w:val="center"/>
            <w:shd w:fill="F2F2F2"/>
          </w:tcPr>
          <w:p>
            <w:pPr>
              <w:bidi w:val="1"/>
              <w:jc w:val="right"/>
            </w:pPr>
            <w:r>
              <w:rPr>
                <w:rFonts w:cs="Arial"/>
                <w:color w:val="262626"/>
                <w:sz w:val="18"/>
                <w:rtl w:val="1"/>
              </w:rPr>
              <w:t>30 ÷ 30 × 100</w:t>
            </w:r>
          </w:p>
        </w:tc>
        <w:tc>
          <w:tcPr>
            <w:tcW w:type="dxa" w:w="1701"/>
            <w:vAlign w:val="center"/>
            <w:shd w:fill="F2F2F2"/>
          </w:tcPr>
          <w:p>
            <w:pPr>
              <w:bidi w:val="1"/>
              <w:jc w:val="center"/>
            </w:pPr>
            <w:r>
              <w:rPr>
                <w:rFonts w:cs="Arial"/>
                <w:b/>
                <w:color w:val="262626"/>
                <w:sz w:val="18"/>
                <w:rtl w:val="1"/>
              </w:rPr>
              <w:t>100%</w:t>
            </w:r>
          </w:p>
        </w:tc>
      </w:tr>
    </w:tbl>
    <w:p/>
    <w:p>
      <w:pPr>
        <w:bidi w:val="1"/>
        <w:jc w:val="right"/>
      </w:pPr>
      <w:r>
        <w:rPr>
          <w:rFonts w:cs="Arial"/>
          <w:b/>
          <w:color w:val="1B2A4E"/>
          <w:sz w:val="26"/>
          <w:rtl w:val="1"/>
        </w:rPr>
        <w:t>6.  النتيجة والتحقق مقابل DC.C.4.1</w:t>
      </w:r>
    </w:p>
    <w:p>
      <w:pPr>
        <w:bidi w:val="1"/>
        <w:jc w:val="right"/>
      </w:pPr>
      <w:r>
        <w:rPr>
          <w:rFonts w:cs="Arial"/>
          <w:b w:val="0"/>
          <w:i w:val="0"/>
          <w:color w:val="262626"/>
          <w:sz w:val="19"/>
          <w:rtl w:val="1"/>
        </w:rPr>
        <w:t>النسب الناتجة (سرّي للغاية 13.3%، سرّي 33.3%، مقيّد 30.0%، عام 23.3%) مطابقة تماماً للقيم الواردة في بطاقة مؤشر KPI-DC-02 ضمن تقرير DC.C.4.1 (القسم 8 وبند 9.2)، وللقيم الواردة في جدول توزيع مستويات التصنيف (القسم 9.2) وجدول لوحة الأداء الإجمالية (القسم 10).</w:t>
      </w:r>
    </w:p>
    <w:p>
      <w:pPr>
        <w:bidi w:val="1"/>
        <w:jc w:val="right"/>
      </w:pPr>
      <w:r>
        <w:rPr>
          <w:rFonts w:cs="Arial"/>
          <w:color w:val="262626"/>
          <w:sz w:val="19"/>
          <w:rtl w:val="1"/>
        </w:rPr>
        <w:t>•  تم التحقق من أن مجموع الأصول عبر المستويات الأربعة (4+10+9+7) يساوي 30، أي إجمالي عدد الأصول دون نقص أو زيادة.</w:t>
      </w:r>
    </w:p>
    <w:p>
      <w:pPr>
        <w:bidi w:val="1"/>
        <w:jc w:val="right"/>
      </w:pPr>
      <w:r>
        <w:rPr>
          <w:rFonts w:cs="Arial"/>
          <w:color w:val="262626"/>
          <w:sz w:val="19"/>
          <w:rtl w:val="1"/>
        </w:rPr>
        <w:t>•  أي توزيع أولي (قبل مراجعة DC.C.3.3) لم يُستخدم كقيمة نهائية في هذا السجل؛ القيمة المعتمدة هي فقط التوزيع بعد المراجعة كما يطابق DC.C.4.1.</w:t>
      </w:r>
    </w:p>
    <w:p/>
    <w:p>
      <w:pPr>
        <w:bidi w:val="1"/>
        <w:jc w:val="right"/>
      </w:pPr>
      <w:r>
        <w:rPr>
          <w:rFonts w:cs="Arial"/>
          <w:b/>
          <w:color w:val="1B2A4E"/>
          <w:sz w:val="26"/>
          <w:rtl w:val="1"/>
        </w:rPr>
        <w:t>7.  الاعتماد والتوقيع</w:t>
      </w:r>
    </w:p>
    <w:p>
      <w:pPr>
        <w:bidi w:val="1"/>
        <w:jc w:val="right"/>
      </w:pPr>
      <w:r>
        <w:rPr>
          <w:rFonts w:cs="Arial"/>
          <w:b w:val="0"/>
          <w:i w:val="0"/>
          <w:color w:val="262626"/>
          <w:sz w:val="19"/>
          <w:rtl w:val="1"/>
        </w:rPr>
        <w:t>تمت مراجعة هذا السجل من مكتب إدارة البيانات، وتم التحقق من مطابقة البيانات الواردة فيه لمحتوى DC.C.3.2 وDC.C.5.1 دون أي إضافة أو حذف أو تعديل.</w:t>
      </w:r>
    </w:p>
    <w:p/>
    <w:tbl>
      <w:tblPr>
        <w:tblStyle w:val="TableGrid"/>
        <w:tblW w:type="auto" w:w="0"/>
        <w:tblLook w:firstColumn="1" w:firstRow="1" w:lastColumn="0" w:lastRow="0" w:noHBand="0" w:noVBand="1" w:val="04A0"/>
        <w:bidiVisual w:val="1"/>
      </w:tblPr>
      <w:tblGrid>
        <w:gridCol w:w="2606"/>
        <w:gridCol w:w="2606"/>
        <w:gridCol w:w="2606"/>
        <w:gridCol w:w="2606"/>
      </w:tblGrid>
      <w:tr>
        <w:tc>
          <w:tcPr>
            <w:tcW w:type="dxa" w:w="2606"/>
            <w:shd w:fill="1B2A4E"/>
            <w:vAlign w:val="center"/>
          </w:tcPr>
          <w:p>
            <w:pPr>
              <w:bidi w:val="1"/>
              <w:jc w:val="center"/>
            </w:pPr>
            <w:r>
              <w:rPr>
                <w:rFonts w:cs="Arial"/>
                <w:b/>
                <w:color w:val="FFFFFF"/>
                <w:sz w:val="19"/>
                <w:rtl w:val="1"/>
              </w:rPr>
              <w:t>صاحب الصلاحية</w:t>
            </w:r>
          </w:p>
        </w:tc>
        <w:tc>
          <w:tcPr>
            <w:tcW w:type="dxa" w:w="2606"/>
            <w:shd w:fill="1B2A4E"/>
            <w:vAlign w:val="center"/>
          </w:tcPr>
          <w:p>
            <w:pPr>
              <w:bidi w:val="1"/>
              <w:jc w:val="center"/>
            </w:pPr>
            <w:r>
              <w:rPr>
                <w:rFonts w:cs="Arial"/>
                <w:b/>
                <w:color w:val="FFFFFF"/>
                <w:sz w:val="19"/>
                <w:rtl w:val="1"/>
              </w:rPr>
              <w:t>المسمى الوظيفي</w:t>
            </w:r>
          </w:p>
        </w:tc>
        <w:tc>
          <w:tcPr>
            <w:tcW w:type="dxa" w:w="2606"/>
            <w:shd w:fill="1B2A4E"/>
            <w:vAlign w:val="center"/>
          </w:tcPr>
          <w:p>
            <w:pPr>
              <w:bidi w:val="1"/>
              <w:jc w:val="center"/>
            </w:pPr>
            <w:r>
              <w:rPr>
                <w:rFonts w:cs="Arial"/>
                <w:b/>
                <w:color w:val="FFFFFF"/>
                <w:sz w:val="19"/>
                <w:rtl w:val="1"/>
              </w:rPr>
              <w:t>التوقيع</w:t>
            </w:r>
          </w:p>
        </w:tc>
        <w:tc>
          <w:tcPr>
            <w:tcW w:type="dxa" w:w="2606"/>
            <w:shd w:fill="1B2A4E"/>
            <w:vAlign w:val="center"/>
          </w:tcPr>
          <w:p>
            <w:pPr>
              <w:bidi w:val="1"/>
              <w:jc w:val="center"/>
            </w:pPr>
            <w:r>
              <w:rPr>
                <w:rFonts w:cs="Arial"/>
                <w:b/>
                <w:color w:val="FFFFFF"/>
                <w:sz w:val="19"/>
                <w:rtl w:val="1"/>
              </w:rPr>
              <w:t>التاريخ</w:t>
            </w:r>
          </w:p>
        </w:tc>
      </w:tr>
      <w:tr>
        <w:tc>
          <w:tcPr>
            <w:tcW w:type="dxa" w:w="2606"/>
          </w:tcPr>
          <w:p>
            <w:pPr>
              <w:bidi w:val="1"/>
              <w:jc w:val="center"/>
            </w:pPr>
            <w:r>
              <w:rPr>
                <w:rFonts w:cs="Arial"/>
                <w:sz w:val="18"/>
                <w:rtl w:val="1"/>
              </w:rPr>
              <w:t>________________</w:t>
            </w:r>
          </w:p>
        </w:tc>
        <w:tc>
          <w:tcPr>
            <w:tcW w:type="dxa" w:w="2606"/>
          </w:tcPr>
          <w:p>
            <w:pPr>
              <w:bidi w:val="1"/>
              <w:jc w:val="center"/>
            </w:pPr>
            <w:r>
              <w:rPr>
                <w:rFonts w:cs="Arial"/>
                <w:sz w:val="18"/>
                <w:rtl w:val="1"/>
              </w:rPr>
              <w:t>مدير مكتب إدارة البيانات</w:t>
            </w:r>
          </w:p>
        </w:tc>
        <w:tc>
          <w:tcPr>
            <w:tcW w:type="dxa" w:w="2606"/>
          </w:tcPr>
          <w:p>
            <w:pPr>
              <w:bidi w:val="1"/>
              <w:jc w:val="center"/>
            </w:pPr>
            <w:r>
              <w:rPr>
                <w:rFonts w:cs="Arial"/>
                <w:sz w:val="18"/>
                <w:rtl w:val="1"/>
              </w:rPr>
              <w:t>________________</w:t>
            </w:r>
          </w:p>
        </w:tc>
        <w:tc>
          <w:tcPr>
            <w:tcW w:type="dxa" w:w="2606"/>
          </w:tcPr>
          <w:p>
            <w:pPr>
              <w:bidi w:val="1"/>
              <w:jc w:val="center"/>
            </w:pPr>
            <w:r>
              <w:rPr>
                <w:rFonts w:cs="Arial"/>
                <w:sz w:val="18"/>
                <w:rtl w:val="1"/>
              </w:rPr>
              <w:t>________________</w:t>
            </w:r>
          </w:p>
        </w:tc>
      </w:tr>
    </w:tbl>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