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احتساب مؤشر مراجعة البيانات منخفضة الأثر (KPI-DC-03)</w:t>
      </w:r>
    </w:p>
    <w:p>
      <w:pPr>
        <w:bidi w:val="1"/>
        <w:jc w:val="right"/>
      </w:pPr>
      <w:r>
        <w:rPr>
          <w:rFonts w:cs="Arial"/>
          <w:b w:val="0"/>
          <w:i/>
          <w:color w:val="29C79A"/>
          <w:sz w:val="22"/>
          <w:rtl w:val="1"/>
        </w:rPr>
        <w:t>Low-Impact Data Review KPI Calculation Record</w:t>
      </w:r>
    </w:p>
    <w:p/>
    <w:p>
      <w:pPr>
        <w:bidi w:val="1"/>
        <w:jc w:val="right"/>
      </w:pPr>
      <w:r>
        <w:rPr>
          <w:rFonts w:cs="Arial"/>
          <w:b/>
          <w:color w:val="1B2A4E"/>
          <w:sz w:val="23"/>
          <w:rtl w:val="1"/>
        </w:rPr>
        <w:t>1.  بيانات الوثيقة</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520"/>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520"/>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520"/>
          </w:tcPr>
          <w:p>
            <w:pPr>
              <w:bidi w:val="1"/>
              <w:jc w:val="right"/>
            </w:pPr>
            <w:r>
              <w:rPr>
                <w:rFonts w:cs="Arial"/>
                <w:color w:val="262626"/>
                <w:sz w:val="18"/>
                <w:rtl w:val="1"/>
              </w:rPr>
              <w:t>DC.C.4.1-E03</w:t>
            </w:r>
          </w:p>
        </w:tc>
        <w:tc>
          <w:tcPr>
            <w:tcW w:type="dxa" w:w="2835"/>
          </w:tcPr>
          <w:p>
            <w:pPr>
              <w:bidi w:val="1"/>
              <w:jc w:val="right"/>
            </w:pPr>
            <w:r>
              <w:rPr>
                <w:rFonts w:cs="Arial"/>
                <w:b/>
                <w:color w:val="595959"/>
                <w:sz w:val="18"/>
                <w:rtl w:val="1"/>
              </w:rPr>
              <w:t>رمز الدليل</w:t>
            </w:r>
          </w:p>
        </w:tc>
      </w:tr>
      <w:tr>
        <w:tc>
          <w:tcPr>
            <w:tcW w:type="dxa" w:w="6520"/>
          </w:tcPr>
          <w:p>
            <w:pPr>
              <w:bidi w:val="1"/>
              <w:jc w:val="right"/>
            </w:pPr>
            <w:r>
              <w:rPr>
                <w:rFonts w:cs="Arial"/>
                <w:color w:val="262626"/>
                <w:sz w:val="18"/>
                <w:rtl w:val="1"/>
              </w:rPr>
              <w:t>Calculation Record</w:t>
            </w:r>
          </w:p>
        </w:tc>
        <w:tc>
          <w:tcPr>
            <w:tcW w:type="dxa" w:w="2835"/>
          </w:tcPr>
          <w:p>
            <w:pPr>
              <w:bidi w:val="1"/>
              <w:jc w:val="right"/>
            </w:pPr>
            <w:r>
              <w:rPr>
                <w:rFonts w:cs="Arial"/>
                <w:b/>
                <w:color w:val="595959"/>
                <w:sz w:val="18"/>
                <w:rtl w:val="1"/>
              </w:rPr>
              <w:t>نوع الوثيقة</w:t>
            </w:r>
          </w:p>
        </w:tc>
      </w:tr>
      <w:tr>
        <w:tc>
          <w:tcPr>
            <w:tcW w:type="dxa" w:w="6520"/>
          </w:tcPr>
          <w:p>
            <w:pPr>
              <w:bidi w:val="1"/>
              <w:jc w:val="right"/>
            </w:pPr>
            <w:r>
              <w:rPr>
                <w:rFonts w:cs="Arial"/>
                <w:color w:val="262626"/>
                <w:sz w:val="18"/>
                <w:rtl w:val="1"/>
              </w:rPr>
              <w:t>DC.C.4.1 — تقرير مراقبة عمليات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520"/>
          </w:tcPr>
          <w:p>
            <w:pPr>
              <w:bidi w:val="1"/>
              <w:jc w:val="right"/>
            </w:pPr>
            <w:r>
              <w:rPr>
                <w:rFonts w:cs="Arial"/>
                <w:color w:val="262626"/>
                <w:sz w:val="18"/>
                <w:rtl w:val="1"/>
              </w:rPr>
              <w:t>KPI-DC-03 — نسبة البيانات منخفضة الأثر المصنفة «مقيّد»</w:t>
            </w:r>
          </w:p>
        </w:tc>
        <w:tc>
          <w:tcPr>
            <w:tcW w:type="dxa" w:w="2835"/>
          </w:tcPr>
          <w:p>
            <w:pPr>
              <w:bidi w:val="1"/>
              <w:jc w:val="right"/>
            </w:pPr>
            <w:r>
              <w:rPr>
                <w:rFonts w:cs="Arial"/>
                <w:b/>
                <w:color w:val="595959"/>
                <w:sz w:val="18"/>
                <w:rtl w:val="1"/>
              </w:rPr>
              <w:t>المؤشر المرتبط</w:t>
            </w:r>
          </w:p>
        </w:tc>
      </w:tr>
      <w:tr>
        <w:tc>
          <w:tcPr>
            <w:tcW w:type="dxa" w:w="6520"/>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520"/>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520"/>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2.  نطاق القياس</w:t>
      </w:r>
    </w:p>
    <w:tbl>
      <w:tblPr>
        <w:tblW w:type="auto" w:w="0"/>
        <w:tblLayout w:type="autofit"/>
        <w:tblLook w:firstColumn="1" w:firstRow="1" w:lastColumn="0" w:lastRow="0" w:noHBand="0" w:noVBand="1" w:val="04A0"/>
        <w:bidiVisual w:val="1"/>
      </w:tblPr>
      <w:tblGrid>
        <w:gridCol w:w="6520"/>
        <w:gridCol w:w="2835"/>
      </w:tblGrid>
      <w:tr>
        <w:tc>
          <w:tcPr>
            <w:tcW w:type="dxa" w:w="6520"/>
          </w:tcPr>
          <w:p>
            <w:pPr>
              <w:bidi w:val="1"/>
              <w:jc w:val="right"/>
            </w:pPr>
            <w:r>
              <w:rPr>
                <w:rFonts w:cs="Arial"/>
                <w:color w:val="262626"/>
                <w:sz w:val="18"/>
                <w:rtl w:val="1"/>
              </w:rPr>
              <w:t>الأصول الاثنا عشر (12) المصنَّفة أصلاً «مقيّد» في تقرير تقييم الأثر (DC.C.3.2)، والتي خضعت جميعها دون استثناء لدراسة تفصيلية (تعارض نظامي + موازنة منافع/آثار) في تقرير DC.C.3.3.</w:t>
            </w:r>
          </w:p>
        </w:tc>
        <w:tc>
          <w:tcPr>
            <w:tcW w:type="dxa" w:w="2835"/>
          </w:tcPr>
          <w:p>
            <w:pPr>
              <w:bidi w:val="1"/>
              <w:jc w:val="right"/>
            </w:pPr>
            <w:r>
              <w:rPr>
                <w:rFonts w:cs="Arial"/>
                <w:b/>
                <w:color w:val="595959"/>
                <w:sz w:val="18"/>
                <w:rtl w:val="1"/>
              </w:rPr>
              <w:t>نطاق الأصول محل المراجعة</w:t>
            </w:r>
          </w:p>
        </w:tc>
      </w:tr>
      <w:tr>
        <w:tc>
          <w:tcPr>
            <w:tcW w:type="dxa" w:w="6520"/>
          </w:tcPr>
          <w:p>
            <w:pPr>
              <w:bidi w:val="1"/>
              <w:jc w:val="right"/>
            </w:pPr>
            <w:r>
              <w:rPr>
                <w:rFonts w:cs="Arial"/>
                <w:color w:val="262626"/>
                <w:sz w:val="18"/>
                <w:rtl w:val="1"/>
              </w:rPr>
              <w:t>الربع الثاني 2026 — كما ورد في تقرير DC.C.4.1</w:t>
            </w:r>
          </w:p>
        </w:tc>
        <w:tc>
          <w:tcPr>
            <w:tcW w:type="dxa" w:w="2835"/>
          </w:tcPr>
          <w:p>
            <w:pPr>
              <w:bidi w:val="1"/>
              <w:jc w:val="right"/>
            </w:pPr>
            <w:r>
              <w:rPr>
                <w:rFonts w:cs="Arial"/>
                <w:b/>
                <w:color w:val="595959"/>
                <w:sz w:val="18"/>
                <w:rtl w:val="1"/>
              </w:rPr>
              <w:t>فترة المراجعة</w:t>
            </w:r>
          </w:p>
        </w:tc>
      </w:tr>
      <w:tr>
        <w:tc>
          <w:tcPr>
            <w:tcW w:type="dxa" w:w="6520"/>
          </w:tcPr>
          <w:p>
            <w:pPr>
              <w:bidi w:val="1"/>
              <w:jc w:val="right"/>
            </w:pPr>
            <w:r>
              <w:rPr>
                <w:rFonts w:cs="Arial"/>
                <w:color w:val="262626"/>
                <w:sz w:val="18"/>
                <w:rtl w:val="1"/>
              </w:rPr>
              <w:t>يونيو 2026 (تاريخ إصدار DC.C.3.2 وDC.C.3.3)</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color w:val="1B2A4E"/>
          <w:sz w:val="26"/>
          <w:rtl w:val="1"/>
        </w:rPr>
        <w:t>3.  مصدر البيانات</w:t>
      </w:r>
    </w:p>
    <w:p>
      <w:pPr>
        <w:bidi w:val="1"/>
        <w:jc w:val="right"/>
      </w:pPr>
      <w:r>
        <w:rPr>
          <w:rFonts w:cs="Arial"/>
          <w:color w:val="262626"/>
          <w:sz w:val="19"/>
          <w:rtl w:val="1"/>
        </w:rPr>
        <w:t>•  DC.C.3.2 — تقرير تقييم الأثر (تحديد الأصول الاثني عشر المصنَّفة أصلاً «مقيّد» ذات الأثر المنخفض).</w:t>
      </w:r>
    </w:p>
    <w:p>
      <w:pPr>
        <w:bidi w:val="1"/>
        <w:jc w:val="right"/>
      </w:pPr>
      <w:r>
        <w:rPr>
          <w:rFonts w:cs="Arial"/>
          <w:color w:val="262626"/>
          <w:sz w:val="19"/>
          <w:rtl w:val="1"/>
        </w:rPr>
        <w:t>•  DC.C.3.3 — تقرير تقييم البيانات منخفضة الأثر (القرار النهائي لكل أصل من الأصول الاثني عشر: الإبقاء كمقيّد أو إعادة التصنيف إلى عام).</w:t>
      </w:r>
    </w:p>
    <w:p/>
    <w:p>
      <w:pPr>
        <w:bidi w:val="1"/>
        <w:jc w:val="right"/>
      </w:pPr>
      <w:r>
        <w:rPr>
          <w:rFonts w:cs="Arial"/>
          <w:b/>
          <w:color w:val="1B2A4E"/>
          <w:sz w:val="26"/>
          <w:rtl w:val="1"/>
        </w:rPr>
        <w:t>4.  جدول البيانات المستخدمة</w:t>
      </w:r>
    </w:p>
    <w:p>
      <w:pPr>
        <w:bidi w:val="1"/>
        <w:jc w:val="right"/>
      </w:pPr>
      <w:r>
        <w:rPr>
          <w:rFonts w:cs="Arial"/>
          <w:b w:val="0"/>
          <w:i w:val="0"/>
          <w:color w:val="262626"/>
          <w:sz w:val="19"/>
          <w:rtl w:val="1"/>
        </w:rPr>
        <w:t>يعرض الجدول التالي القرار النهائي لكل أصل من الأصول الاثني عشر، كما ورد حرفياً في تقرير DC.C.3.3:</w:t>
      </w:r>
    </w:p>
    <w:tbl>
      <w:tblPr>
        <w:tblStyle w:val="TableGrid"/>
        <w:tblW w:type="auto" w:w="0"/>
        <w:tblLook w:firstColumn="1" w:firstRow="1" w:lastColumn="0" w:lastRow="0" w:noHBand="0" w:noVBand="1" w:val="04A0"/>
        <w:bidiVisual w:val="1"/>
      </w:tblPr>
      <w:tblGrid>
        <w:gridCol w:w="1247"/>
        <w:gridCol w:w="1587"/>
        <w:gridCol w:w="3685"/>
        <w:gridCol w:w="2551"/>
      </w:tblGrid>
      <w:tr>
        <w:trPr>
          <w:cantSplit/>
        </w:trPr>
        <w:tc>
          <w:tcPr>
            <w:tcW w:type="dxa" w:w="2550"/>
            <w:shd w:fill="1B2A4E"/>
            <w:vAlign w:val="center"/>
          </w:tcPr>
          <w:p>
            <w:pPr>
              <w:bidi w:val="1"/>
              <w:jc w:val="center"/>
            </w:pPr>
            <w:r/>
            <w:r>
              <w:rPr>
                <w:rFonts w:cs="Arial"/>
                <w:b/>
                <w:color w:val="FFFFFF"/>
                <w:sz w:val="18"/>
                <w:rtl w:val="1"/>
              </w:rPr>
              <w:t>م (DC.C.3.3)</w:t>
            </w:r>
          </w:p>
        </w:tc>
        <w:tc>
          <w:tcPr>
            <w:tcW w:type="dxa" w:w="2550"/>
            <w:shd w:fill="1B2A4E"/>
            <w:vAlign w:val="center"/>
          </w:tcPr>
          <w:p>
            <w:pPr>
              <w:bidi w:val="1"/>
              <w:jc w:val="center"/>
            </w:pPr>
            <w:r/>
            <w:r>
              <w:rPr>
                <w:rFonts w:cs="Arial"/>
                <w:b/>
                <w:color w:val="FFFFFF"/>
                <w:sz w:val="18"/>
                <w:rtl w:val="1"/>
              </w:rPr>
              <w:t>الرقم الأصلي (DC.C.3.1/3.2)</w:t>
            </w:r>
          </w:p>
        </w:tc>
        <w:tc>
          <w:tcPr>
            <w:tcW w:type="dxa" w:w="2550"/>
            <w:shd w:fill="1B2A4E"/>
            <w:vAlign w:val="center"/>
          </w:tcPr>
          <w:p>
            <w:pPr>
              <w:bidi w:val="1"/>
              <w:jc w:val="center"/>
            </w:pPr>
            <w:r/>
            <w:r>
              <w:rPr>
                <w:rFonts w:cs="Arial"/>
                <w:b/>
                <w:color w:val="FFFFFF"/>
                <w:sz w:val="18"/>
                <w:rtl w:val="1"/>
              </w:rPr>
              <w:t>اسم الأصل</w:t>
            </w:r>
          </w:p>
        </w:tc>
        <w:tc>
          <w:tcPr>
            <w:tcW w:type="dxa" w:w="2550"/>
            <w:shd w:fill="1B2A4E"/>
            <w:vAlign w:val="center"/>
          </w:tcPr>
          <w:p>
            <w:pPr>
              <w:bidi w:val="1"/>
              <w:jc w:val="center"/>
            </w:pPr>
            <w:r/>
            <w:r>
              <w:rPr>
                <w:rFonts w:cs="Arial"/>
                <w:b/>
                <w:color w:val="FFFFFF"/>
                <w:sz w:val="18"/>
                <w:rtl w:val="1"/>
              </w:rPr>
              <w:t>القرار النهائي (DC.C.3.3)</w:t>
            </w:r>
          </w:p>
        </w:tc>
      </w:tr>
      <w:tr>
        <w:trPr>
          <w:cantSplit/>
        </w:trPr>
        <w:tc>
          <w:tcPr>
            <w:tcW w:type="dxa" w:w="1247"/>
            <w:vAlign w:val="center"/>
            <w:shd w:fill="F2F2F2"/>
          </w:tcPr>
          <w:p>
            <w:pPr>
              <w:bidi w:val="1"/>
              <w:jc w:val="right"/>
            </w:pPr>
            <w:r>
              <w:rPr>
                <w:rFonts w:cs="Arial"/>
                <w:b/>
                <w:color w:val="1F2A44"/>
                <w:sz w:val="16"/>
                <w:rtl w:val="1"/>
              </w:rPr>
              <w:t>1</w:t>
            </w:r>
          </w:p>
        </w:tc>
        <w:tc>
          <w:tcPr>
            <w:tcW w:type="dxa" w:w="1587"/>
            <w:vAlign w:val="center"/>
            <w:shd w:fill="F2F2F2"/>
          </w:tcPr>
          <w:p>
            <w:pPr>
              <w:bidi w:val="1"/>
              <w:jc w:val="right"/>
            </w:pPr>
            <w:r>
              <w:rPr>
                <w:rFonts w:cs="Arial"/>
                <w:color w:val="262626"/>
                <w:sz w:val="16"/>
                <w:rtl w:val="1"/>
              </w:rPr>
              <w:t>9</w:t>
            </w:r>
          </w:p>
        </w:tc>
        <w:tc>
          <w:tcPr>
            <w:tcW w:type="dxa" w:w="3685"/>
            <w:vAlign w:val="center"/>
            <w:shd w:fill="F2F2F2"/>
          </w:tcPr>
          <w:p>
            <w:pPr>
              <w:bidi w:val="1"/>
              <w:jc w:val="right"/>
            </w:pPr>
            <w:r>
              <w:rPr>
                <w:rFonts w:cs="Arial"/>
                <w:color w:val="262626"/>
                <w:sz w:val="16"/>
                <w:rtl w:val="1"/>
              </w:rPr>
              <w:t>بيانات طلبات ومعاملات المستفيدين</w:t>
            </w:r>
          </w:p>
        </w:tc>
        <w:tc>
          <w:tcPr>
            <w:tcW w:type="dxa" w:w="2551"/>
            <w:vAlign w:val="center"/>
            <w:shd w:fill="F2F2F2"/>
          </w:tcPr>
          <w:p>
            <w:pPr>
              <w:bidi w:val="1"/>
              <w:jc w:val="center"/>
            </w:pPr>
            <w:r>
              <w:rPr>
                <w:rFonts w:cs="Arial"/>
                <w:b/>
                <w:color w:val="8A6D00"/>
                <w:sz w:val="16"/>
                <w:rtl w:val="1"/>
              </w:rPr>
              <w:t>الإبقاء كمقيّد</w:t>
            </w:r>
          </w:p>
        </w:tc>
      </w:tr>
      <w:tr>
        <w:trPr>
          <w:cantSplit/>
        </w:trPr>
        <w:tc>
          <w:tcPr>
            <w:tcW w:type="dxa" w:w="1247"/>
            <w:vAlign w:val="center"/>
          </w:tcPr>
          <w:p>
            <w:pPr>
              <w:bidi w:val="1"/>
              <w:jc w:val="right"/>
            </w:pPr>
            <w:r>
              <w:rPr>
                <w:rFonts w:cs="Arial"/>
                <w:b/>
                <w:color w:val="1F2A44"/>
                <w:sz w:val="16"/>
                <w:rtl w:val="1"/>
              </w:rPr>
              <w:t>2</w:t>
            </w:r>
          </w:p>
        </w:tc>
        <w:tc>
          <w:tcPr>
            <w:tcW w:type="dxa" w:w="1587"/>
            <w:vAlign w:val="center"/>
          </w:tcPr>
          <w:p>
            <w:pPr>
              <w:bidi w:val="1"/>
              <w:jc w:val="right"/>
            </w:pPr>
            <w:r>
              <w:rPr>
                <w:rFonts w:cs="Arial"/>
                <w:color w:val="262626"/>
                <w:sz w:val="16"/>
                <w:rtl w:val="1"/>
              </w:rPr>
              <w:t>10</w:t>
            </w:r>
          </w:p>
        </w:tc>
        <w:tc>
          <w:tcPr>
            <w:tcW w:type="dxa" w:w="3685"/>
            <w:vAlign w:val="center"/>
          </w:tcPr>
          <w:p>
            <w:pPr>
              <w:bidi w:val="1"/>
              <w:jc w:val="right"/>
            </w:pPr>
            <w:r>
              <w:rPr>
                <w:rFonts w:cs="Arial"/>
                <w:color w:val="262626"/>
                <w:sz w:val="16"/>
                <w:rtl w:val="1"/>
              </w:rPr>
              <w:t>بيانات الخدمات الحكومية الرقمية</w:t>
            </w:r>
          </w:p>
        </w:tc>
        <w:tc>
          <w:tcPr>
            <w:tcW w:type="dxa" w:w="2551"/>
            <w:vAlign w:val="center"/>
          </w:tcPr>
          <w:p>
            <w:pPr>
              <w:bidi w:val="1"/>
              <w:jc w:val="center"/>
            </w:pPr>
            <w:r>
              <w:rPr>
                <w:rFonts w:cs="Arial"/>
                <w:b/>
                <w:color w:val="1F6F43"/>
                <w:sz w:val="16"/>
                <w:rtl w:val="1"/>
              </w:rPr>
              <w:t>إعادة التصنيف إلى عام</w:t>
            </w:r>
          </w:p>
        </w:tc>
      </w:tr>
      <w:tr>
        <w:trPr>
          <w:cantSplit/>
        </w:trPr>
        <w:tc>
          <w:tcPr>
            <w:tcW w:type="dxa" w:w="1247"/>
            <w:vAlign w:val="center"/>
            <w:shd w:fill="F2F2F2"/>
          </w:tcPr>
          <w:p>
            <w:pPr>
              <w:bidi w:val="1"/>
              <w:jc w:val="right"/>
            </w:pPr>
            <w:r>
              <w:rPr>
                <w:rFonts w:cs="Arial"/>
                <w:b/>
                <w:color w:val="1F2A44"/>
                <w:sz w:val="16"/>
                <w:rtl w:val="1"/>
              </w:rPr>
              <w:t>3</w:t>
            </w:r>
          </w:p>
        </w:tc>
        <w:tc>
          <w:tcPr>
            <w:tcW w:type="dxa" w:w="1587"/>
            <w:vAlign w:val="center"/>
            <w:shd w:fill="F2F2F2"/>
          </w:tcPr>
          <w:p>
            <w:pPr>
              <w:bidi w:val="1"/>
              <w:jc w:val="right"/>
            </w:pPr>
            <w:r>
              <w:rPr>
                <w:rFonts w:cs="Arial"/>
                <w:color w:val="262626"/>
                <w:sz w:val="16"/>
                <w:rtl w:val="1"/>
              </w:rPr>
              <w:t>11</w:t>
            </w:r>
          </w:p>
        </w:tc>
        <w:tc>
          <w:tcPr>
            <w:tcW w:type="dxa" w:w="3685"/>
            <w:vAlign w:val="center"/>
            <w:shd w:fill="F2F2F2"/>
          </w:tcPr>
          <w:p>
            <w:pPr>
              <w:bidi w:val="1"/>
              <w:jc w:val="right"/>
            </w:pPr>
            <w:r>
              <w:rPr>
                <w:rFonts w:cs="Arial"/>
                <w:color w:val="262626"/>
                <w:sz w:val="16"/>
                <w:rtl w:val="1"/>
              </w:rPr>
              <w:t>بيانات الموردين والمتعاقدين</w:t>
            </w:r>
          </w:p>
        </w:tc>
        <w:tc>
          <w:tcPr>
            <w:tcW w:type="dxa" w:w="2551"/>
            <w:vAlign w:val="center"/>
            <w:shd w:fill="F2F2F2"/>
          </w:tcPr>
          <w:p>
            <w:pPr>
              <w:bidi w:val="1"/>
              <w:jc w:val="center"/>
            </w:pPr>
            <w:r>
              <w:rPr>
                <w:rFonts w:cs="Arial"/>
                <w:b/>
                <w:color w:val="8A6D00"/>
                <w:sz w:val="16"/>
                <w:rtl w:val="1"/>
              </w:rPr>
              <w:t>الإبقاء كمقيّد</w:t>
            </w:r>
          </w:p>
        </w:tc>
      </w:tr>
      <w:tr>
        <w:trPr>
          <w:cantSplit/>
        </w:trPr>
        <w:tc>
          <w:tcPr>
            <w:tcW w:type="dxa" w:w="1247"/>
            <w:vAlign w:val="center"/>
          </w:tcPr>
          <w:p>
            <w:pPr>
              <w:bidi w:val="1"/>
              <w:jc w:val="right"/>
            </w:pPr>
            <w:r>
              <w:rPr>
                <w:rFonts w:cs="Arial"/>
                <w:b/>
                <w:color w:val="1F2A44"/>
                <w:sz w:val="16"/>
                <w:rtl w:val="1"/>
              </w:rPr>
              <w:t>4</w:t>
            </w:r>
          </w:p>
        </w:tc>
        <w:tc>
          <w:tcPr>
            <w:tcW w:type="dxa" w:w="1587"/>
            <w:vAlign w:val="center"/>
          </w:tcPr>
          <w:p>
            <w:pPr>
              <w:bidi w:val="1"/>
              <w:jc w:val="right"/>
            </w:pPr>
            <w:r>
              <w:rPr>
                <w:rFonts w:cs="Arial"/>
                <w:color w:val="262626"/>
                <w:sz w:val="16"/>
                <w:rtl w:val="1"/>
              </w:rPr>
              <w:t>14</w:t>
            </w:r>
          </w:p>
        </w:tc>
        <w:tc>
          <w:tcPr>
            <w:tcW w:type="dxa" w:w="3685"/>
            <w:vAlign w:val="center"/>
          </w:tcPr>
          <w:p>
            <w:pPr>
              <w:bidi w:val="1"/>
              <w:jc w:val="right"/>
            </w:pPr>
            <w:r>
              <w:rPr>
                <w:rFonts w:cs="Arial"/>
                <w:color w:val="262626"/>
                <w:sz w:val="16"/>
                <w:rtl w:val="1"/>
              </w:rPr>
              <w:t>بيانات التدريب والتطوير الوظيفي</w:t>
            </w:r>
          </w:p>
        </w:tc>
        <w:tc>
          <w:tcPr>
            <w:tcW w:type="dxa" w:w="2551"/>
            <w:vAlign w:val="center"/>
          </w:tcPr>
          <w:p>
            <w:pPr>
              <w:bidi w:val="1"/>
              <w:jc w:val="center"/>
            </w:pPr>
            <w:r>
              <w:rPr>
                <w:rFonts w:cs="Arial"/>
                <w:b/>
                <w:color w:val="8A6D00"/>
                <w:sz w:val="16"/>
                <w:rtl w:val="1"/>
              </w:rPr>
              <w:t>الإبقاء كمقيّد</w:t>
            </w:r>
          </w:p>
        </w:tc>
      </w:tr>
      <w:tr>
        <w:trPr>
          <w:cantSplit/>
        </w:trPr>
        <w:tc>
          <w:tcPr>
            <w:tcW w:type="dxa" w:w="1247"/>
            <w:vAlign w:val="center"/>
            <w:shd w:fill="F2F2F2"/>
          </w:tcPr>
          <w:p>
            <w:pPr>
              <w:bidi w:val="1"/>
              <w:jc w:val="right"/>
            </w:pPr>
            <w:r>
              <w:rPr>
                <w:rFonts w:cs="Arial"/>
                <w:b/>
                <w:color w:val="1F2A44"/>
                <w:sz w:val="16"/>
                <w:rtl w:val="1"/>
              </w:rPr>
              <w:t>5</w:t>
            </w:r>
          </w:p>
        </w:tc>
        <w:tc>
          <w:tcPr>
            <w:tcW w:type="dxa" w:w="1587"/>
            <w:vAlign w:val="center"/>
            <w:shd w:fill="F2F2F2"/>
          </w:tcPr>
          <w:p>
            <w:pPr>
              <w:bidi w:val="1"/>
              <w:jc w:val="right"/>
            </w:pPr>
            <w:r>
              <w:rPr>
                <w:rFonts w:cs="Arial"/>
                <w:color w:val="262626"/>
                <w:sz w:val="16"/>
                <w:rtl w:val="1"/>
              </w:rPr>
              <w:t>16</w:t>
            </w:r>
          </w:p>
        </w:tc>
        <w:tc>
          <w:tcPr>
            <w:tcW w:type="dxa" w:w="3685"/>
            <w:vAlign w:val="center"/>
            <w:shd w:fill="F2F2F2"/>
          </w:tcPr>
          <w:p>
            <w:pPr>
              <w:bidi w:val="1"/>
              <w:jc w:val="right"/>
            </w:pPr>
            <w:r>
              <w:rPr>
                <w:rFonts w:cs="Arial"/>
                <w:color w:val="262626"/>
                <w:sz w:val="16"/>
                <w:rtl w:val="1"/>
              </w:rPr>
              <w:t>بيانات الحوادث التقنية وطلبات الدعم</w:t>
            </w:r>
          </w:p>
        </w:tc>
        <w:tc>
          <w:tcPr>
            <w:tcW w:type="dxa" w:w="2551"/>
            <w:vAlign w:val="center"/>
            <w:shd w:fill="F2F2F2"/>
          </w:tcPr>
          <w:p>
            <w:pPr>
              <w:bidi w:val="1"/>
              <w:jc w:val="center"/>
            </w:pPr>
            <w:r>
              <w:rPr>
                <w:rFonts w:cs="Arial"/>
                <w:b/>
                <w:color w:val="8A6D00"/>
                <w:sz w:val="16"/>
                <w:rtl w:val="1"/>
              </w:rPr>
              <w:t>الإبقاء كمقيّد</w:t>
            </w:r>
          </w:p>
        </w:tc>
      </w:tr>
      <w:tr>
        <w:trPr>
          <w:cantSplit/>
        </w:trPr>
        <w:tc>
          <w:tcPr>
            <w:tcW w:type="dxa" w:w="1247"/>
            <w:vAlign w:val="center"/>
          </w:tcPr>
          <w:p>
            <w:pPr>
              <w:bidi w:val="1"/>
              <w:jc w:val="right"/>
            </w:pPr>
            <w:r>
              <w:rPr>
                <w:rFonts w:cs="Arial"/>
                <w:b/>
                <w:color w:val="1F2A44"/>
                <w:sz w:val="16"/>
                <w:rtl w:val="1"/>
              </w:rPr>
              <w:t>6</w:t>
            </w:r>
          </w:p>
        </w:tc>
        <w:tc>
          <w:tcPr>
            <w:tcW w:type="dxa" w:w="1587"/>
            <w:vAlign w:val="center"/>
          </w:tcPr>
          <w:p>
            <w:pPr>
              <w:bidi w:val="1"/>
              <w:jc w:val="right"/>
            </w:pPr>
            <w:r>
              <w:rPr>
                <w:rFonts w:cs="Arial"/>
                <w:color w:val="262626"/>
                <w:sz w:val="16"/>
                <w:rtl w:val="1"/>
              </w:rPr>
              <w:t>21</w:t>
            </w:r>
          </w:p>
        </w:tc>
        <w:tc>
          <w:tcPr>
            <w:tcW w:type="dxa" w:w="3685"/>
            <w:vAlign w:val="center"/>
          </w:tcPr>
          <w:p>
            <w:pPr>
              <w:bidi w:val="1"/>
              <w:jc w:val="right"/>
            </w:pPr>
            <w:r>
              <w:rPr>
                <w:rFonts w:cs="Arial"/>
                <w:color w:val="262626"/>
                <w:sz w:val="16"/>
                <w:rtl w:val="1"/>
              </w:rPr>
              <w:t>سجلات المراسلات والخطابات الرسمية</w:t>
            </w:r>
          </w:p>
        </w:tc>
        <w:tc>
          <w:tcPr>
            <w:tcW w:type="dxa" w:w="2551"/>
            <w:vAlign w:val="center"/>
          </w:tcPr>
          <w:p>
            <w:pPr>
              <w:bidi w:val="1"/>
              <w:jc w:val="center"/>
            </w:pPr>
            <w:r>
              <w:rPr>
                <w:rFonts w:cs="Arial"/>
                <w:b/>
                <w:color w:val="8A6D00"/>
                <w:sz w:val="16"/>
                <w:rtl w:val="1"/>
              </w:rPr>
              <w:t>الإبقاء كمقيّد</w:t>
            </w:r>
          </w:p>
        </w:tc>
      </w:tr>
      <w:tr>
        <w:trPr>
          <w:cantSplit/>
        </w:trPr>
        <w:tc>
          <w:tcPr>
            <w:tcW w:type="dxa" w:w="1247"/>
            <w:vAlign w:val="center"/>
            <w:shd w:fill="F2F2F2"/>
          </w:tcPr>
          <w:p>
            <w:pPr>
              <w:bidi w:val="1"/>
              <w:jc w:val="right"/>
            </w:pPr>
            <w:r>
              <w:rPr>
                <w:rFonts w:cs="Arial"/>
                <w:b/>
                <w:color w:val="1F2A44"/>
                <w:sz w:val="16"/>
                <w:rtl w:val="1"/>
              </w:rPr>
              <w:t>7</w:t>
            </w:r>
          </w:p>
        </w:tc>
        <w:tc>
          <w:tcPr>
            <w:tcW w:type="dxa" w:w="1587"/>
            <w:vAlign w:val="center"/>
            <w:shd w:fill="F2F2F2"/>
          </w:tcPr>
          <w:p>
            <w:pPr>
              <w:bidi w:val="1"/>
              <w:jc w:val="right"/>
            </w:pPr>
            <w:r>
              <w:rPr>
                <w:rFonts w:cs="Arial"/>
                <w:color w:val="262626"/>
                <w:sz w:val="16"/>
                <w:rtl w:val="1"/>
              </w:rPr>
              <w:t>22</w:t>
            </w:r>
          </w:p>
        </w:tc>
        <w:tc>
          <w:tcPr>
            <w:tcW w:type="dxa" w:w="3685"/>
            <w:vAlign w:val="center"/>
            <w:shd w:fill="F2F2F2"/>
          </w:tcPr>
          <w:p>
            <w:pPr>
              <w:bidi w:val="1"/>
              <w:jc w:val="right"/>
            </w:pPr>
            <w:r>
              <w:rPr>
                <w:rFonts w:cs="Arial"/>
                <w:color w:val="262626"/>
                <w:sz w:val="16"/>
                <w:rtl w:val="1"/>
              </w:rPr>
              <w:t>سجلات الاجتماعات واللجان الحوكمية</w:t>
            </w:r>
          </w:p>
        </w:tc>
        <w:tc>
          <w:tcPr>
            <w:tcW w:type="dxa" w:w="2551"/>
            <w:vAlign w:val="center"/>
            <w:shd w:fill="F2F2F2"/>
          </w:tcPr>
          <w:p>
            <w:pPr>
              <w:bidi w:val="1"/>
              <w:jc w:val="center"/>
            </w:pPr>
            <w:r>
              <w:rPr>
                <w:rFonts w:cs="Arial"/>
                <w:b/>
                <w:color w:val="8A6D00"/>
                <w:sz w:val="16"/>
                <w:rtl w:val="1"/>
              </w:rPr>
              <w:t>الإبقاء كمقيّد</w:t>
            </w:r>
          </w:p>
        </w:tc>
      </w:tr>
      <w:tr>
        <w:trPr>
          <w:cantSplit/>
        </w:trPr>
        <w:tc>
          <w:tcPr>
            <w:tcW w:type="dxa" w:w="1247"/>
            <w:vAlign w:val="center"/>
          </w:tcPr>
          <w:p>
            <w:pPr>
              <w:bidi w:val="1"/>
              <w:jc w:val="right"/>
            </w:pPr>
            <w:r>
              <w:rPr>
                <w:rFonts w:cs="Arial"/>
                <w:b/>
                <w:color w:val="1F2A44"/>
                <w:sz w:val="16"/>
                <w:rtl w:val="1"/>
              </w:rPr>
              <w:t>8</w:t>
            </w:r>
          </w:p>
        </w:tc>
        <w:tc>
          <w:tcPr>
            <w:tcW w:type="dxa" w:w="1587"/>
            <w:vAlign w:val="center"/>
          </w:tcPr>
          <w:p>
            <w:pPr>
              <w:bidi w:val="1"/>
              <w:jc w:val="right"/>
            </w:pPr>
            <w:r>
              <w:rPr>
                <w:rFonts w:cs="Arial"/>
                <w:color w:val="262626"/>
                <w:sz w:val="16"/>
                <w:rtl w:val="1"/>
              </w:rPr>
              <w:t>23</w:t>
            </w:r>
          </w:p>
        </w:tc>
        <w:tc>
          <w:tcPr>
            <w:tcW w:type="dxa" w:w="3685"/>
            <w:vAlign w:val="center"/>
          </w:tcPr>
          <w:p>
            <w:pPr>
              <w:bidi w:val="1"/>
              <w:jc w:val="right"/>
            </w:pPr>
            <w:r>
              <w:rPr>
                <w:rFonts w:cs="Arial"/>
                <w:color w:val="262626"/>
                <w:sz w:val="16"/>
                <w:rtl w:val="1"/>
              </w:rPr>
              <w:t>سجلات التقارير الإدارية الدورية</w:t>
            </w:r>
          </w:p>
        </w:tc>
        <w:tc>
          <w:tcPr>
            <w:tcW w:type="dxa" w:w="2551"/>
            <w:vAlign w:val="center"/>
          </w:tcPr>
          <w:p>
            <w:pPr>
              <w:bidi w:val="1"/>
              <w:jc w:val="center"/>
            </w:pPr>
            <w:r>
              <w:rPr>
                <w:rFonts w:cs="Arial"/>
                <w:b/>
                <w:color w:val="1F6F43"/>
                <w:sz w:val="16"/>
                <w:rtl w:val="1"/>
              </w:rPr>
              <w:t>إعادة التصنيف إلى عام</w:t>
            </w:r>
          </w:p>
        </w:tc>
      </w:tr>
      <w:tr>
        <w:trPr>
          <w:cantSplit/>
        </w:trPr>
        <w:tc>
          <w:tcPr>
            <w:tcW w:type="dxa" w:w="1247"/>
            <w:vAlign w:val="center"/>
            <w:shd w:fill="F2F2F2"/>
          </w:tcPr>
          <w:p>
            <w:pPr>
              <w:bidi w:val="1"/>
              <w:jc w:val="right"/>
            </w:pPr>
            <w:r>
              <w:rPr>
                <w:rFonts w:cs="Arial"/>
                <w:b/>
                <w:color w:val="1F2A44"/>
                <w:sz w:val="16"/>
                <w:rtl w:val="1"/>
              </w:rPr>
              <w:t>9</w:t>
            </w:r>
          </w:p>
        </w:tc>
        <w:tc>
          <w:tcPr>
            <w:tcW w:type="dxa" w:w="1587"/>
            <w:vAlign w:val="center"/>
            <w:shd w:fill="F2F2F2"/>
          </w:tcPr>
          <w:p>
            <w:pPr>
              <w:bidi w:val="1"/>
              <w:jc w:val="right"/>
            </w:pPr>
            <w:r>
              <w:rPr>
                <w:rFonts w:cs="Arial"/>
                <w:color w:val="262626"/>
                <w:sz w:val="16"/>
                <w:rtl w:val="1"/>
              </w:rPr>
              <w:t>25</w:t>
            </w:r>
          </w:p>
        </w:tc>
        <w:tc>
          <w:tcPr>
            <w:tcW w:type="dxa" w:w="3685"/>
            <w:vAlign w:val="center"/>
            <w:shd w:fill="F2F2F2"/>
          </w:tcPr>
          <w:p>
            <w:pPr>
              <w:bidi w:val="1"/>
              <w:jc w:val="right"/>
            </w:pPr>
            <w:r>
              <w:rPr>
                <w:rFonts w:cs="Arial"/>
                <w:color w:val="262626"/>
                <w:sz w:val="16"/>
                <w:rtl w:val="1"/>
              </w:rPr>
              <w:t>سجلات الشكاوى والمقترحات</w:t>
            </w:r>
          </w:p>
        </w:tc>
        <w:tc>
          <w:tcPr>
            <w:tcW w:type="dxa" w:w="2551"/>
            <w:vAlign w:val="center"/>
            <w:shd w:fill="F2F2F2"/>
          </w:tcPr>
          <w:p>
            <w:pPr>
              <w:bidi w:val="1"/>
              <w:jc w:val="center"/>
            </w:pPr>
            <w:r>
              <w:rPr>
                <w:rFonts w:cs="Arial"/>
                <w:b/>
                <w:color w:val="8A6D00"/>
                <w:sz w:val="16"/>
                <w:rtl w:val="1"/>
              </w:rPr>
              <w:t>الإبقاء كمقيّد</w:t>
            </w:r>
          </w:p>
        </w:tc>
      </w:tr>
      <w:tr>
        <w:trPr>
          <w:cantSplit/>
        </w:trPr>
        <w:tc>
          <w:tcPr>
            <w:tcW w:type="dxa" w:w="1247"/>
            <w:vAlign w:val="center"/>
          </w:tcPr>
          <w:p>
            <w:pPr>
              <w:bidi w:val="1"/>
              <w:jc w:val="right"/>
            </w:pPr>
            <w:r>
              <w:rPr>
                <w:rFonts w:cs="Arial"/>
                <w:b/>
                <w:color w:val="1F2A44"/>
                <w:sz w:val="16"/>
                <w:rtl w:val="1"/>
              </w:rPr>
              <w:t>10</w:t>
            </w:r>
          </w:p>
        </w:tc>
        <w:tc>
          <w:tcPr>
            <w:tcW w:type="dxa" w:w="1587"/>
            <w:vAlign w:val="center"/>
          </w:tcPr>
          <w:p>
            <w:pPr>
              <w:bidi w:val="1"/>
              <w:jc w:val="right"/>
            </w:pPr>
            <w:r>
              <w:rPr>
                <w:rFonts w:cs="Arial"/>
                <w:color w:val="262626"/>
                <w:sz w:val="16"/>
                <w:rtl w:val="1"/>
              </w:rPr>
              <w:t>27</w:t>
            </w:r>
          </w:p>
        </w:tc>
        <w:tc>
          <w:tcPr>
            <w:tcW w:type="dxa" w:w="3685"/>
            <w:vAlign w:val="center"/>
          </w:tcPr>
          <w:p>
            <w:pPr>
              <w:bidi w:val="1"/>
              <w:jc w:val="right"/>
            </w:pPr>
            <w:r>
              <w:rPr>
                <w:rFonts w:cs="Arial"/>
                <w:color w:val="262626"/>
                <w:sz w:val="16"/>
                <w:rtl w:val="1"/>
              </w:rPr>
              <w:t>سجلات التراخيص والتصاريح القانونية</w:t>
            </w:r>
          </w:p>
        </w:tc>
        <w:tc>
          <w:tcPr>
            <w:tcW w:type="dxa" w:w="2551"/>
            <w:vAlign w:val="center"/>
          </w:tcPr>
          <w:p>
            <w:pPr>
              <w:bidi w:val="1"/>
              <w:jc w:val="center"/>
            </w:pPr>
            <w:r>
              <w:rPr>
                <w:rFonts w:cs="Arial"/>
                <w:b/>
                <w:color w:val="1F6F43"/>
                <w:sz w:val="16"/>
                <w:rtl w:val="1"/>
              </w:rPr>
              <w:t>إعادة التصنيف إلى عام</w:t>
            </w:r>
          </w:p>
        </w:tc>
      </w:tr>
      <w:tr>
        <w:trPr>
          <w:cantSplit/>
        </w:trPr>
        <w:tc>
          <w:tcPr>
            <w:tcW w:type="dxa" w:w="1247"/>
            <w:vAlign w:val="center"/>
            <w:shd w:fill="F2F2F2"/>
          </w:tcPr>
          <w:p>
            <w:pPr>
              <w:bidi w:val="1"/>
              <w:jc w:val="right"/>
            </w:pPr>
            <w:r>
              <w:rPr>
                <w:rFonts w:cs="Arial"/>
                <w:b/>
                <w:color w:val="1F2A44"/>
                <w:sz w:val="16"/>
                <w:rtl w:val="1"/>
              </w:rPr>
              <w:t>11</w:t>
            </w:r>
          </w:p>
        </w:tc>
        <w:tc>
          <w:tcPr>
            <w:tcW w:type="dxa" w:w="1587"/>
            <w:vAlign w:val="center"/>
            <w:shd w:fill="F2F2F2"/>
          </w:tcPr>
          <w:p>
            <w:pPr>
              <w:bidi w:val="1"/>
              <w:jc w:val="right"/>
            </w:pPr>
            <w:r>
              <w:rPr>
                <w:rFonts w:cs="Arial"/>
                <w:color w:val="262626"/>
                <w:sz w:val="16"/>
                <w:rtl w:val="1"/>
              </w:rPr>
              <w:t>29</w:t>
            </w:r>
          </w:p>
        </w:tc>
        <w:tc>
          <w:tcPr>
            <w:tcW w:type="dxa" w:w="3685"/>
            <w:vAlign w:val="center"/>
            <w:shd w:fill="F2F2F2"/>
          </w:tcPr>
          <w:p>
            <w:pPr>
              <w:bidi w:val="1"/>
              <w:jc w:val="right"/>
            </w:pPr>
            <w:r>
              <w:rPr>
                <w:rFonts w:cs="Arial"/>
                <w:color w:val="262626"/>
                <w:sz w:val="16"/>
                <w:rtl w:val="1"/>
              </w:rPr>
              <w:t>وثائق السياسات والإجراءات الداخلية</w:t>
            </w:r>
          </w:p>
        </w:tc>
        <w:tc>
          <w:tcPr>
            <w:tcW w:type="dxa" w:w="2551"/>
            <w:vAlign w:val="center"/>
            <w:shd w:fill="F2F2F2"/>
          </w:tcPr>
          <w:p>
            <w:pPr>
              <w:bidi w:val="1"/>
              <w:jc w:val="center"/>
            </w:pPr>
            <w:r>
              <w:rPr>
                <w:rFonts w:cs="Arial"/>
                <w:b/>
                <w:color w:val="8A6D00"/>
                <w:sz w:val="16"/>
                <w:rtl w:val="1"/>
              </w:rPr>
              <w:t>الإبقاء كمقيّد</w:t>
            </w:r>
          </w:p>
        </w:tc>
      </w:tr>
      <w:tr>
        <w:trPr>
          <w:cantSplit/>
        </w:trPr>
        <w:tc>
          <w:tcPr>
            <w:tcW w:type="dxa" w:w="1247"/>
            <w:vAlign w:val="center"/>
          </w:tcPr>
          <w:p>
            <w:pPr>
              <w:bidi w:val="1"/>
              <w:jc w:val="right"/>
            </w:pPr>
            <w:r>
              <w:rPr>
                <w:rFonts w:cs="Arial"/>
                <w:b/>
                <w:color w:val="1F2A44"/>
                <w:sz w:val="16"/>
                <w:rtl w:val="1"/>
              </w:rPr>
              <w:t>12</w:t>
            </w:r>
          </w:p>
        </w:tc>
        <w:tc>
          <w:tcPr>
            <w:tcW w:type="dxa" w:w="1587"/>
            <w:vAlign w:val="center"/>
          </w:tcPr>
          <w:p>
            <w:pPr>
              <w:bidi w:val="1"/>
              <w:jc w:val="right"/>
            </w:pPr>
            <w:r>
              <w:rPr>
                <w:rFonts w:cs="Arial"/>
                <w:color w:val="262626"/>
                <w:sz w:val="16"/>
                <w:rtl w:val="1"/>
              </w:rPr>
              <w:t>30</w:t>
            </w:r>
          </w:p>
        </w:tc>
        <w:tc>
          <w:tcPr>
            <w:tcW w:type="dxa" w:w="3685"/>
            <w:vAlign w:val="center"/>
          </w:tcPr>
          <w:p>
            <w:pPr>
              <w:bidi w:val="1"/>
              <w:jc w:val="right"/>
            </w:pPr>
            <w:r>
              <w:rPr>
                <w:rFonts w:cs="Arial"/>
                <w:color w:val="262626"/>
                <w:sz w:val="16"/>
                <w:rtl w:val="1"/>
              </w:rPr>
              <w:t>سجلات التغييرات والتحديثات التقنية</w:t>
            </w:r>
          </w:p>
        </w:tc>
        <w:tc>
          <w:tcPr>
            <w:tcW w:type="dxa" w:w="2551"/>
            <w:vAlign w:val="center"/>
          </w:tcPr>
          <w:p>
            <w:pPr>
              <w:bidi w:val="1"/>
              <w:jc w:val="center"/>
            </w:pPr>
            <w:r>
              <w:rPr>
                <w:rFonts w:cs="Arial"/>
                <w:b/>
                <w:color w:val="8A6D00"/>
                <w:sz w:val="16"/>
                <w:rtl w:val="1"/>
              </w:rPr>
              <w:t>الإبقاء كمقيّد</w:t>
            </w:r>
          </w:p>
        </w:tc>
      </w:tr>
    </w:tbl>
    <w:p/>
    <w:p>
      <w:pPr>
        <w:bidi w:val="1"/>
        <w:jc w:val="right"/>
      </w:pPr>
      <w:r>
        <w:rPr>
          <w:rFonts w:cs="Arial"/>
          <w:b w:val="0"/>
          <w:i/>
          <w:color w:val="595959"/>
          <w:sz w:val="16"/>
          <w:rtl w:val="1"/>
        </w:rPr>
        <w:t>ملاحظة تدقيق: لا يعرض هذا الجدول قائمة مستقلة «مُنشأة» للأصول التسعة الباقية على مقيّد؛ بل هو نسخ حرفي للجدول الكامل الوارد في DC.C.3.3 (القسم 7.2) لجميع الأصول الاثني عشر، والذي يتضمن أصلاً عمود القرار النهائي لكل صف. لم يُستخدم أي مصدر آخر غير DC.C.3.2 وDC.C.3.3 في هذا السجل.</w:t>
      </w:r>
    </w:p>
    <w:p>
      <w:r>
        <w:br w:type="page"/>
      </w:r>
    </w:p>
    <w:p>
      <w:pPr>
        <w:bidi w:val="1"/>
        <w:jc w:val="right"/>
      </w:pPr>
      <w:r>
        <w:rPr>
          <w:rFonts w:cs="Arial"/>
          <w:b/>
          <w:color w:val="1B2A4E"/>
          <w:sz w:val="26"/>
          <w:rtl w:val="1"/>
        </w:rPr>
        <w:t>5.  تطبيق المعادلة</w:t>
      </w:r>
    </w:p>
    <w:tbl>
      <w:tblPr>
        <w:tblStyle w:val="TableGrid"/>
        <w:tblW w:type="auto" w:w="0"/>
        <w:tblLook w:firstColumn="1" w:firstRow="1" w:lastColumn="0" w:lastRow="0" w:noHBand="0" w:noVBand="1" w:val="04A0"/>
        <w:bidiVisual w:val="1"/>
      </w:tblPr>
      <w:tblGrid>
        <w:gridCol w:w="5953"/>
        <w:gridCol w:w="2778"/>
      </w:tblGrid>
      <w:tr>
        <w:trPr>
          <w:cantSplit/>
        </w:trPr>
        <w:tc>
          <w:tcPr>
            <w:tcW w:type="dxa" w:w="5100"/>
            <w:shd w:fill="1B2A4E"/>
            <w:vAlign w:val="center"/>
          </w:tcPr>
          <w:p>
            <w:pPr>
              <w:bidi w:val="1"/>
              <w:jc w:val="center"/>
            </w:pPr>
            <w:r/>
            <w:r>
              <w:rPr>
                <w:rFonts w:cs="Arial"/>
                <w:b/>
                <w:color w:val="FFFFFF"/>
                <w:sz w:val="18"/>
                <w:rtl w:val="1"/>
              </w:rPr>
              <w:t>البند</w:t>
            </w:r>
          </w:p>
        </w:tc>
        <w:tc>
          <w:tcPr>
            <w:tcW w:type="dxa" w:w="5100"/>
            <w:shd w:fill="1B2A4E"/>
            <w:vAlign w:val="center"/>
          </w:tcPr>
          <w:p>
            <w:pPr>
              <w:bidi w:val="1"/>
              <w:jc w:val="center"/>
            </w:pPr>
            <w:r/>
            <w:r>
              <w:rPr>
                <w:rFonts w:cs="Arial"/>
                <w:b/>
                <w:color w:val="FFFFFF"/>
                <w:sz w:val="18"/>
                <w:rtl w:val="1"/>
              </w:rPr>
              <w:t>القيمة</w:t>
            </w:r>
          </w:p>
        </w:tc>
      </w:tr>
      <w:tr>
        <w:trPr>
          <w:cantSplit/>
        </w:trPr>
        <w:tc>
          <w:tcPr>
            <w:tcW w:type="dxa" w:w="5953"/>
            <w:vAlign w:val="center"/>
            <w:shd w:fill="F2F2F2"/>
          </w:tcPr>
          <w:p>
            <w:pPr>
              <w:bidi w:val="1"/>
              <w:jc w:val="right"/>
            </w:pPr>
            <w:r>
              <w:rPr>
                <w:rFonts w:cs="Arial"/>
                <w:b/>
                <w:color w:val="1B2A4E"/>
                <w:sz w:val="18"/>
                <w:rtl w:val="1"/>
              </w:rPr>
              <w:t>إجمالي الأصول منخفضة الأثر قبل المراجعة (DC.C.3.2)</w:t>
            </w:r>
          </w:p>
        </w:tc>
        <w:tc>
          <w:tcPr>
            <w:tcW w:type="dxa" w:w="2778"/>
            <w:vAlign w:val="center"/>
            <w:shd w:fill="F2F2F2"/>
          </w:tcPr>
          <w:p>
            <w:pPr>
              <w:bidi w:val="1"/>
              <w:jc w:val="center"/>
            </w:pPr>
            <w:r>
              <w:rPr>
                <w:rFonts w:cs="Arial"/>
                <w:b/>
                <w:color w:val="262626"/>
                <w:sz w:val="18"/>
                <w:rtl w:val="1"/>
              </w:rPr>
              <w:t>12</w:t>
            </w:r>
          </w:p>
        </w:tc>
      </w:tr>
      <w:tr>
        <w:trPr>
          <w:cantSplit/>
        </w:trPr>
        <w:tc>
          <w:tcPr>
            <w:tcW w:type="dxa" w:w="5953"/>
            <w:vAlign w:val="center"/>
          </w:tcPr>
          <w:p>
            <w:pPr>
              <w:bidi w:val="1"/>
              <w:jc w:val="right"/>
            </w:pPr>
            <w:r>
              <w:rPr>
                <w:rFonts w:cs="Arial"/>
                <w:b/>
                <w:color w:val="1B2A4E"/>
                <w:sz w:val="18"/>
                <w:rtl w:val="1"/>
              </w:rPr>
              <w:t>عدد الأصول التي بقيت مصنَّفة «مقيّد» بعد المراجعة (DC.C.3.3)</w:t>
            </w:r>
          </w:p>
        </w:tc>
        <w:tc>
          <w:tcPr>
            <w:tcW w:type="dxa" w:w="2778"/>
            <w:vAlign w:val="center"/>
          </w:tcPr>
          <w:p>
            <w:pPr>
              <w:bidi w:val="1"/>
              <w:jc w:val="center"/>
            </w:pPr>
            <w:r>
              <w:rPr>
                <w:rFonts w:cs="Arial"/>
                <w:b/>
                <w:color w:val="262626"/>
                <w:sz w:val="18"/>
                <w:rtl w:val="1"/>
              </w:rPr>
              <w:t>9</w:t>
            </w:r>
          </w:p>
        </w:tc>
      </w:tr>
      <w:tr>
        <w:trPr>
          <w:cantSplit/>
        </w:trPr>
        <w:tc>
          <w:tcPr>
            <w:tcW w:type="dxa" w:w="5953"/>
            <w:vAlign w:val="center"/>
            <w:shd w:fill="F2F2F2"/>
          </w:tcPr>
          <w:p>
            <w:pPr>
              <w:bidi w:val="1"/>
              <w:jc w:val="right"/>
            </w:pPr>
            <w:r>
              <w:rPr>
                <w:rFonts w:cs="Arial"/>
                <w:b/>
                <w:color w:val="1B2A4E"/>
                <w:sz w:val="18"/>
                <w:rtl w:val="1"/>
              </w:rPr>
              <w:t>عدد الأصول المُعاد تصنيفها إلى «عام» (DC.C.3.3)</w:t>
            </w:r>
          </w:p>
        </w:tc>
        <w:tc>
          <w:tcPr>
            <w:tcW w:type="dxa" w:w="2778"/>
            <w:vAlign w:val="center"/>
            <w:shd w:fill="F2F2F2"/>
          </w:tcPr>
          <w:p>
            <w:pPr>
              <w:bidi w:val="1"/>
              <w:jc w:val="center"/>
            </w:pPr>
            <w:r>
              <w:rPr>
                <w:rFonts w:cs="Arial"/>
                <w:b/>
                <w:color w:val="262626"/>
                <w:sz w:val="18"/>
                <w:rtl w:val="1"/>
              </w:rPr>
              <w:t>3</w:t>
            </w:r>
          </w:p>
        </w:tc>
      </w:tr>
      <w:tr>
        <w:trPr>
          <w:cantSplit/>
        </w:trPr>
        <w:tc>
          <w:tcPr>
            <w:tcW w:type="dxa" w:w="5953"/>
            <w:vAlign w:val="center"/>
          </w:tcPr>
          <w:p>
            <w:pPr>
              <w:bidi w:val="1"/>
              <w:jc w:val="right"/>
            </w:pPr>
            <w:r>
              <w:rPr>
                <w:rFonts w:cs="Arial"/>
                <w:b/>
                <w:color w:val="1B2A4E"/>
                <w:sz w:val="18"/>
                <w:rtl w:val="1"/>
              </w:rPr>
              <w:t>معادلة المؤشر</w:t>
            </w:r>
          </w:p>
        </w:tc>
        <w:tc>
          <w:tcPr>
            <w:tcW w:type="dxa" w:w="2778"/>
            <w:vAlign w:val="center"/>
          </w:tcPr>
          <w:p>
            <w:pPr>
              <w:bidi w:val="1"/>
              <w:jc w:val="center"/>
            </w:pPr>
            <w:r>
              <w:rPr>
                <w:rFonts w:cs="Arial"/>
                <w:b/>
                <w:color w:val="262626"/>
                <w:sz w:val="18"/>
                <w:rtl w:val="1"/>
              </w:rPr>
              <w:t>عدد الأصول الباقية على مقيّد ÷ إجمالي الأصول منخفضة الأثر × 100</w:t>
            </w:r>
          </w:p>
        </w:tc>
      </w:tr>
      <w:tr>
        <w:trPr>
          <w:cantSplit/>
        </w:trPr>
        <w:tc>
          <w:tcPr>
            <w:tcW w:type="dxa" w:w="5953"/>
            <w:vAlign w:val="center"/>
            <w:shd w:fill="F2F2F2"/>
          </w:tcPr>
          <w:p>
            <w:pPr>
              <w:bidi w:val="1"/>
              <w:jc w:val="right"/>
            </w:pPr>
            <w:r>
              <w:rPr>
                <w:rFonts w:cs="Arial"/>
                <w:b/>
                <w:color w:val="1B2A4E"/>
                <w:sz w:val="18"/>
                <w:rtl w:val="1"/>
              </w:rPr>
              <w:t>تطبيق المعادلة</w:t>
            </w:r>
          </w:p>
        </w:tc>
        <w:tc>
          <w:tcPr>
            <w:tcW w:type="dxa" w:w="2778"/>
            <w:vAlign w:val="center"/>
            <w:shd w:fill="F2F2F2"/>
          </w:tcPr>
          <w:p>
            <w:pPr>
              <w:bidi w:val="1"/>
              <w:jc w:val="center"/>
            </w:pPr>
            <w:r>
              <w:rPr>
                <w:rFonts w:cs="Arial"/>
                <w:b/>
                <w:color w:val="262626"/>
                <w:sz w:val="18"/>
                <w:rtl w:val="1"/>
              </w:rPr>
              <w:t>9 ÷ 12 × 100</w:t>
            </w:r>
          </w:p>
        </w:tc>
      </w:tr>
      <w:tr>
        <w:trPr>
          <w:cantSplit/>
        </w:trPr>
        <w:tc>
          <w:tcPr>
            <w:tcW w:type="dxa" w:w="5953"/>
            <w:vAlign w:val="center"/>
          </w:tcPr>
          <w:p>
            <w:pPr>
              <w:bidi w:val="1"/>
              <w:jc w:val="right"/>
            </w:pPr>
            <w:r>
              <w:rPr>
                <w:rFonts w:cs="Arial"/>
                <w:b/>
                <w:color w:val="1B2A4E"/>
                <w:sz w:val="18"/>
                <w:rtl w:val="1"/>
              </w:rPr>
              <w:t>القيمة النهائية للمؤشر</w:t>
            </w:r>
          </w:p>
        </w:tc>
        <w:tc>
          <w:tcPr>
            <w:tcW w:type="dxa" w:w="2778"/>
            <w:vAlign w:val="center"/>
          </w:tcPr>
          <w:p>
            <w:pPr>
              <w:bidi w:val="1"/>
              <w:jc w:val="center"/>
            </w:pPr>
            <w:r>
              <w:rPr>
                <w:rFonts w:cs="Arial"/>
                <w:b/>
                <w:color w:val="262626"/>
                <w:sz w:val="18"/>
                <w:rtl w:val="1"/>
              </w:rPr>
              <w:t>75%</w:t>
            </w:r>
          </w:p>
        </w:tc>
      </w:tr>
    </w:tbl>
    <w:p/>
    <w:p>
      <w:pPr>
        <w:bidi w:val="1"/>
        <w:jc w:val="right"/>
      </w:pPr>
      <w:r>
        <w:rPr>
          <w:rFonts w:cs="Arial"/>
          <w:b/>
          <w:color w:val="1B2A4E"/>
          <w:sz w:val="26"/>
          <w:rtl w:val="1"/>
        </w:rPr>
        <w:t>6.  النتيجة والتحقق مقابل DC.C.4.1</w:t>
      </w:r>
    </w:p>
    <w:p>
      <w:pPr>
        <w:bidi w:val="1"/>
        <w:jc w:val="right"/>
      </w:pPr>
      <w:r>
        <w:rPr>
          <w:rFonts w:cs="Arial"/>
          <w:b w:val="0"/>
          <w:i w:val="0"/>
          <w:color w:val="262626"/>
          <w:sz w:val="19"/>
          <w:rtl w:val="1"/>
        </w:rPr>
        <w:t>القيمة الناتجة (75%) مطابقة تماماً للقيمة المقيسة الواردة في بطاقة مؤشر KPI-DC-03 ضمن تقرير DC.C.4.1 (القسم 8 وبند 9.3: «75.0% (9 أصول بقيت مقيّدة من أصل 12 أصلاً مقيّداً أولياً)»)، وللقيمة الواردة في جدول لوحة الأداء الإجمالية (القسم 10) وجدول التوافق مع متطلبات NDMO (القسم 14).</w:t>
      </w:r>
    </w:p>
    <w:p>
      <w:pPr>
        <w:bidi w:val="1"/>
        <w:jc w:val="right"/>
      </w:pPr>
      <w:r>
        <w:rPr>
          <w:rFonts w:cs="Arial"/>
          <w:color w:val="262626"/>
          <w:sz w:val="19"/>
          <w:rtl w:val="1"/>
        </w:rPr>
        <w:t>•  تم التحقق من أن الرقم التسلسلي الأصلي لكل أصل من الاثني عشر يطابق تصنيفه «مقيّد» الوارد في DC.C.3.2 (القسم 6.2)، دون أي أصل إضافي أو مفقود.</w:t>
      </w:r>
    </w:p>
    <w:p>
      <w:pPr>
        <w:bidi w:val="1"/>
        <w:jc w:val="right"/>
      </w:pPr>
      <w:r>
        <w:rPr>
          <w:rFonts w:cs="Arial"/>
          <w:color w:val="262626"/>
          <w:sz w:val="19"/>
          <w:rtl w:val="1"/>
        </w:rPr>
        <w:t>•  الأصول الثلاثة المُعاد تصنيفها (الأرقام الأصلية 10 و23 و27) تطابق تماماً الأصول الثلاثة الواردة في سجل DC.C.5.1 كأصول «أُعيد تصنيفها من مقيّد إلى عام».</w:t>
      </w:r>
    </w:p>
    <w:p/>
    <w:p>
      <w:pPr>
        <w:bidi w:val="1"/>
        <w:jc w:val="right"/>
      </w:pPr>
      <w:r>
        <w:rPr>
          <w:rFonts w:cs="Arial"/>
          <w:b/>
          <w:color w:val="1B2A4E"/>
          <w:sz w:val="26"/>
          <w:rtl w:val="1"/>
        </w:rPr>
        <w:t>7.  الاعتماد والتوقيع</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DC.C.3.2 وDC.C.3.3 دون أي إضافة أو حذف أو تعديل.</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