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8"/>
          <w:rtl w:val="1"/>
        </w:rPr>
        <w:t>سجل إثبات مؤشر المراجعة والتعميد والتصديق (KPI-DC-04)</w:t>
      </w:r>
    </w:p>
    <w:p>
      <w:pPr>
        <w:bidi w:val="1"/>
        <w:jc w:val="right"/>
      </w:pPr>
      <w:r>
        <w:rPr>
          <w:rFonts w:cs="Arial"/>
          <w:b w:val="0"/>
          <w:i/>
          <w:color w:val="29C79A"/>
          <w:sz w:val="22"/>
          <w:rtl w:val="1"/>
        </w:rPr>
        <w:t>Review, Endorsement &amp; Approval KPI Evidence Record</w:t>
      </w:r>
    </w:p>
    <w:p/>
    <w:p>
      <w:pPr>
        <w:bidi w:val="1"/>
        <w:jc w:val="right"/>
      </w:pPr>
      <w:r>
        <w:rPr>
          <w:rFonts w:cs="Arial"/>
          <w:b/>
          <w:color w:val="1B2A4E"/>
          <w:sz w:val="23"/>
          <w:rtl w:val="1"/>
        </w:rPr>
        <w:t>1.  بيانات الوثيقة</w:t>
      </w:r>
    </w:p>
    <w:tbl>
      <w:tblPr>
        <w:tblW w:type="auto" w:w="0"/>
        <w:tblLayout w:type="autofit"/>
        <w:tblLook w:firstColumn="1" w:firstRow="1" w:lastColumn="0" w:lastRow="0" w:noHBand="0" w:noVBand="1" w:val="04A0"/>
        <w:bidiVisual w:val="1"/>
      </w:tblPr>
      <w:tblGrid>
        <w:gridCol w:w="6520"/>
        <w:gridCol w:w="2835"/>
      </w:tblGrid>
      <w:tr>
        <w:tc>
          <w:tcPr>
            <w:tcW w:type="dxa" w:w="6520"/>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520"/>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520"/>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520"/>
          </w:tcPr>
          <w:p>
            <w:pPr>
              <w:bidi w:val="1"/>
              <w:jc w:val="right"/>
            </w:pPr>
            <w:r>
              <w:rPr>
                <w:rFonts w:cs="Arial"/>
                <w:color w:val="262626"/>
                <w:sz w:val="18"/>
                <w:rtl w:val="1"/>
              </w:rPr>
              <w:t>DC.C.4.1-E04</w:t>
            </w:r>
          </w:p>
        </w:tc>
        <w:tc>
          <w:tcPr>
            <w:tcW w:type="dxa" w:w="2835"/>
          </w:tcPr>
          <w:p>
            <w:pPr>
              <w:bidi w:val="1"/>
              <w:jc w:val="right"/>
            </w:pPr>
            <w:r>
              <w:rPr>
                <w:rFonts w:cs="Arial"/>
                <w:b/>
                <w:color w:val="595959"/>
                <w:sz w:val="18"/>
                <w:rtl w:val="1"/>
              </w:rPr>
              <w:t>رمز الدليل</w:t>
            </w:r>
          </w:p>
        </w:tc>
      </w:tr>
      <w:tr>
        <w:tc>
          <w:tcPr>
            <w:tcW w:type="dxa" w:w="6520"/>
          </w:tcPr>
          <w:p>
            <w:pPr>
              <w:bidi w:val="1"/>
              <w:jc w:val="right"/>
            </w:pPr>
            <w:r>
              <w:rPr>
                <w:rFonts w:cs="Arial"/>
                <w:color w:val="262626"/>
                <w:sz w:val="18"/>
                <w:rtl w:val="1"/>
              </w:rPr>
              <w:t>Evidence Record</w:t>
            </w:r>
          </w:p>
        </w:tc>
        <w:tc>
          <w:tcPr>
            <w:tcW w:type="dxa" w:w="2835"/>
          </w:tcPr>
          <w:p>
            <w:pPr>
              <w:bidi w:val="1"/>
              <w:jc w:val="right"/>
            </w:pPr>
            <w:r>
              <w:rPr>
                <w:rFonts w:cs="Arial"/>
                <w:b/>
                <w:color w:val="595959"/>
                <w:sz w:val="18"/>
                <w:rtl w:val="1"/>
              </w:rPr>
              <w:t>نوع الوثيقة</w:t>
            </w:r>
          </w:p>
        </w:tc>
      </w:tr>
      <w:tr>
        <w:tc>
          <w:tcPr>
            <w:tcW w:type="dxa" w:w="6520"/>
          </w:tcPr>
          <w:p>
            <w:pPr>
              <w:bidi w:val="1"/>
              <w:jc w:val="right"/>
            </w:pPr>
            <w:r>
              <w:rPr>
                <w:rFonts w:cs="Arial"/>
                <w:color w:val="262626"/>
                <w:sz w:val="18"/>
                <w:rtl w:val="1"/>
              </w:rPr>
              <w:t>DC.C.4.1 — تقرير مراقبة عمليات تصنيف البيانات عبر مؤشرات الأداء الرئيسية</w:t>
            </w:r>
          </w:p>
        </w:tc>
        <w:tc>
          <w:tcPr>
            <w:tcW w:type="dxa" w:w="2835"/>
          </w:tcPr>
          <w:p>
            <w:pPr>
              <w:bidi w:val="1"/>
              <w:jc w:val="right"/>
            </w:pPr>
            <w:r>
              <w:rPr>
                <w:rFonts w:cs="Arial"/>
                <w:b/>
                <w:color w:val="595959"/>
                <w:sz w:val="18"/>
                <w:rtl w:val="1"/>
              </w:rPr>
              <w:t>المتطلب المرتبط</w:t>
            </w:r>
          </w:p>
        </w:tc>
      </w:tr>
      <w:tr>
        <w:tc>
          <w:tcPr>
            <w:tcW w:type="dxa" w:w="6520"/>
          </w:tcPr>
          <w:p>
            <w:pPr>
              <w:bidi w:val="1"/>
              <w:jc w:val="right"/>
            </w:pPr>
            <w:r>
              <w:rPr>
                <w:rFonts w:cs="Arial"/>
                <w:color w:val="262626"/>
                <w:sz w:val="18"/>
                <w:rtl w:val="1"/>
              </w:rPr>
              <w:t>KPI-DC-04 — نسبة الأصول التي خضعت للمراجعة والتعميد والتصديق</w:t>
            </w:r>
          </w:p>
        </w:tc>
        <w:tc>
          <w:tcPr>
            <w:tcW w:type="dxa" w:w="2835"/>
          </w:tcPr>
          <w:p>
            <w:pPr>
              <w:bidi w:val="1"/>
              <w:jc w:val="right"/>
            </w:pPr>
            <w:r>
              <w:rPr>
                <w:rFonts w:cs="Arial"/>
                <w:b/>
                <w:color w:val="595959"/>
                <w:sz w:val="18"/>
                <w:rtl w:val="1"/>
              </w:rPr>
              <w:t>المؤشر المرتبط</w:t>
            </w:r>
          </w:p>
        </w:tc>
      </w:tr>
      <w:tr>
        <w:tc>
          <w:tcPr>
            <w:tcW w:type="dxa" w:w="6520"/>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520"/>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520"/>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2.  نطاق القياس</w:t>
      </w:r>
    </w:p>
    <w:tbl>
      <w:tblPr>
        <w:tblW w:type="auto" w:w="0"/>
        <w:tblLayout w:type="autofit"/>
        <w:tblLook w:firstColumn="1" w:firstRow="1" w:lastColumn="0" w:lastRow="0" w:noHBand="0" w:noVBand="1" w:val="04A0"/>
        <w:bidiVisual w:val="1"/>
      </w:tblPr>
      <w:tblGrid>
        <w:gridCol w:w="6520"/>
        <w:gridCol w:w="2835"/>
      </w:tblGrid>
      <w:tr>
        <w:tc>
          <w:tcPr>
            <w:tcW w:type="dxa" w:w="6520"/>
          </w:tcPr>
          <w:p>
            <w:pPr>
              <w:bidi w:val="1"/>
              <w:jc w:val="right"/>
            </w:pPr>
            <w:r>
              <w:rPr>
                <w:rFonts w:cs="Arial"/>
                <w:color w:val="262626"/>
                <w:sz w:val="18"/>
                <w:rtl w:val="1"/>
              </w:rPr>
              <w:t>30 أصلاً (إجمالي الأصول البيانية المصنَّفة وفق DC.C.3.1)</w:t>
            </w:r>
          </w:p>
        </w:tc>
        <w:tc>
          <w:tcPr>
            <w:tcW w:type="dxa" w:w="2835"/>
          </w:tcPr>
          <w:p>
            <w:pPr>
              <w:bidi w:val="1"/>
              <w:jc w:val="right"/>
            </w:pPr>
            <w:r>
              <w:rPr>
                <w:rFonts w:cs="Arial"/>
                <w:b/>
                <w:color w:val="595959"/>
                <w:sz w:val="18"/>
                <w:rtl w:val="1"/>
              </w:rPr>
              <w:t>عدد الأصول</w:t>
            </w:r>
          </w:p>
        </w:tc>
      </w:tr>
      <w:tr>
        <w:tc>
          <w:tcPr>
            <w:tcW w:type="dxa" w:w="6520"/>
          </w:tcPr>
          <w:p>
            <w:pPr>
              <w:bidi w:val="1"/>
              <w:jc w:val="right"/>
            </w:pPr>
            <w:r>
              <w:rPr>
                <w:rFonts w:cs="Arial"/>
                <w:color w:val="262626"/>
                <w:sz w:val="18"/>
                <w:rtl w:val="1"/>
              </w:rPr>
              <w:t>مارس 2026 – يونيو 2026 — أربع مراحل متتابعة كما ورد في DC.C.4.1</w:t>
            </w:r>
          </w:p>
        </w:tc>
        <w:tc>
          <w:tcPr>
            <w:tcW w:type="dxa" w:w="2835"/>
          </w:tcPr>
          <w:p>
            <w:pPr>
              <w:bidi w:val="1"/>
              <w:jc w:val="right"/>
            </w:pPr>
            <w:r>
              <w:rPr>
                <w:rFonts w:cs="Arial"/>
                <w:b/>
                <w:color w:val="595959"/>
                <w:sz w:val="18"/>
                <w:rtl w:val="1"/>
              </w:rPr>
              <w:t>فترة الاعتماد</w:t>
            </w:r>
          </w:p>
        </w:tc>
      </w:tr>
      <w:tr>
        <w:tc>
          <w:tcPr>
            <w:tcW w:type="dxa" w:w="6520"/>
          </w:tcPr>
          <w:p>
            <w:pPr>
              <w:bidi w:val="1"/>
              <w:jc w:val="right"/>
            </w:pPr>
            <w:r>
              <w:rPr>
                <w:rFonts w:cs="Arial"/>
                <w:color w:val="262626"/>
                <w:sz w:val="18"/>
                <w:rtl w:val="1"/>
              </w:rPr>
              <w:t>يونيو 2026 (تاريخ إصدار DC.C.4.1)</w:t>
            </w:r>
          </w:p>
        </w:tc>
        <w:tc>
          <w:tcPr>
            <w:tcW w:type="dxa" w:w="2835"/>
          </w:tcPr>
          <w:p>
            <w:pPr>
              <w:bidi w:val="1"/>
              <w:jc w:val="right"/>
            </w:pPr>
            <w:r>
              <w:rPr>
                <w:rFonts w:cs="Arial"/>
                <w:b/>
                <w:color w:val="595959"/>
                <w:sz w:val="18"/>
                <w:rtl w:val="1"/>
              </w:rPr>
              <w:t>تاريخ استخراج البيانات</w:t>
            </w:r>
          </w:p>
        </w:tc>
      </w:tr>
    </w:tbl>
    <w:p/>
    <w:p>
      <w:pPr>
        <w:bidi w:val="1"/>
        <w:jc w:val="right"/>
      </w:pPr>
      <w:r>
        <w:rPr>
          <w:rFonts w:cs="Arial"/>
          <w:b/>
          <w:color w:val="1B2A4E"/>
          <w:sz w:val="26"/>
          <w:rtl w:val="1"/>
        </w:rPr>
        <w:t>3.  مصدر البيانات</w:t>
      </w:r>
    </w:p>
    <w:p>
      <w:pPr>
        <w:bidi w:val="1"/>
        <w:jc w:val="right"/>
      </w:pPr>
      <w:r>
        <w:rPr>
          <w:rFonts w:cs="Arial"/>
          <w:color w:val="262626"/>
          <w:sz w:val="19"/>
          <w:rtl w:val="1"/>
        </w:rPr>
        <w:t>•  تقرير DC.C.4.1 نفسه (القسم 9.4 وجدول مراحل الاعتماد) — المصدر الوحيد المتاح لبيانات هذا المؤشر بمستوى المراحل الأربع.</w:t>
      </w:r>
    </w:p>
    <w:p>
      <w:pPr>
        <w:bidi w:val="1"/>
        <w:jc w:val="right"/>
      </w:pPr>
      <w:r>
        <w:rPr>
          <w:rFonts w:cs="Arial"/>
          <w:color w:val="262626"/>
          <w:sz w:val="19"/>
          <w:rtl w:val="1"/>
        </w:rPr>
        <w:t>•  DC.C.5.1 — سجل البيانات، يثبت لكل أصل من الأصول الثلاثين تاريخ مراجعة تصنيف واحداً (يونيو 2026)، دون تفصيل مراحل التعميد والتصديق الأربع بشكل منفصل لكل أصل.</w:t>
      </w:r>
    </w:p>
    <w:p/>
    <w:p>
      <w:pPr>
        <w:bidi w:val="1"/>
        <w:jc w:val="right"/>
      </w:pPr>
      <w:r>
        <w:rPr>
          <w:rFonts w:cs="Arial"/>
          <w:b/>
          <w:color w:val="1B2A4E"/>
          <w:sz w:val="26"/>
          <w:rtl w:val="1"/>
        </w:rPr>
        <w:t>4.  جدول البيانات المستخدمة</w:t>
      </w:r>
    </w:p>
    <w:p>
      <w:pPr>
        <w:bidi w:val="1"/>
        <w:jc w:val="right"/>
      </w:pPr>
      <w:r>
        <w:rPr>
          <w:rFonts w:cs="Arial"/>
          <w:b w:val="0"/>
          <w:i w:val="0"/>
          <w:color w:val="262626"/>
          <w:sz w:val="19"/>
          <w:rtl w:val="1"/>
        </w:rPr>
        <w:t>استُخدمت فقط البيانات الإجمالية التالية، كما وردت حرفياً في تقرير DC.C.4.1 (القسم 9.4):</w:t>
      </w:r>
    </w:p>
    <w:tbl>
      <w:tblPr>
        <w:tblStyle w:val="TableGrid"/>
        <w:tblW w:type="auto" w:w="0"/>
        <w:tblLook w:firstColumn="1" w:firstRow="1" w:lastColumn="0" w:lastRow="0" w:noHBand="0" w:noVBand="1" w:val="04A0"/>
        <w:bidiVisual w:val="1"/>
      </w:tblPr>
      <w:tblGrid>
        <w:gridCol w:w="2835"/>
        <w:gridCol w:w="1474"/>
        <w:gridCol w:w="1020"/>
        <w:gridCol w:w="1474"/>
        <w:gridCol w:w="2551"/>
      </w:tblGrid>
      <w:tr>
        <w:trPr>
          <w:cantSplit/>
        </w:trPr>
        <w:tc>
          <w:tcPr>
            <w:tcW w:type="dxa" w:w="2040"/>
            <w:shd w:fill="1B2A4E"/>
            <w:vAlign w:val="center"/>
          </w:tcPr>
          <w:p>
            <w:pPr>
              <w:bidi w:val="1"/>
              <w:jc w:val="center"/>
            </w:pPr>
            <w:r/>
            <w:r>
              <w:rPr>
                <w:rFonts w:cs="Arial"/>
                <w:b/>
                <w:color w:val="FFFFFF"/>
                <w:sz w:val="19"/>
                <w:rtl w:val="1"/>
              </w:rPr>
              <w:t>مرحلة الاعتماد</w:t>
            </w:r>
          </w:p>
        </w:tc>
        <w:tc>
          <w:tcPr>
            <w:tcW w:type="dxa" w:w="2040"/>
            <w:shd w:fill="1B2A4E"/>
            <w:vAlign w:val="center"/>
          </w:tcPr>
          <w:p>
            <w:pPr>
              <w:bidi w:val="1"/>
              <w:jc w:val="center"/>
            </w:pPr>
            <w:r/>
            <w:r>
              <w:rPr>
                <w:rFonts w:cs="Arial"/>
                <w:b/>
                <w:color w:val="FFFFFF"/>
                <w:sz w:val="19"/>
                <w:rtl w:val="1"/>
              </w:rPr>
              <w:t>عدد الأصول المكتملة</w:t>
            </w:r>
          </w:p>
        </w:tc>
        <w:tc>
          <w:tcPr>
            <w:tcW w:type="dxa" w:w="2040"/>
            <w:shd w:fill="1B2A4E"/>
            <w:vAlign w:val="center"/>
          </w:tcPr>
          <w:p>
            <w:pPr>
              <w:bidi w:val="1"/>
              <w:jc w:val="center"/>
            </w:pPr>
            <w:r/>
            <w:r>
              <w:rPr>
                <w:rFonts w:cs="Arial"/>
                <w:b/>
                <w:color w:val="FFFFFF"/>
                <w:sz w:val="19"/>
                <w:rtl w:val="1"/>
              </w:rPr>
              <w:t>النسبة</w:t>
            </w:r>
          </w:p>
        </w:tc>
        <w:tc>
          <w:tcPr>
            <w:tcW w:type="dxa" w:w="2040"/>
            <w:shd w:fill="1B2A4E"/>
            <w:vAlign w:val="center"/>
          </w:tcPr>
          <w:p>
            <w:pPr>
              <w:bidi w:val="1"/>
              <w:jc w:val="center"/>
            </w:pPr>
            <w:r/>
            <w:r>
              <w:rPr>
                <w:rFonts w:cs="Arial"/>
                <w:b/>
                <w:color w:val="FFFFFF"/>
                <w:sz w:val="19"/>
                <w:rtl w:val="1"/>
              </w:rPr>
              <w:t>تاريخ الاكتمال</w:t>
            </w:r>
          </w:p>
        </w:tc>
        <w:tc>
          <w:tcPr>
            <w:tcW w:type="dxa" w:w="2040"/>
            <w:shd w:fill="1B2A4E"/>
            <w:vAlign w:val="center"/>
          </w:tcPr>
          <w:p>
            <w:pPr>
              <w:bidi w:val="1"/>
              <w:jc w:val="center"/>
            </w:pPr>
            <w:r/>
            <w:r>
              <w:rPr>
                <w:rFonts w:cs="Arial"/>
                <w:b/>
                <w:color w:val="FFFFFF"/>
                <w:sz w:val="19"/>
                <w:rtl w:val="1"/>
              </w:rPr>
              <w:t>الجهة المعتمِدة</w:t>
            </w:r>
          </w:p>
        </w:tc>
      </w:tr>
      <w:tr>
        <w:trPr>
          <w:cantSplit/>
        </w:trPr>
        <w:tc>
          <w:tcPr>
            <w:tcW w:type="dxa" w:w="2835"/>
            <w:vAlign w:val="center"/>
            <w:shd w:fill="F2F2F2"/>
          </w:tcPr>
          <w:p>
            <w:pPr>
              <w:bidi w:val="1"/>
              <w:jc w:val="center"/>
            </w:pPr>
            <w:r>
              <w:rPr>
                <w:rFonts w:cs="Arial"/>
                <w:b/>
                <w:color w:val="1B2A4E"/>
                <w:sz w:val="17"/>
                <w:rtl w:val="1"/>
              </w:rPr>
              <w:t>المراجعة الأولية من فريق التصنيف</w:t>
            </w:r>
          </w:p>
        </w:tc>
        <w:tc>
          <w:tcPr>
            <w:tcW w:type="dxa" w:w="1474"/>
            <w:vAlign w:val="center"/>
            <w:shd w:fill="F2F2F2"/>
          </w:tcPr>
          <w:p>
            <w:pPr>
              <w:bidi w:val="1"/>
              <w:jc w:val="center"/>
            </w:pPr>
            <w:r>
              <w:rPr>
                <w:rFonts w:cs="Arial"/>
                <w:b/>
                <w:color w:val="1F6F43"/>
                <w:sz w:val="17"/>
                <w:rtl w:val="1"/>
              </w:rPr>
              <w:t>30</w:t>
            </w:r>
          </w:p>
        </w:tc>
        <w:tc>
          <w:tcPr>
            <w:tcW w:type="dxa" w:w="1020"/>
            <w:vAlign w:val="center"/>
            <w:shd w:fill="F2F2F2"/>
          </w:tcPr>
          <w:p>
            <w:pPr>
              <w:bidi w:val="1"/>
              <w:jc w:val="center"/>
            </w:pPr>
            <w:r>
              <w:rPr>
                <w:rFonts w:cs="Arial"/>
                <w:color w:val="262626"/>
                <w:sz w:val="17"/>
                <w:rtl w:val="1"/>
              </w:rPr>
              <w:t>100%</w:t>
            </w:r>
          </w:p>
        </w:tc>
        <w:tc>
          <w:tcPr>
            <w:tcW w:type="dxa" w:w="1474"/>
            <w:vAlign w:val="center"/>
            <w:shd w:fill="F2F2F2"/>
          </w:tcPr>
          <w:p>
            <w:pPr>
              <w:bidi w:val="1"/>
              <w:jc w:val="center"/>
            </w:pPr>
            <w:r>
              <w:rPr>
                <w:rFonts w:cs="Arial"/>
                <w:color w:val="262626"/>
                <w:sz w:val="17"/>
                <w:rtl w:val="1"/>
              </w:rPr>
              <w:t>مارس 2026</w:t>
            </w:r>
          </w:p>
        </w:tc>
        <w:tc>
          <w:tcPr>
            <w:tcW w:type="dxa" w:w="2551"/>
            <w:vAlign w:val="center"/>
            <w:shd w:fill="F2F2F2"/>
          </w:tcPr>
          <w:p>
            <w:pPr>
              <w:bidi w:val="1"/>
              <w:jc w:val="center"/>
            </w:pPr>
            <w:r>
              <w:rPr>
                <w:rFonts w:cs="Arial"/>
                <w:color w:val="262626"/>
                <w:sz w:val="17"/>
                <w:rtl w:val="1"/>
              </w:rPr>
              <w:t>فريق مكتب إدارة البيانات</w:t>
            </w:r>
          </w:p>
        </w:tc>
      </w:tr>
      <w:tr>
        <w:trPr>
          <w:cantSplit/>
        </w:trPr>
        <w:tc>
          <w:tcPr>
            <w:tcW w:type="dxa" w:w="2835"/>
            <w:vAlign w:val="center"/>
          </w:tcPr>
          <w:p>
            <w:pPr>
              <w:bidi w:val="1"/>
              <w:jc w:val="center"/>
            </w:pPr>
            <w:r>
              <w:rPr>
                <w:rFonts w:cs="Arial"/>
                <w:b/>
                <w:color w:val="1B2A4E"/>
                <w:sz w:val="17"/>
                <w:rtl w:val="1"/>
              </w:rPr>
              <w:t>اعتماد لجنة حوكمة البيانات</w:t>
            </w:r>
          </w:p>
        </w:tc>
        <w:tc>
          <w:tcPr>
            <w:tcW w:type="dxa" w:w="1474"/>
            <w:vAlign w:val="center"/>
          </w:tcPr>
          <w:p>
            <w:pPr>
              <w:bidi w:val="1"/>
              <w:jc w:val="center"/>
            </w:pPr>
            <w:r>
              <w:rPr>
                <w:rFonts w:cs="Arial"/>
                <w:b/>
                <w:color w:val="1F6F43"/>
                <w:sz w:val="17"/>
                <w:rtl w:val="1"/>
              </w:rPr>
              <w:t>30</w:t>
            </w:r>
          </w:p>
        </w:tc>
        <w:tc>
          <w:tcPr>
            <w:tcW w:type="dxa" w:w="1020"/>
            <w:vAlign w:val="center"/>
          </w:tcPr>
          <w:p>
            <w:pPr>
              <w:bidi w:val="1"/>
              <w:jc w:val="center"/>
            </w:pPr>
            <w:r>
              <w:rPr>
                <w:rFonts w:cs="Arial"/>
                <w:color w:val="262626"/>
                <w:sz w:val="17"/>
                <w:rtl w:val="1"/>
              </w:rPr>
              <w:t>100%</w:t>
            </w:r>
          </w:p>
        </w:tc>
        <w:tc>
          <w:tcPr>
            <w:tcW w:type="dxa" w:w="1474"/>
            <w:vAlign w:val="center"/>
          </w:tcPr>
          <w:p>
            <w:pPr>
              <w:bidi w:val="1"/>
              <w:jc w:val="center"/>
            </w:pPr>
            <w:r>
              <w:rPr>
                <w:rFonts w:cs="Arial"/>
                <w:color w:val="262626"/>
                <w:sz w:val="17"/>
                <w:rtl w:val="1"/>
              </w:rPr>
              <w:t>أبريل 2026</w:t>
            </w:r>
          </w:p>
        </w:tc>
        <w:tc>
          <w:tcPr>
            <w:tcW w:type="dxa" w:w="2551"/>
            <w:vAlign w:val="center"/>
          </w:tcPr>
          <w:p>
            <w:pPr>
              <w:bidi w:val="1"/>
              <w:jc w:val="center"/>
            </w:pPr>
            <w:r>
              <w:rPr>
                <w:rFonts w:cs="Arial"/>
                <w:color w:val="262626"/>
                <w:sz w:val="17"/>
                <w:rtl w:val="1"/>
              </w:rPr>
              <w:t>لجنة حوكمة البيانات</w:t>
            </w:r>
          </w:p>
        </w:tc>
      </w:tr>
      <w:tr>
        <w:trPr>
          <w:cantSplit/>
        </w:trPr>
        <w:tc>
          <w:tcPr>
            <w:tcW w:type="dxa" w:w="2835"/>
            <w:vAlign w:val="center"/>
            <w:shd w:fill="F2F2F2"/>
          </w:tcPr>
          <w:p>
            <w:pPr>
              <w:bidi w:val="1"/>
              <w:jc w:val="center"/>
            </w:pPr>
            <w:r>
              <w:rPr>
                <w:rFonts w:cs="Arial"/>
                <w:b/>
                <w:color w:val="1B2A4E"/>
                <w:sz w:val="17"/>
                <w:rtl w:val="1"/>
              </w:rPr>
              <w:t>التصديق من مدير مكتب إدارة البيانات</w:t>
            </w:r>
          </w:p>
        </w:tc>
        <w:tc>
          <w:tcPr>
            <w:tcW w:type="dxa" w:w="1474"/>
            <w:vAlign w:val="center"/>
            <w:shd w:fill="F2F2F2"/>
          </w:tcPr>
          <w:p>
            <w:pPr>
              <w:bidi w:val="1"/>
              <w:jc w:val="center"/>
            </w:pPr>
            <w:r>
              <w:rPr>
                <w:rFonts w:cs="Arial"/>
                <w:b/>
                <w:color w:val="1F6F43"/>
                <w:sz w:val="17"/>
                <w:rtl w:val="1"/>
              </w:rPr>
              <w:t>30</w:t>
            </w:r>
          </w:p>
        </w:tc>
        <w:tc>
          <w:tcPr>
            <w:tcW w:type="dxa" w:w="1020"/>
            <w:vAlign w:val="center"/>
            <w:shd w:fill="F2F2F2"/>
          </w:tcPr>
          <w:p>
            <w:pPr>
              <w:bidi w:val="1"/>
              <w:jc w:val="center"/>
            </w:pPr>
            <w:r>
              <w:rPr>
                <w:rFonts w:cs="Arial"/>
                <w:color w:val="262626"/>
                <w:sz w:val="17"/>
                <w:rtl w:val="1"/>
              </w:rPr>
              <w:t>100%</w:t>
            </w:r>
          </w:p>
        </w:tc>
        <w:tc>
          <w:tcPr>
            <w:tcW w:type="dxa" w:w="1474"/>
            <w:vAlign w:val="center"/>
            <w:shd w:fill="F2F2F2"/>
          </w:tcPr>
          <w:p>
            <w:pPr>
              <w:bidi w:val="1"/>
              <w:jc w:val="center"/>
            </w:pPr>
            <w:r>
              <w:rPr>
                <w:rFonts w:cs="Arial"/>
                <w:color w:val="262626"/>
                <w:sz w:val="17"/>
                <w:rtl w:val="1"/>
              </w:rPr>
              <w:t>مايو 2026</w:t>
            </w:r>
          </w:p>
        </w:tc>
        <w:tc>
          <w:tcPr>
            <w:tcW w:type="dxa" w:w="2551"/>
            <w:vAlign w:val="center"/>
            <w:shd w:fill="F2F2F2"/>
          </w:tcPr>
          <w:p>
            <w:pPr>
              <w:bidi w:val="1"/>
              <w:jc w:val="center"/>
            </w:pPr>
            <w:r>
              <w:rPr>
                <w:rFonts w:cs="Arial"/>
                <w:color w:val="262626"/>
                <w:sz w:val="17"/>
                <w:rtl w:val="1"/>
              </w:rPr>
              <w:t>مدير مكتب إدارة البيانات</w:t>
            </w:r>
          </w:p>
        </w:tc>
      </w:tr>
      <w:tr>
        <w:trPr>
          <w:cantSplit/>
        </w:trPr>
        <w:tc>
          <w:tcPr>
            <w:tcW w:type="dxa" w:w="2835"/>
            <w:vAlign w:val="center"/>
          </w:tcPr>
          <w:p>
            <w:pPr>
              <w:bidi w:val="1"/>
              <w:jc w:val="center"/>
            </w:pPr>
            <w:r>
              <w:rPr>
                <w:rFonts w:cs="Arial"/>
                <w:b/>
                <w:color w:val="1B2A4E"/>
                <w:sz w:val="17"/>
                <w:rtl w:val="1"/>
              </w:rPr>
              <w:t>الاعتماد النهائي من مدير عام الهيئة</w:t>
            </w:r>
          </w:p>
        </w:tc>
        <w:tc>
          <w:tcPr>
            <w:tcW w:type="dxa" w:w="1474"/>
            <w:vAlign w:val="center"/>
          </w:tcPr>
          <w:p>
            <w:pPr>
              <w:bidi w:val="1"/>
              <w:jc w:val="center"/>
            </w:pPr>
            <w:r>
              <w:rPr>
                <w:rFonts w:cs="Arial"/>
                <w:b/>
                <w:color w:val="1F6F43"/>
                <w:sz w:val="17"/>
                <w:rtl w:val="1"/>
              </w:rPr>
              <w:t>30</w:t>
            </w:r>
          </w:p>
        </w:tc>
        <w:tc>
          <w:tcPr>
            <w:tcW w:type="dxa" w:w="1020"/>
            <w:vAlign w:val="center"/>
          </w:tcPr>
          <w:p>
            <w:pPr>
              <w:bidi w:val="1"/>
              <w:jc w:val="center"/>
            </w:pPr>
            <w:r>
              <w:rPr>
                <w:rFonts w:cs="Arial"/>
                <w:color w:val="262626"/>
                <w:sz w:val="17"/>
                <w:rtl w:val="1"/>
              </w:rPr>
              <w:t>100%</w:t>
            </w:r>
          </w:p>
        </w:tc>
        <w:tc>
          <w:tcPr>
            <w:tcW w:type="dxa" w:w="1474"/>
            <w:vAlign w:val="center"/>
          </w:tcPr>
          <w:p>
            <w:pPr>
              <w:bidi w:val="1"/>
              <w:jc w:val="center"/>
            </w:pPr>
            <w:r>
              <w:rPr>
                <w:rFonts w:cs="Arial"/>
                <w:color w:val="262626"/>
                <w:sz w:val="17"/>
                <w:rtl w:val="1"/>
              </w:rPr>
              <w:t>يونيو 2026</w:t>
            </w:r>
          </w:p>
        </w:tc>
        <w:tc>
          <w:tcPr>
            <w:tcW w:type="dxa" w:w="2551"/>
            <w:vAlign w:val="center"/>
          </w:tcPr>
          <w:p>
            <w:pPr>
              <w:bidi w:val="1"/>
              <w:jc w:val="center"/>
            </w:pPr>
            <w:r>
              <w:rPr>
                <w:rFonts w:cs="Arial"/>
                <w:color w:val="262626"/>
                <w:sz w:val="17"/>
                <w:rtl w:val="1"/>
              </w:rPr>
              <w:t>مدير عام الهيئة</w:t>
            </w:r>
          </w:p>
        </w:tc>
      </w:tr>
    </w:tbl>
    <w:p/>
    <w:p>
      <w:pPr>
        <w:bidi w:val="1"/>
        <w:jc w:val="right"/>
      </w:pPr>
      <w:r>
        <w:rPr>
          <w:rFonts w:cs="Arial"/>
          <w:b w:val="0"/>
          <w:i/>
          <w:color w:val="595959"/>
          <w:sz w:val="16"/>
          <w:rtl w:val="1"/>
        </w:rPr>
        <w:t>ملاحظة تدقيق: لا يتضمن هذا السجل سجلاً فردياً لكل أصل من الأصول الثلاثين، ولا توقيعات فردية، ولا أسماء معتمدين لكل أصل على حدة، لأن هذا المستوى من التفصيل غير متوفر في أي مصدر رسمي ضمن مستودع الأدلة. لا ينطبق قسم «تطبيق المعادلة» على هذا السجل: لا يتوفر سجل فردي لكل أصل يتيح إعادة احتساب النسبة (100%) من بيانات خام؛ يقتصر هذا السجل على إثبات القيمة الإجمالية المذكورة في DC.C.4.1 دون إعادة اشتقاقها.</w:t>
      </w:r>
    </w:p>
    <w:p>
      <w:r>
        <w:br w:type="page"/>
      </w:r>
    </w:p>
    <w:p>
      <w:pPr>
        <w:bidi w:val="1"/>
        <w:jc w:val="right"/>
      </w:pPr>
      <w:r>
        <w:rPr>
          <w:rFonts w:cs="Arial"/>
          <w:b/>
          <w:color w:val="1B2A4E"/>
          <w:sz w:val="26"/>
          <w:rtl w:val="1"/>
        </w:rPr>
        <w:t>5.  النتيجة والتحقق مقابل DC.C.4.1</w:t>
      </w:r>
    </w:p>
    <w:p>
      <w:pPr>
        <w:bidi w:val="1"/>
        <w:jc w:val="right"/>
      </w:pPr>
      <w:r>
        <w:rPr>
          <w:rFonts w:cs="Arial"/>
          <w:b w:val="0"/>
          <w:i w:val="0"/>
          <w:color w:val="262626"/>
          <w:sz w:val="19"/>
          <w:rtl w:val="1"/>
        </w:rPr>
        <w:t>القيمة الموثَّقة (100%) مطابقة تماماً للقيمة الواردة في بطاقة مؤشر KPI-DC-04 ضمن تقرير DC.C.4.1 (القسم 8 وبند 9.4)، وللقيمة الواردة في جدول لوحة الأداء الإجمالية (القسم 10) وجدول التوافق مع متطلبات NDMO (القسم 14).</w:t>
      </w:r>
    </w:p>
    <w:p>
      <w:pPr>
        <w:bidi w:val="1"/>
        <w:jc w:val="right"/>
      </w:pPr>
      <w:r>
        <w:rPr>
          <w:rFonts w:cs="Arial"/>
          <w:color w:val="262626"/>
          <w:sz w:val="19"/>
          <w:rtl w:val="1"/>
        </w:rPr>
        <w:t>•  جدول مراحل الاعتماد الأربع (المراجعة الأولية، اعتماد اللجنة، التصديق، الاعتماد النهائي) هو نفسه الجدول الوارد حرفياً في تقرير DC.C.4.1، ولم تُضَف أو تُحذف أي مرحلة.</w:t>
      </w:r>
    </w:p>
    <w:p>
      <w:pPr>
        <w:bidi w:val="1"/>
        <w:jc w:val="right"/>
      </w:pPr>
      <w:r>
        <w:rPr>
          <w:rFonts w:cs="Arial"/>
          <w:color w:val="262626"/>
          <w:sz w:val="19"/>
          <w:rtl w:val="1"/>
        </w:rPr>
        <w:t>•  لم تُخترع أي توقيعات فردية أو أسماء معتمدين لكل أصل؛ الجهات المعتمِدة الأربع المذكورة في الجدول هي نفسها المذكورة في مصدرها فقط بصفتها الوظيفية (لا بأسماء أشخاص).</w:t>
      </w:r>
    </w:p>
    <w:p>
      <w:pPr>
        <w:bidi w:val="1"/>
        <w:jc w:val="right"/>
      </w:pPr>
      <w:r>
        <w:rPr>
          <w:rFonts w:cs="Arial"/>
          <w:color w:val="262626"/>
          <w:sz w:val="19"/>
          <w:rtl w:val="1"/>
        </w:rPr>
        <w:t>•  هذا السجل Evidence Record وليس Calculation Record، لأن البيانات المتاحة إجمالية فقط (مستوى المرحلة) ولا تتوفر بيانات خام فردية لكل أصل تتيح إعادة الاحتساب من الصفر.</w:t>
      </w:r>
    </w:p>
    <w:p/>
    <w:p>
      <w:pPr>
        <w:bidi w:val="1"/>
        <w:jc w:val="right"/>
      </w:pPr>
      <w:r>
        <w:rPr>
          <w:rFonts w:cs="Arial"/>
          <w:b/>
          <w:color w:val="1B2A4E"/>
          <w:sz w:val="26"/>
          <w:rtl w:val="1"/>
        </w:rPr>
        <w:t>6.  الاعتماد والتوقيع</w:t>
      </w:r>
    </w:p>
    <w:p>
      <w:pPr>
        <w:bidi w:val="1"/>
        <w:jc w:val="right"/>
      </w:pPr>
      <w:r>
        <w:rPr>
          <w:rFonts w:cs="Arial"/>
          <w:b w:val="0"/>
          <w:i w:val="0"/>
          <w:color w:val="262626"/>
          <w:sz w:val="19"/>
          <w:rtl w:val="1"/>
        </w:rPr>
        <w:t>تمت مراجعة هذا السجل من مكتب إدارة البيانات، وتم التحقق من مطابقة البيانات الواردة فيه لمحتوى تقرير DC.C.4.1 دون أي إضافة أو حذف أو تعديل.</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________________</w:t>
            </w: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