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8"/>
          <w:rtl w:val="1"/>
        </w:rPr>
        <w:t>سجل احتساب مؤشر «نسبة اكتمال مراجعة تصنيف البيانات» (KPI-DC-MR-01)</w:t>
      </w:r>
    </w:p>
    <w:p>
      <w:pPr>
        <w:bidi w:val="1"/>
        <w:jc w:val="right"/>
      </w:pPr>
      <w:r>
        <w:rPr>
          <w:rFonts w:cs="Arial"/>
          <w:b w:val="0"/>
          <w:i/>
          <w:color w:val="29C79A"/>
          <w:sz w:val="22"/>
          <w:rtl w:val="1"/>
        </w:rPr>
        <w:t>Data Classification Review Completion Rate — KPI Calculation Record</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DC.M.12-E01</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DC.M.12 — تقرير مراقبة آلية مراجعة تصنيف البيانات عبر مؤشرات الأداء الرئيسية (KPIs)</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KPI-DC-MR-01 — نسبة اكتمال مراجعة تصنيف البيانات</w:t>
            </w:r>
          </w:p>
        </w:tc>
        <w:tc>
          <w:tcPr>
            <w:tcW w:type="dxa" w:w="2835"/>
          </w:tcPr>
          <w:p>
            <w:pPr>
              <w:bidi w:val="1"/>
              <w:jc w:val="right"/>
            </w:pPr>
            <w:r>
              <w:rPr>
                <w:rFonts w:cs="Arial"/>
                <w:b/>
                <w:color w:val="595959"/>
                <w:sz w:val="18"/>
                <w:rtl w:val="1"/>
              </w:rPr>
              <w:t>المؤشر المرتبط</w:t>
            </w:r>
          </w:p>
        </w:tc>
      </w:tr>
      <w:tr>
        <w:tc>
          <w:tcPr>
            <w:tcW w:type="dxa" w:w="6236"/>
          </w:tcPr>
          <w:p>
            <w:pPr>
              <w:bidi w:val="1"/>
              <w:jc w:val="right"/>
            </w:pPr>
            <w:r>
              <w:rPr>
                <w:rFonts w:cs="Arial"/>
                <w:color w:val="262626"/>
                <w:sz w:val="18"/>
                <w:rtl w:val="1"/>
              </w:rPr>
              <w:t>سجل احتساب (Calculation Record)</w:t>
            </w:r>
          </w:p>
        </w:tc>
        <w:tc>
          <w:tcPr>
            <w:tcW w:type="dxa" w:w="2835"/>
          </w:tcPr>
          <w:p>
            <w:pPr>
              <w:bidi w:val="1"/>
              <w:jc w:val="right"/>
            </w:pPr>
            <w:r>
              <w:rPr>
                <w:rFonts w:cs="Arial"/>
                <w:b/>
                <w:color w:val="595959"/>
                <w:sz w:val="18"/>
                <w:rtl w:val="1"/>
              </w:rPr>
              <w:t>نوع السجل</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1.  نطاق القياس</w:t>
      </w:r>
    </w:p>
    <w:p>
      <w:pPr>
        <w:bidi w:val="1"/>
        <w:jc w:val="right"/>
      </w:pPr>
      <w:r>
        <w:rPr>
          <w:rFonts w:cs="Arial"/>
          <w:b w:val="0"/>
          <w:i w:val="0"/>
          <w:color w:val="262626"/>
          <w:sz w:val="19"/>
          <w:rtl w:val="1"/>
        </w:rPr>
        <w:t>جميع الأصول البيانية الثلاثين المُسجَّلة في سجل البيانات المؤسسي DC.C.5.1 (18 مجموعة بيانات: SGSA-001 إلى SGSA-018، و12 سجلاً: SGSA-019 إلى SGSA-030)، ضمن دورة المراجعة الأولى الموثقة في DC.C.3.4 (1 مايو 2026 – 15 يونيو 2026).</w:t>
      </w:r>
    </w:p>
    <w:p/>
    <w:p>
      <w:pPr>
        <w:bidi w:val="1"/>
        <w:jc w:val="right"/>
      </w:pPr>
      <w:r>
        <w:rPr>
          <w:rFonts w:cs="Arial"/>
          <w:b/>
          <w:color w:val="1B2A4E"/>
          <w:sz w:val="26"/>
          <w:rtl w:val="1"/>
        </w:rPr>
        <w:t>2.  مصادر البيانات</w:t>
      </w:r>
    </w:p>
    <w:p>
      <w:pPr>
        <w:bidi w:val="1"/>
        <w:jc w:val="right"/>
      </w:pPr>
      <w:r>
        <w:rPr>
          <w:rFonts w:cs="Arial"/>
          <w:b w:val="0"/>
          <w:i w:val="0"/>
          <w:color w:val="262626"/>
          <w:sz w:val="19"/>
          <w:rtl w:val="1"/>
        </w:rPr>
        <w:t>تعتمد بيانات هذا السجل حصراً على الوثائق التالية، وهي الوثائق الثلاث الوحيدة المعتمدة كمصدر بيانات فعلي لأدلة مؤشرات DC.M.12؛ أما DC.M.12 ذاته فيُستخدم فقط للتحقق من مطابقة النتيجة النهائية، دون استخدامه كمصدر بيانات خام:</w:t>
      </w:r>
    </w:p>
    <w:p>
      <w:pPr>
        <w:bidi w:val="1"/>
        <w:jc w:val="right"/>
      </w:pPr>
      <w:r>
        <w:rPr>
          <w:rFonts w:cs="Arial"/>
          <w:color w:val="262626"/>
          <w:sz w:val="19"/>
          <w:rtl w:val="1"/>
        </w:rPr>
        <w:t>•  DC.C.5.1 — سجل البيانات المؤسسي، القسم 7 (السجل الكامل) والقسم 8.1 (إجمالي الأصول البيانية المُسجَّلة = 30 أصلاً).</w:t>
      </w:r>
    </w:p>
    <w:p>
      <w:pPr>
        <w:bidi w:val="1"/>
        <w:jc w:val="right"/>
      </w:pPr>
      <w:r>
        <w:rPr>
          <w:rFonts w:cs="Arial"/>
          <w:color w:val="262626"/>
          <w:sz w:val="19"/>
          <w:rtl w:val="1"/>
        </w:rPr>
        <w:t>•  DC.C.3.4 — تقرير مراجعة تصنيف البيانات، القسم 8 (جدول الأصول الثلاثين التي روجعت فعلياً بنتيجة مراجعة موثقة لكل منها) والقسم 11 (الملخص الإحصائي: «إجمالي الأصول البيانية التي تمت مراجعتها = 30 أصلاً»).</w:t>
      </w:r>
    </w:p>
    <w:p/>
    <w:p>
      <w:pPr>
        <w:bidi w:val="1"/>
        <w:jc w:val="right"/>
      </w:pPr>
      <w:r>
        <w:rPr>
          <w:rFonts w:cs="Arial"/>
          <w:b/>
          <w:color w:val="1B2A4E"/>
          <w:sz w:val="26"/>
          <w:rtl w:val="1"/>
        </w:rPr>
        <w:t>3.  جدول البيانات المستخدمة</w:t>
      </w:r>
    </w:p>
    <w:p>
      <w:pPr>
        <w:bidi w:val="1"/>
        <w:jc w:val="right"/>
      </w:pPr>
      <w:r>
        <w:rPr>
          <w:rFonts w:cs="Arial"/>
          <w:b w:val="0"/>
          <w:i w:val="0"/>
          <w:color w:val="262626"/>
          <w:sz w:val="19"/>
          <w:rtl w:val="1"/>
        </w:rPr>
        <w:t>جدول الأصول الثلاثين كما رُوجعت فعلياً (منسوخ حرفياً من DC.C.3.4، القسم 8):</w:t>
      </w:r>
    </w:p>
    <w:tbl>
      <w:tblPr>
        <w:tblStyle w:val="TableGrid"/>
        <w:tblW w:type="auto" w:w="0"/>
        <w:tblLook w:firstColumn="1" w:firstRow="1" w:lastColumn="0" w:lastRow="0" w:noHBand="0" w:noVBand="1" w:val="04A0"/>
        <w:bidiVisual w:val="1"/>
      </w:tblPr>
      <w:tblGrid>
        <w:gridCol w:w="567"/>
        <w:gridCol w:w="1247"/>
        <w:gridCol w:w="3402"/>
        <w:gridCol w:w="1474"/>
        <w:gridCol w:w="1814"/>
      </w:tblGrid>
      <w:tr>
        <w:trPr>
          <w:cantSplit/>
        </w:trPr>
        <w:tc>
          <w:tcPr>
            <w:tcW w:type="dxa" w:w="2040"/>
            <w:shd w:fill="1B2A4E"/>
            <w:vAlign w:val="center"/>
          </w:tcPr>
          <w:p>
            <w:pPr>
              <w:bidi w:val="1"/>
              <w:jc w:val="center"/>
            </w:pPr>
            <w:r/>
            <w:r>
              <w:rPr>
                <w:rFonts w:cs="Arial"/>
                <w:b/>
                <w:color w:val="FFFFFF"/>
                <w:sz w:val="19"/>
                <w:rtl w:val="1"/>
              </w:rPr>
              <w:t>م</w:t>
            </w:r>
          </w:p>
        </w:tc>
        <w:tc>
          <w:tcPr>
            <w:tcW w:type="dxa" w:w="2040"/>
            <w:shd w:fill="1B2A4E"/>
            <w:vAlign w:val="center"/>
          </w:tcPr>
          <w:p>
            <w:pPr>
              <w:bidi w:val="1"/>
              <w:jc w:val="center"/>
            </w:pPr>
            <w:r/>
            <w:r>
              <w:rPr>
                <w:rFonts w:cs="Arial"/>
                <w:b/>
                <w:color w:val="FFFFFF"/>
                <w:sz w:val="19"/>
                <w:rtl w:val="1"/>
              </w:rPr>
              <w:t>معرف الأصل</w:t>
            </w:r>
          </w:p>
        </w:tc>
        <w:tc>
          <w:tcPr>
            <w:tcW w:type="dxa" w:w="2040"/>
            <w:shd w:fill="1B2A4E"/>
            <w:vAlign w:val="center"/>
          </w:tcPr>
          <w:p>
            <w:pPr>
              <w:bidi w:val="1"/>
              <w:jc w:val="center"/>
            </w:pPr>
            <w:r/>
            <w:r>
              <w:rPr>
                <w:rFonts w:cs="Arial"/>
                <w:b/>
                <w:color w:val="FFFFFF"/>
                <w:sz w:val="19"/>
                <w:rtl w:val="1"/>
              </w:rPr>
              <w:t>اسم الأصل</w:t>
            </w:r>
          </w:p>
        </w:tc>
        <w:tc>
          <w:tcPr>
            <w:tcW w:type="dxa" w:w="2040"/>
            <w:shd w:fill="1B2A4E"/>
            <w:vAlign w:val="center"/>
          </w:tcPr>
          <w:p>
            <w:pPr>
              <w:bidi w:val="1"/>
              <w:jc w:val="center"/>
            </w:pPr>
            <w:r/>
            <w:r>
              <w:rPr>
                <w:rFonts w:cs="Arial"/>
                <w:b/>
                <w:color w:val="FFFFFF"/>
                <w:sz w:val="19"/>
                <w:rtl w:val="1"/>
              </w:rPr>
              <w:t>نوع الأصل</w:t>
            </w:r>
          </w:p>
        </w:tc>
        <w:tc>
          <w:tcPr>
            <w:tcW w:type="dxa" w:w="2040"/>
            <w:shd w:fill="1B2A4E"/>
            <w:vAlign w:val="center"/>
          </w:tcPr>
          <w:p>
            <w:pPr>
              <w:bidi w:val="1"/>
              <w:jc w:val="center"/>
            </w:pPr>
            <w:r/>
            <w:r>
              <w:rPr>
                <w:rFonts w:cs="Arial"/>
                <w:b/>
                <w:color w:val="FFFFFF"/>
                <w:sz w:val="19"/>
                <w:rtl w:val="1"/>
              </w:rPr>
              <w:t>نتيجة المراجعة</w:t>
            </w:r>
          </w:p>
        </w:tc>
      </w:tr>
      <w:tr>
        <w:trPr>
          <w:cantSplit/>
        </w:trPr>
        <w:tc>
          <w:tcPr>
            <w:tcW w:type="dxa" w:w="567"/>
            <w:vAlign w:val="center"/>
            <w:shd w:fill="F2F2F2"/>
          </w:tcPr>
          <w:p>
            <w:pPr>
              <w:bidi w:val="1"/>
              <w:jc w:val="right"/>
            </w:pPr>
            <w:r>
              <w:rPr>
                <w:rFonts w:cs="Arial"/>
                <w:b/>
                <w:color w:val="1F2A44"/>
                <w:sz w:val="16"/>
                <w:rtl w:val="1"/>
              </w:rPr>
              <w:t>1</w:t>
            </w:r>
          </w:p>
        </w:tc>
        <w:tc>
          <w:tcPr>
            <w:tcW w:type="dxa" w:w="1247"/>
            <w:vAlign w:val="center"/>
            <w:shd w:fill="F2F2F2"/>
          </w:tcPr>
          <w:p>
            <w:pPr>
              <w:bidi w:val="1"/>
              <w:jc w:val="right"/>
            </w:pPr>
            <w:r>
              <w:rPr>
                <w:rFonts w:cs="Arial"/>
                <w:color w:val="262626"/>
                <w:sz w:val="16"/>
                <w:rtl w:val="1"/>
              </w:rPr>
              <w:t>SGSA-001</w:t>
            </w:r>
          </w:p>
        </w:tc>
        <w:tc>
          <w:tcPr>
            <w:tcW w:type="dxa" w:w="3402"/>
            <w:vAlign w:val="center"/>
            <w:shd w:fill="F2F2F2"/>
          </w:tcPr>
          <w:p>
            <w:pPr>
              <w:bidi w:val="1"/>
              <w:jc w:val="right"/>
            </w:pPr>
            <w:r>
              <w:rPr>
                <w:rFonts w:cs="Arial"/>
                <w:color w:val="262626"/>
                <w:sz w:val="16"/>
                <w:rtl w:val="1"/>
              </w:rPr>
              <w:t>بيانات الهوية والتحقق الإلكتروني</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2</w:t>
            </w:r>
          </w:p>
        </w:tc>
        <w:tc>
          <w:tcPr>
            <w:tcW w:type="dxa" w:w="1247"/>
            <w:vAlign w:val="center"/>
          </w:tcPr>
          <w:p>
            <w:pPr>
              <w:bidi w:val="1"/>
              <w:jc w:val="right"/>
            </w:pPr>
            <w:r>
              <w:rPr>
                <w:rFonts w:cs="Arial"/>
                <w:color w:val="262626"/>
                <w:sz w:val="16"/>
                <w:rtl w:val="1"/>
              </w:rPr>
              <w:t>SGSA-002</w:t>
            </w:r>
          </w:p>
        </w:tc>
        <w:tc>
          <w:tcPr>
            <w:tcW w:type="dxa" w:w="3402"/>
            <w:vAlign w:val="center"/>
          </w:tcPr>
          <w:p>
            <w:pPr>
              <w:bidi w:val="1"/>
              <w:jc w:val="right"/>
            </w:pPr>
            <w:r>
              <w:rPr>
                <w:rFonts w:cs="Arial"/>
                <w:color w:val="262626"/>
                <w:sz w:val="16"/>
                <w:rtl w:val="1"/>
              </w:rPr>
              <w:t>بيانات الأحداث والتنبيهات الأمنية</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8A6D00"/>
                <w:sz w:val="16"/>
                <w:rtl w:val="1"/>
              </w:rPr>
              <w:t>لا إجراء إضافي</w:t>
            </w:r>
          </w:p>
        </w:tc>
      </w:tr>
      <w:tr>
        <w:trPr>
          <w:cantSplit/>
        </w:trPr>
        <w:tc>
          <w:tcPr>
            <w:tcW w:type="dxa" w:w="567"/>
            <w:vAlign w:val="center"/>
            <w:shd w:fill="F2F2F2"/>
          </w:tcPr>
          <w:p>
            <w:pPr>
              <w:bidi w:val="1"/>
              <w:jc w:val="right"/>
            </w:pPr>
            <w:r>
              <w:rPr>
                <w:rFonts w:cs="Arial"/>
                <w:b/>
                <w:color w:val="1F2A44"/>
                <w:sz w:val="16"/>
                <w:rtl w:val="1"/>
              </w:rPr>
              <w:t>3</w:t>
            </w:r>
          </w:p>
        </w:tc>
        <w:tc>
          <w:tcPr>
            <w:tcW w:type="dxa" w:w="1247"/>
            <w:vAlign w:val="center"/>
            <w:shd w:fill="F2F2F2"/>
          </w:tcPr>
          <w:p>
            <w:pPr>
              <w:bidi w:val="1"/>
              <w:jc w:val="right"/>
            </w:pPr>
            <w:r>
              <w:rPr>
                <w:rFonts w:cs="Arial"/>
                <w:color w:val="262626"/>
                <w:sz w:val="16"/>
                <w:rtl w:val="1"/>
              </w:rPr>
              <w:t>SGSA-003</w:t>
            </w:r>
          </w:p>
        </w:tc>
        <w:tc>
          <w:tcPr>
            <w:tcW w:type="dxa" w:w="3402"/>
            <w:vAlign w:val="center"/>
            <w:shd w:fill="F2F2F2"/>
          </w:tcPr>
          <w:p>
            <w:pPr>
              <w:bidi w:val="1"/>
              <w:jc w:val="right"/>
            </w:pPr>
            <w:r>
              <w:rPr>
                <w:rFonts w:cs="Arial"/>
                <w:color w:val="262626"/>
                <w:sz w:val="16"/>
                <w:rtl w:val="1"/>
              </w:rPr>
              <w:t>بيانات الصلاحيات وإدارة الهوية</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4</w:t>
            </w:r>
          </w:p>
        </w:tc>
        <w:tc>
          <w:tcPr>
            <w:tcW w:type="dxa" w:w="1247"/>
            <w:vAlign w:val="center"/>
          </w:tcPr>
          <w:p>
            <w:pPr>
              <w:bidi w:val="1"/>
              <w:jc w:val="right"/>
            </w:pPr>
            <w:r>
              <w:rPr>
                <w:rFonts w:cs="Arial"/>
                <w:color w:val="262626"/>
                <w:sz w:val="16"/>
                <w:rtl w:val="1"/>
              </w:rPr>
              <w:t>SGSA-004</w:t>
            </w:r>
          </w:p>
        </w:tc>
        <w:tc>
          <w:tcPr>
            <w:tcW w:type="dxa" w:w="3402"/>
            <w:vAlign w:val="center"/>
          </w:tcPr>
          <w:p>
            <w:pPr>
              <w:bidi w:val="1"/>
              <w:jc w:val="right"/>
            </w:pPr>
            <w:r>
              <w:rPr>
                <w:rFonts w:cs="Arial"/>
                <w:color w:val="262626"/>
                <w:sz w:val="16"/>
                <w:rtl w:val="1"/>
              </w:rPr>
              <w:t>بيانات التكامل مع الجهات الحكومية</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5</w:t>
            </w:r>
          </w:p>
        </w:tc>
        <w:tc>
          <w:tcPr>
            <w:tcW w:type="dxa" w:w="1247"/>
            <w:vAlign w:val="center"/>
            <w:shd w:fill="F2F2F2"/>
          </w:tcPr>
          <w:p>
            <w:pPr>
              <w:bidi w:val="1"/>
              <w:jc w:val="right"/>
            </w:pPr>
            <w:r>
              <w:rPr>
                <w:rFonts w:cs="Arial"/>
                <w:color w:val="262626"/>
                <w:sz w:val="16"/>
                <w:rtl w:val="1"/>
              </w:rPr>
              <w:t>SGSA-005</w:t>
            </w:r>
          </w:p>
        </w:tc>
        <w:tc>
          <w:tcPr>
            <w:tcW w:type="dxa" w:w="3402"/>
            <w:vAlign w:val="center"/>
            <w:shd w:fill="F2F2F2"/>
          </w:tcPr>
          <w:p>
            <w:pPr>
              <w:bidi w:val="1"/>
              <w:jc w:val="right"/>
            </w:pPr>
            <w:r>
              <w:rPr>
                <w:rFonts w:cs="Arial"/>
                <w:color w:val="262626"/>
                <w:sz w:val="16"/>
                <w:rtl w:val="1"/>
              </w:rPr>
              <w:t>بيانات الرواتب والمزايا الوظيفية</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6</w:t>
            </w:r>
          </w:p>
        </w:tc>
        <w:tc>
          <w:tcPr>
            <w:tcW w:type="dxa" w:w="1247"/>
            <w:vAlign w:val="center"/>
          </w:tcPr>
          <w:p>
            <w:pPr>
              <w:bidi w:val="1"/>
              <w:jc w:val="right"/>
            </w:pPr>
            <w:r>
              <w:rPr>
                <w:rFonts w:cs="Arial"/>
                <w:color w:val="262626"/>
                <w:sz w:val="16"/>
                <w:rtl w:val="1"/>
              </w:rPr>
              <w:t>SGSA-006</w:t>
            </w:r>
          </w:p>
        </w:tc>
        <w:tc>
          <w:tcPr>
            <w:tcW w:type="dxa" w:w="3402"/>
            <w:vAlign w:val="center"/>
          </w:tcPr>
          <w:p>
            <w:pPr>
              <w:bidi w:val="1"/>
              <w:jc w:val="right"/>
            </w:pPr>
            <w:r>
              <w:rPr>
                <w:rFonts w:cs="Arial"/>
                <w:color w:val="262626"/>
                <w:sz w:val="16"/>
                <w:rtl w:val="1"/>
              </w:rPr>
              <w:t>بيانات المدفوعات والمعاملات المالية</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7</w:t>
            </w:r>
          </w:p>
        </w:tc>
        <w:tc>
          <w:tcPr>
            <w:tcW w:type="dxa" w:w="1247"/>
            <w:vAlign w:val="center"/>
            <w:shd w:fill="F2F2F2"/>
          </w:tcPr>
          <w:p>
            <w:pPr>
              <w:bidi w:val="1"/>
              <w:jc w:val="right"/>
            </w:pPr>
            <w:r>
              <w:rPr>
                <w:rFonts w:cs="Arial"/>
                <w:color w:val="262626"/>
                <w:sz w:val="16"/>
                <w:rtl w:val="1"/>
              </w:rPr>
              <w:t>SGSA-007</w:t>
            </w:r>
          </w:p>
        </w:tc>
        <w:tc>
          <w:tcPr>
            <w:tcW w:type="dxa" w:w="3402"/>
            <w:vAlign w:val="center"/>
            <w:shd w:fill="F2F2F2"/>
          </w:tcPr>
          <w:p>
            <w:pPr>
              <w:bidi w:val="1"/>
              <w:jc w:val="right"/>
            </w:pPr>
            <w:r>
              <w:rPr>
                <w:rFonts w:cs="Arial"/>
                <w:color w:val="262626"/>
                <w:sz w:val="16"/>
                <w:rtl w:val="1"/>
              </w:rPr>
              <w:t>بيانات الموظفين والملفات الوظيفية</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8</w:t>
            </w:r>
          </w:p>
        </w:tc>
        <w:tc>
          <w:tcPr>
            <w:tcW w:type="dxa" w:w="1247"/>
            <w:vAlign w:val="center"/>
          </w:tcPr>
          <w:p>
            <w:pPr>
              <w:bidi w:val="1"/>
              <w:jc w:val="right"/>
            </w:pPr>
            <w:r>
              <w:rPr>
                <w:rFonts w:cs="Arial"/>
                <w:color w:val="262626"/>
                <w:sz w:val="16"/>
                <w:rtl w:val="1"/>
              </w:rPr>
              <w:t>SGSA-008</w:t>
            </w:r>
          </w:p>
        </w:tc>
        <w:tc>
          <w:tcPr>
            <w:tcW w:type="dxa" w:w="3402"/>
            <w:vAlign w:val="center"/>
          </w:tcPr>
          <w:p>
            <w:pPr>
              <w:bidi w:val="1"/>
              <w:jc w:val="right"/>
            </w:pPr>
            <w:r>
              <w:rPr>
                <w:rFonts w:cs="Arial"/>
                <w:color w:val="262626"/>
                <w:sz w:val="16"/>
                <w:rtl w:val="1"/>
              </w:rPr>
              <w:t>بيانات المستخدمين والمستفيدين</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9</w:t>
            </w:r>
          </w:p>
        </w:tc>
        <w:tc>
          <w:tcPr>
            <w:tcW w:type="dxa" w:w="1247"/>
            <w:vAlign w:val="center"/>
            <w:shd w:fill="F2F2F2"/>
          </w:tcPr>
          <w:p>
            <w:pPr>
              <w:bidi w:val="1"/>
              <w:jc w:val="right"/>
            </w:pPr>
            <w:r>
              <w:rPr>
                <w:rFonts w:cs="Arial"/>
                <w:color w:val="262626"/>
                <w:sz w:val="16"/>
                <w:rtl w:val="1"/>
              </w:rPr>
              <w:t>SGSA-009</w:t>
            </w:r>
          </w:p>
        </w:tc>
        <w:tc>
          <w:tcPr>
            <w:tcW w:type="dxa" w:w="3402"/>
            <w:vAlign w:val="center"/>
            <w:shd w:fill="F2F2F2"/>
          </w:tcPr>
          <w:p>
            <w:pPr>
              <w:bidi w:val="1"/>
              <w:jc w:val="right"/>
            </w:pPr>
            <w:r>
              <w:rPr>
                <w:rFonts w:cs="Arial"/>
                <w:color w:val="262626"/>
                <w:sz w:val="16"/>
                <w:rtl w:val="1"/>
              </w:rPr>
              <w:t>بيانات طلبات ومعاملات المستفيدين</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10</w:t>
            </w:r>
          </w:p>
        </w:tc>
        <w:tc>
          <w:tcPr>
            <w:tcW w:type="dxa" w:w="1247"/>
            <w:vAlign w:val="center"/>
          </w:tcPr>
          <w:p>
            <w:pPr>
              <w:bidi w:val="1"/>
              <w:jc w:val="right"/>
            </w:pPr>
            <w:r>
              <w:rPr>
                <w:rFonts w:cs="Arial"/>
                <w:color w:val="262626"/>
                <w:sz w:val="16"/>
                <w:rtl w:val="1"/>
              </w:rPr>
              <w:t>SGSA-010</w:t>
            </w:r>
          </w:p>
        </w:tc>
        <w:tc>
          <w:tcPr>
            <w:tcW w:type="dxa" w:w="3402"/>
            <w:vAlign w:val="center"/>
          </w:tcPr>
          <w:p>
            <w:pPr>
              <w:bidi w:val="1"/>
              <w:jc w:val="right"/>
            </w:pPr>
            <w:r>
              <w:rPr>
                <w:rFonts w:cs="Arial"/>
                <w:color w:val="262626"/>
                <w:sz w:val="16"/>
                <w:rtl w:val="1"/>
              </w:rPr>
              <w:t>بيانات الخدمات الحكومية الرقمية</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8A6D00"/>
                <w:sz w:val="16"/>
                <w:rtl w:val="1"/>
              </w:rPr>
              <w:t>تخفيض التصنيف</w:t>
            </w:r>
          </w:p>
        </w:tc>
      </w:tr>
      <w:tr>
        <w:trPr>
          <w:cantSplit/>
        </w:trPr>
        <w:tc>
          <w:tcPr>
            <w:tcW w:type="dxa" w:w="567"/>
            <w:vAlign w:val="center"/>
            <w:shd w:fill="F2F2F2"/>
          </w:tcPr>
          <w:p>
            <w:pPr>
              <w:bidi w:val="1"/>
              <w:jc w:val="right"/>
            </w:pPr>
            <w:r>
              <w:rPr>
                <w:rFonts w:cs="Arial"/>
                <w:b/>
                <w:color w:val="1F2A44"/>
                <w:sz w:val="16"/>
                <w:rtl w:val="1"/>
              </w:rPr>
              <w:t>11</w:t>
            </w:r>
          </w:p>
        </w:tc>
        <w:tc>
          <w:tcPr>
            <w:tcW w:type="dxa" w:w="1247"/>
            <w:vAlign w:val="center"/>
            <w:shd w:fill="F2F2F2"/>
          </w:tcPr>
          <w:p>
            <w:pPr>
              <w:bidi w:val="1"/>
              <w:jc w:val="right"/>
            </w:pPr>
            <w:r>
              <w:rPr>
                <w:rFonts w:cs="Arial"/>
                <w:color w:val="262626"/>
                <w:sz w:val="16"/>
                <w:rtl w:val="1"/>
              </w:rPr>
              <w:t>SGSA-011</w:t>
            </w:r>
          </w:p>
        </w:tc>
        <w:tc>
          <w:tcPr>
            <w:tcW w:type="dxa" w:w="3402"/>
            <w:vAlign w:val="center"/>
            <w:shd w:fill="F2F2F2"/>
          </w:tcPr>
          <w:p>
            <w:pPr>
              <w:bidi w:val="1"/>
              <w:jc w:val="right"/>
            </w:pPr>
            <w:r>
              <w:rPr>
                <w:rFonts w:cs="Arial"/>
                <w:color w:val="262626"/>
                <w:sz w:val="16"/>
                <w:rtl w:val="1"/>
              </w:rPr>
              <w:t>بيانات الموردين والمتعاقدين</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12</w:t>
            </w:r>
          </w:p>
        </w:tc>
        <w:tc>
          <w:tcPr>
            <w:tcW w:type="dxa" w:w="1247"/>
            <w:vAlign w:val="center"/>
          </w:tcPr>
          <w:p>
            <w:pPr>
              <w:bidi w:val="1"/>
              <w:jc w:val="right"/>
            </w:pPr>
            <w:r>
              <w:rPr>
                <w:rFonts w:cs="Arial"/>
                <w:color w:val="262626"/>
                <w:sz w:val="16"/>
                <w:rtl w:val="1"/>
              </w:rPr>
              <w:t>SGSA-012</w:t>
            </w:r>
          </w:p>
        </w:tc>
        <w:tc>
          <w:tcPr>
            <w:tcW w:type="dxa" w:w="3402"/>
            <w:vAlign w:val="center"/>
          </w:tcPr>
          <w:p>
            <w:pPr>
              <w:bidi w:val="1"/>
              <w:jc w:val="right"/>
            </w:pPr>
            <w:r>
              <w:rPr>
                <w:rFonts w:cs="Arial"/>
                <w:color w:val="262626"/>
                <w:sz w:val="16"/>
                <w:rtl w:val="1"/>
              </w:rPr>
              <w:t>بيانات الأصول والبنية التحتية التقنية</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13</w:t>
            </w:r>
          </w:p>
        </w:tc>
        <w:tc>
          <w:tcPr>
            <w:tcW w:type="dxa" w:w="1247"/>
            <w:vAlign w:val="center"/>
            <w:shd w:fill="F2F2F2"/>
          </w:tcPr>
          <w:p>
            <w:pPr>
              <w:bidi w:val="1"/>
              <w:jc w:val="right"/>
            </w:pPr>
            <w:r>
              <w:rPr>
                <w:rFonts w:cs="Arial"/>
                <w:color w:val="262626"/>
                <w:sz w:val="16"/>
                <w:rtl w:val="1"/>
              </w:rPr>
              <w:t>SGSA-013</w:t>
            </w:r>
          </w:p>
        </w:tc>
        <w:tc>
          <w:tcPr>
            <w:tcW w:type="dxa" w:w="3402"/>
            <w:vAlign w:val="center"/>
            <w:shd w:fill="F2F2F2"/>
          </w:tcPr>
          <w:p>
            <w:pPr>
              <w:bidi w:val="1"/>
              <w:jc w:val="right"/>
            </w:pPr>
            <w:r>
              <w:rPr>
                <w:rFonts w:cs="Arial"/>
                <w:color w:val="262626"/>
                <w:sz w:val="16"/>
                <w:rtl w:val="1"/>
              </w:rPr>
              <w:t>بيانات الأهداف والخطط الاستراتيجية</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14</w:t>
            </w:r>
          </w:p>
        </w:tc>
        <w:tc>
          <w:tcPr>
            <w:tcW w:type="dxa" w:w="1247"/>
            <w:vAlign w:val="center"/>
          </w:tcPr>
          <w:p>
            <w:pPr>
              <w:bidi w:val="1"/>
              <w:jc w:val="right"/>
            </w:pPr>
            <w:r>
              <w:rPr>
                <w:rFonts w:cs="Arial"/>
                <w:color w:val="262626"/>
                <w:sz w:val="16"/>
                <w:rtl w:val="1"/>
              </w:rPr>
              <w:t>SGSA-014</w:t>
            </w:r>
          </w:p>
        </w:tc>
        <w:tc>
          <w:tcPr>
            <w:tcW w:type="dxa" w:w="3402"/>
            <w:vAlign w:val="center"/>
          </w:tcPr>
          <w:p>
            <w:pPr>
              <w:bidi w:val="1"/>
              <w:jc w:val="right"/>
            </w:pPr>
            <w:r>
              <w:rPr>
                <w:rFonts w:cs="Arial"/>
                <w:color w:val="262626"/>
                <w:sz w:val="16"/>
                <w:rtl w:val="1"/>
              </w:rPr>
              <w:t>بيانات التدريب والتطوير الوظيفي</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15</w:t>
            </w:r>
          </w:p>
        </w:tc>
        <w:tc>
          <w:tcPr>
            <w:tcW w:type="dxa" w:w="1247"/>
            <w:vAlign w:val="center"/>
            <w:shd w:fill="F2F2F2"/>
          </w:tcPr>
          <w:p>
            <w:pPr>
              <w:bidi w:val="1"/>
              <w:jc w:val="right"/>
            </w:pPr>
            <w:r>
              <w:rPr>
                <w:rFonts w:cs="Arial"/>
                <w:color w:val="262626"/>
                <w:sz w:val="16"/>
                <w:rtl w:val="1"/>
              </w:rPr>
              <w:t>SGSA-015</w:t>
            </w:r>
          </w:p>
        </w:tc>
        <w:tc>
          <w:tcPr>
            <w:tcW w:type="dxa" w:w="3402"/>
            <w:vAlign w:val="center"/>
            <w:shd w:fill="F2F2F2"/>
          </w:tcPr>
          <w:p>
            <w:pPr>
              <w:bidi w:val="1"/>
              <w:jc w:val="right"/>
            </w:pPr>
            <w:r>
              <w:rPr>
                <w:rFonts w:cs="Arial"/>
                <w:color w:val="262626"/>
                <w:sz w:val="16"/>
                <w:rtl w:val="1"/>
              </w:rPr>
              <w:t>بيانات استطلاعات رضا المستفيدين</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16</w:t>
            </w:r>
          </w:p>
        </w:tc>
        <w:tc>
          <w:tcPr>
            <w:tcW w:type="dxa" w:w="1247"/>
            <w:vAlign w:val="center"/>
          </w:tcPr>
          <w:p>
            <w:pPr>
              <w:bidi w:val="1"/>
              <w:jc w:val="right"/>
            </w:pPr>
            <w:r>
              <w:rPr>
                <w:rFonts w:cs="Arial"/>
                <w:color w:val="262626"/>
                <w:sz w:val="16"/>
                <w:rtl w:val="1"/>
              </w:rPr>
              <w:t>SGSA-016</w:t>
            </w:r>
          </w:p>
        </w:tc>
        <w:tc>
          <w:tcPr>
            <w:tcW w:type="dxa" w:w="3402"/>
            <w:vAlign w:val="center"/>
          </w:tcPr>
          <w:p>
            <w:pPr>
              <w:bidi w:val="1"/>
              <w:jc w:val="right"/>
            </w:pPr>
            <w:r>
              <w:rPr>
                <w:rFonts w:cs="Arial"/>
                <w:color w:val="262626"/>
                <w:sz w:val="16"/>
                <w:rtl w:val="1"/>
              </w:rPr>
              <w:t>بيانات الحوادث التقنية وطلبات الدعم</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17</w:t>
            </w:r>
          </w:p>
        </w:tc>
        <w:tc>
          <w:tcPr>
            <w:tcW w:type="dxa" w:w="1247"/>
            <w:vAlign w:val="center"/>
            <w:shd w:fill="F2F2F2"/>
          </w:tcPr>
          <w:p>
            <w:pPr>
              <w:bidi w:val="1"/>
              <w:jc w:val="right"/>
            </w:pPr>
            <w:r>
              <w:rPr>
                <w:rFonts w:cs="Arial"/>
                <w:color w:val="262626"/>
                <w:sz w:val="16"/>
                <w:rtl w:val="1"/>
              </w:rPr>
              <w:t>SGSA-017</w:t>
            </w:r>
          </w:p>
        </w:tc>
        <w:tc>
          <w:tcPr>
            <w:tcW w:type="dxa" w:w="3402"/>
            <w:vAlign w:val="center"/>
            <w:shd w:fill="F2F2F2"/>
          </w:tcPr>
          <w:p>
            <w:pPr>
              <w:bidi w:val="1"/>
              <w:jc w:val="right"/>
            </w:pPr>
            <w:r>
              <w:rPr>
                <w:rFonts w:cs="Arial"/>
                <w:color w:val="262626"/>
                <w:sz w:val="16"/>
                <w:rtl w:val="1"/>
              </w:rPr>
              <w:t>بيانات المحتوى الرقمي والموقع الإلكتروني</w:t>
            </w:r>
          </w:p>
        </w:tc>
        <w:tc>
          <w:tcPr>
            <w:tcW w:type="dxa" w:w="1474"/>
            <w:vAlign w:val="center"/>
            <w:shd w:fill="F2F2F2"/>
          </w:tcPr>
          <w:p>
            <w:pPr>
              <w:bidi w:val="1"/>
              <w:jc w:val="right"/>
            </w:pPr>
            <w:r>
              <w:rPr>
                <w:rFonts w:cs="Arial"/>
                <w:color w:val="262626"/>
                <w:sz w:val="16"/>
                <w:rtl w:val="1"/>
              </w:rPr>
              <w:t>مجموعة بيانات</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18</w:t>
            </w:r>
          </w:p>
        </w:tc>
        <w:tc>
          <w:tcPr>
            <w:tcW w:type="dxa" w:w="1247"/>
            <w:vAlign w:val="center"/>
          </w:tcPr>
          <w:p>
            <w:pPr>
              <w:bidi w:val="1"/>
              <w:jc w:val="right"/>
            </w:pPr>
            <w:r>
              <w:rPr>
                <w:rFonts w:cs="Arial"/>
                <w:color w:val="262626"/>
                <w:sz w:val="16"/>
                <w:rtl w:val="1"/>
              </w:rPr>
              <w:t>SGSA-018</w:t>
            </w:r>
          </w:p>
        </w:tc>
        <w:tc>
          <w:tcPr>
            <w:tcW w:type="dxa" w:w="3402"/>
            <w:vAlign w:val="center"/>
          </w:tcPr>
          <w:p>
            <w:pPr>
              <w:bidi w:val="1"/>
              <w:jc w:val="right"/>
            </w:pPr>
            <w:r>
              <w:rPr>
                <w:rFonts w:cs="Arial"/>
                <w:color w:val="262626"/>
                <w:sz w:val="16"/>
                <w:rtl w:val="1"/>
              </w:rPr>
              <w:t>بيانات التقارير والإحصاءات المنشورة</w:t>
            </w:r>
          </w:p>
        </w:tc>
        <w:tc>
          <w:tcPr>
            <w:tcW w:type="dxa" w:w="1474"/>
            <w:vAlign w:val="center"/>
          </w:tcPr>
          <w:p>
            <w:pPr>
              <w:bidi w:val="1"/>
              <w:jc w:val="right"/>
            </w:pPr>
            <w:r>
              <w:rPr>
                <w:rFonts w:cs="Arial"/>
                <w:color w:val="262626"/>
                <w:sz w:val="16"/>
                <w:rtl w:val="1"/>
              </w:rPr>
              <w:t>مجموعة بيانات</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19</w:t>
            </w:r>
          </w:p>
        </w:tc>
        <w:tc>
          <w:tcPr>
            <w:tcW w:type="dxa" w:w="1247"/>
            <w:vAlign w:val="center"/>
            <w:shd w:fill="F2F2F2"/>
          </w:tcPr>
          <w:p>
            <w:pPr>
              <w:bidi w:val="1"/>
              <w:jc w:val="right"/>
            </w:pPr>
            <w:r>
              <w:rPr>
                <w:rFonts w:cs="Arial"/>
                <w:color w:val="262626"/>
                <w:sz w:val="16"/>
                <w:rtl w:val="1"/>
              </w:rPr>
              <w:t>SGSA-019</w:t>
            </w:r>
          </w:p>
        </w:tc>
        <w:tc>
          <w:tcPr>
            <w:tcW w:type="dxa" w:w="3402"/>
            <w:vAlign w:val="center"/>
            <w:shd w:fill="F2F2F2"/>
          </w:tcPr>
          <w:p>
            <w:pPr>
              <w:bidi w:val="1"/>
              <w:jc w:val="right"/>
            </w:pPr>
            <w:r>
              <w:rPr>
                <w:rFonts w:cs="Arial"/>
                <w:color w:val="262626"/>
                <w:sz w:val="16"/>
                <w:rtl w:val="1"/>
              </w:rPr>
              <w:t>سجلات العقود والاتفاقيات</w:t>
            </w:r>
          </w:p>
        </w:tc>
        <w:tc>
          <w:tcPr>
            <w:tcW w:type="dxa" w:w="1474"/>
            <w:vAlign w:val="center"/>
            <w:shd w:fill="F2F2F2"/>
          </w:tcPr>
          <w:p>
            <w:pPr>
              <w:bidi w:val="1"/>
              <w:jc w:val="right"/>
            </w:pPr>
            <w:r>
              <w:rPr>
                <w:rFonts w:cs="Arial"/>
                <w:color w:val="262626"/>
                <w:sz w:val="16"/>
                <w:rtl w:val="1"/>
              </w:rPr>
              <w:t>سجل</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20</w:t>
            </w:r>
          </w:p>
        </w:tc>
        <w:tc>
          <w:tcPr>
            <w:tcW w:type="dxa" w:w="1247"/>
            <w:vAlign w:val="center"/>
          </w:tcPr>
          <w:p>
            <w:pPr>
              <w:bidi w:val="1"/>
              <w:jc w:val="right"/>
            </w:pPr>
            <w:r>
              <w:rPr>
                <w:rFonts w:cs="Arial"/>
                <w:color w:val="262626"/>
                <w:sz w:val="16"/>
                <w:rtl w:val="1"/>
              </w:rPr>
              <w:t>SGSA-020</w:t>
            </w:r>
          </w:p>
        </w:tc>
        <w:tc>
          <w:tcPr>
            <w:tcW w:type="dxa" w:w="3402"/>
            <w:vAlign w:val="center"/>
          </w:tcPr>
          <w:p>
            <w:pPr>
              <w:bidi w:val="1"/>
              <w:jc w:val="right"/>
            </w:pPr>
            <w:r>
              <w:rPr>
                <w:rFonts w:cs="Arial"/>
                <w:color w:val="262626"/>
                <w:sz w:val="16"/>
                <w:rtl w:val="1"/>
              </w:rPr>
              <w:t>سجلات التدقيق الداخلي والرقابة</w:t>
            </w:r>
          </w:p>
        </w:tc>
        <w:tc>
          <w:tcPr>
            <w:tcW w:type="dxa" w:w="1474"/>
            <w:vAlign w:val="center"/>
          </w:tcPr>
          <w:p>
            <w:pPr>
              <w:bidi w:val="1"/>
              <w:jc w:val="right"/>
            </w:pPr>
            <w:r>
              <w:rPr>
                <w:rFonts w:cs="Arial"/>
                <w:color w:val="262626"/>
                <w:sz w:val="16"/>
                <w:rtl w:val="1"/>
              </w:rPr>
              <w:t>سجل</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21</w:t>
            </w:r>
          </w:p>
        </w:tc>
        <w:tc>
          <w:tcPr>
            <w:tcW w:type="dxa" w:w="1247"/>
            <w:vAlign w:val="center"/>
            <w:shd w:fill="F2F2F2"/>
          </w:tcPr>
          <w:p>
            <w:pPr>
              <w:bidi w:val="1"/>
              <w:jc w:val="right"/>
            </w:pPr>
            <w:r>
              <w:rPr>
                <w:rFonts w:cs="Arial"/>
                <w:color w:val="262626"/>
                <w:sz w:val="16"/>
                <w:rtl w:val="1"/>
              </w:rPr>
              <w:t>SGSA-021</w:t>
            </w:r>
          </w:p>
        </w:tc>
        <w:tc>
          <w:tcPr>
            <w:tcW w:type="dxa" w:w="3402"/>
            <w:vAlign w:val="center"/>
            <w:shd w:fill="F2F2F2"/>
          </w:tcPr>
          <w:p>
            <w:pPr>
              <w:bidi w:val="1"/>
              <w:jc w:val="right"/>
            </w:pPr>
            <w:r>
              <w:rPr>
                <w:rFonts w:cs="Arial"/>
                <w:color w:val="262626"/>
                <w:sz w:val="16"/>
                <w:rtl w:val="1"/>
              </w:rPr>
              <w:t>سجلات المراسلات والخطابات الرسمية</w:t>
            </w:r>
          </w:p>
        </w:tc>
        <w:tc>
          <w:tcPr>
            <w:tcW w:type="dxa" w:w="1474"/>
            <w:vAlign w:val="center"/>
            <w:shd w:fill="F2F2F2"/>
          </w:tcPr>
          <w:p>
            <w:pPr>
              <w:bidi w:val="1"/>
              <w:jc w:val="right"/>
            </w:pPr>
            <w:r>
              <w:rPr>
                <w:rFonts w:cs="Arial"/>
                <w:color w:val="262626"/>
                <w:sz w:val="16"/>
                <w:rtl w:val="1"/>
              </w:rPr>
              <w:t>سجل</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22</w:t>
            </w:r>
          </w:p>
        </w:tc>
        <w:tc>
          <w:tcPr>
            <w:tcW w:type="dxa" w:w="1247"/>
            <w:vAlign w:val="center"/>
          </w:tcPr>
          <w:p>
            <w:pPr>
              <w:bidi w:val="1"/>
              <w:jc w:val="right"/>
            </w:pPr>
            <w:r>
              <w:rPr>
                <w:rFonts w:cs="Arial"/>
                <w:color w:val="262626"/>
                <w:sz w:val="16"/>
                <w:rtl w:val="1"/>
              </w:rPr>
              <w:t>SGSA-022</w:t>
            </w:r>
          </w:p>
        </w:tc>
        <w:tc>
          <w:tcPr>
            <w:tcW w:type="dxa" w:w="3402"/>
            <w:vAlign w:val="center"/>
          </w:tcPr>
          <w:p>
            <w:pPr>
              <w:bidi w:val="1"/>
              <w:jc w:val="right"/>
            </w:pPr>
            <w:r>
              <w:rPr>
                <w:rFonts w:cs="Arial"/>
                <w:color w:val="262626"/>
                <w:sz w:val="16"/>
                <w:rtl w:val="1"/>
              </w:rPr>
              <w:t>سجلات الاجتماعات واللجان الحوكمية</w:t>
            </w:r>
          </w:p>
        </w:tc>
        <w:tc>
          <w:tcPr>
            <w:tcW w:type="dxa" w:w="1474"/>
            <w:vAlign w:val="center"/>
          </w:tcPr>
          <w:p>
            <w:pPr>
              <w:bidi w:val="1"/>
              <w:jc w:val="right"/>
            </w:pPr>
            <w:r>
              <w:rPr>
                <w:rFonts w:cs="Arial"/>
                <w:color w:val="262626"/>
                <w:sz w:val="16"/>
                <w:rtl w:val="1"/>
              </w:rPr>
              <w:t>سجل</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23</w:t>
            </w:r>
          </w:p>
        </w:tc>
        <w:tc>
          <w:tcPr>
            <w:tcW w:type="dxa" w:w="1247"/>
            <w:vAlign w:val="center"/>
            <w:shd w:fill="F2F2F2"/>
          </w:tcPr>
          <w:p>
            <w:pPr>
              <w:bidi w:val="1"/>
              <w:jc w:val="right"/>
            </w:pPr>
            <w:r>
              <w:rPr>
                <w:rFonts w:cs="Arial"/>
                <w:color w:val="262626"/>
                <w:sz w:val="16"/>
                <w:rtl w:val="1"/>
              </w:rPr>
              <w:t>SGSA-023</w:t>
            </w:r>
          </w:p>
        </w:tc>
        <w:tc>
          <w:tcPr>
            <w:tcW w:type="dxa" w:w="3402"/>
            <w:vAlign w:val="center"/>
            <w:shd w:fill="F2F2F2"/>
          </w:tcPr>
          <w:p>
            <w:pPr>
              <w:bidi w:val="1"/>
              <w:jc w:val="right"/>
            </w:pPr>
            <w:r>
              <w:rPr>
                <w:rFonts w:cs="Arial"/>
                <w:color w:val="262626"/>
                <w:sz w:val="16"/>
                <w:rtl w:val="1"/>
              </w:rPr>
              <w:t>سجلات التقارير الإدارية الدورية</w:t>
            </w:r>
          </w:p>
        </w:tc>
        <w:tc>
          <w:tcPr>
            <w:tcW w:type="dxa" w:w="1474"/>
            <w:vAlign w:val="center"/>
            <w:shd w:fill="F2F2F2"/>
          </w:tcPr>
          <w:p>
            <w:pPr>
              <w:bidi w:val="1"/>
              <w:jc w:val="right"/>
            </w:pPr>
            <w:r>
              <w:rPr>
                <w:rFonts w:cs="Arial"/>
                <w:color w:val="262626"/>
                <w:sz w:val="16"/>
                <w:rtl w:val="1"/>
              </w:rPr>
              <w:t>سجل</w:t>
            </w:r>
          </w:p>
        </w:tc>
        <w:tc>
          <w:tcPr>
            <w:tcW w:type="dxa" w:w="1814"/>
            <w:vAlign w:val="center"/>
            <w:shd w:fill="F2F2F2"/>
          </w:tcPr>
          <w:p>
            <w:pPr>
              <w:bidi w:val="1"/>
              <w:jc w:val="center"/>
            </w:pPr>
            <w:r>
              <w:rPr>
                <w:rFonts w:cs="Arial"/>
                <w:b/>
                <w:color w:val="8A6D00"/>
                <w:sz w:val="16"/>
                <w:rtl w:val="1"/>
              </w:rPr>
              <w:t>تخفيض التصنيف</w:t>
            </w:r>
          </w:p>
        </w:tc>
      </w:tr>
      <w:tr>
        <w:trPr>
          <w:cantSplit/>
        </w:trPr>
        <w:tc>
          <w:tcPr>
            <w:tcW w:type="dxa" w:w="567"/>
            <w:vAlign w:val="center"/>
          </w:tcPr>
          <w:p>
            <w:pPr>
              <w:bidi w:val="1"/>
              <w:jc w:val="right"/>
            </w:pPr>
            <w:r>
              <w:rPr>
                <w:rFonts w:cs="Arial"/>
                <w:b/>
                <w:color w:val="1F2A44"/>
                <w:sz w:val="16"/>
                <w:rtl w:val="1"/>
              </w:rPr>
              <w:t>24</w:t>
            </w:r>
          </w:p>
        </w:tc>
        <w:tc>
          <w:tcPr>
            <w:tcW w:type="dxa" w:w="1247"/>
            <w:vAlign w:val="center"/>
          </w:tcPr>
          <w:p>
            <w:pPr>
              <w:bidi w:val="1"/>
              <w:jc w:val="right"/>
            </w:pPr>
            <w:r>
              <w:rPr>
                <w:rFonts w:cs="Arial"/>
                <w:color w:val="262626"/>
                <w:sz w:val="16"/>
                <w:rtl w:val="1"/>
              </w:rPr>
              <w:t>SGSA-024</w:t>
            </w:r>
          </w:p>
        </w:tc>
        <w:tc>
          <w:tcPr>
            <w:tcW w:type="dxa" w:w="3402"/>
            <w:vAlign w:val="center"/>
          </w:tcPr>
          <w:p>
            <w:pPr>
              <w:bidi w:val="1"/>
              <w:jc w:val="right"/>
            </w:pPr>
            <w:r>
              <w:rPr>
                <w:rFonts w:cs="Arial"/>
                <w:color w:val="262626"/>
                <w:sz w:val="16"/>
                <w:rtl w:val="1"/>
              </w:rPr>
              <w:t>سجلات فعاليات الهيئة وأحداثها</w:t>
            </w:r>
          </w:p>
        </w:tc>
        <w:tc>
          <w:tcPr>
            <w:tcW w:type="dxa" w:w="1474"/>
            <w:vAlign w:val="center"/>
          </w:tcPr>
          <w:p>
            <w:pPr>
              <w:bidi w:val="1"/>
              <w:jc w:val="right"/>
            </w:pPr>
            <w:r>
              <w:rPr>
                <w:rFonts w:cs="Arial"/>
                <w:color w:val="262626"/>
                <w:sz w:val="16"/>
                <w:rtl w:val="1"/>
              </w:rPr>
              <w:t>سجل</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25</w:t>
            </w:r>
          </w:p>
        </w:tc>
        <w:tc>
          <w:tcPr>
            <w:tcW w:type="dxa" w:w="1247"/>
            <w:vAlign w:val="center"/>
            <w:shd w:fill="F2F2F2"/>
          </w:tcPr>
          <w:p>
            <w:pPr>
              <w:bidi w:val="1"/>
              <w:jc w:val="right"/>
            </w:pPr>
            <w:r>
              <w:rPr>
                <w:rFonts w:cs="Arial"/>
                <w:color w:val="262626"/>
                <w:sz w:val="16"/>
                <w:rtl w:val="1"/>
              </w:rPr>
              <w:t>SGSA-025</w:t>
            </w:r>
          </w:p>
        </w:tc>
        <w:tc>
          <w:tcPr>
            <w:tcW w:type="dxa" w:w="3402"/>
            <w:vAlign w:val="center"/>
            <w:shd w:fill="F2F2F2"/>
          </w:tcPr>
          <w:p>
            <w:pPr>
              <w:bidi w:val="1"/>
              <w:jc w:val="right"/>
            </w:pPr>
            <w:r>
              <w:rPr>
                <w:rFonts w:cs="Arial"/>
                <w:color w:val="262626"/>
                <w:sz w:val="16"/>
                <w:rtl w:val="1"/>
              </w:rPr>
              <w:t>سجلات الشكاوى والمقترحات</w:t>
            </w:r>
          </w:p>
        </w:tc>
        <w:tc>
          <w:tcPr>
            <w:tcW w:type="dxa" w:w="1474"/>
            <w:vAlign w:val="center"/>
            <w:shd w:fill="F2F2F2"/>
          </w:tcPr>
          <w:p>
            <w:pPr>
              <w:bidi w:val="1"/>
              <w:jc w:val="right"/>
            </w:pPr>
            <w:r>
              <w:rPr>
                <w:rFonts w:cs="Arial"/>
                <w:color w:val="262626"/>
                <w:sz w:val="16"/>
                <w:rtl w:val="1"/>
              </w:rPr>
              <w:t>سجل</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26</w:t>
            </w:r>
          </w:p>
        </w:tc>
        <w:tc>
          <w:tcPr>
            <w:tcW w:type="dxa" w:w="1247"/>
            <w:vAlign w:val="center"/>
          </w:tcPr>
          <w:p>
            <w:pPr>
              <w:bidi w:val="1"/>
              <w:jc w:val="right"/>
            </w:pPr>
            <w:r>
              <w:rPr>
                <w:rFonts w:cs="Arial"/>
                <w:color w:val="262626"/>
                <w:sz w:val="16"/>
                <w:rtl w:val="1"/>
              </w:rPr>
              <w:t>SGSA-026</w:t>
            </w:r>
          </w:p>
        </w:tc>
        <w:tc>
          <w:tcPr>
            <w:tcW w:type="dxa" w:w="3402"/>
            <w:vAlign w:val="center"/>
          </w:tcPr>
          <w:p>
            <w:pPr>
              <w:bidi w:val="1"/>
              <w:jc w:val="right"/>
            </w:pPr>
            <w:r>
              <w:rPr>
                <w:rFonts w:cs="Arial"/>
                <w:color w:val="262626"/>
                <w:sz w:val="16"/>
                <w:rtl w:val="1"/>
              </w:rPr>
              <w:t>سجلات قرارات وتوجيهات الإدارة العليا</w:t>
            </w:r>
          </w:p>
        </w:tc>
        <w:tc>
          <w:tcPr>
            <w:tcW w:type="dxa" w:w="1474"/>
            <w:vAlign w:val="center"/>
          </w:tcPr>
          <w:p>
            <w:pPr>
              <w:bidi w:val="1"/>
              <w:jc w:val="right"/>
            </w:pPr>
            <w:r>
              <w:rPr>
                <w:rFonts w:cs="Arial"/>
                <w:color w:val="262626"/>
                <w:sz w:val="16"/>
                <w:rtl w:val="1"/>
              </w:rPr>
              <w:t>سجل</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27</w:t>
            </w:r>
          </w:p>
        </w:tc>
        <w:tc>
          <w:tcPr>
            <w:tcW w:type="dxa" w:w="1247"/>
            <w:vAlign w:val="center"/>
            <w:shd w:fill="F2F2F2"/>
          </w:tcPr>
          <w:p>
            <w:pPr>
              <w:bidi w:val="1"/>
              <w:jc w:val="right"/>
            </w:pPr>
            <w:r>
              <w:rPr>
                <w:rFonts w:cs="Arial"/>
                <w:color w:val="262626"/>
                <w:sz w:val="16"/>
                <w:rtl w:val="1"/>
              </w:rPr>
              <w:t>SGSA-027</w:t>
            </w:r>
          </w:p>
        </w:tc>
        <w:tc>
          <w:tcPr>
            <w:tcW w:type="dxa" w:w="3402"/>
            <w:vAlign w:val="center"/>
            <w:shd w:fill="F2F2F2"/>
          </w:tcPr>
          <w:p>
            <w:pPr>
              <w:bidi w:val="1"/>
              <w:jc w:val="right"/>
            </w:pPr>
            <w:r>
              <w:rPr>
                <w:rFonts w:cs="Arial"/>
                <w:color w:val="262626"/>
                <w:sz w:val="16"/>
                <w:rtl w:val="1"/>
              </w:rPr>
              <w:t>سجلات التراخيص والتصاريح القانونية</w:t>
            </w:r>
          </w:p>
        </w:tc>
        <w:tc>
          <w:tcPr>
            <w:tcW w:type="dxa" w:w="1474"/>
            <w:vAlign w:val="center"/>
            <w:shd w:fill="F2F2F2"/>
          </w:tcPr>
          <w:p>
            <w:pPr>
              <w:bidi w:val="1"/>
              <w:jc w:val="right"/>
            </w:pPr>
            <w:r>
              <w:rPr>
                <w:rFonts w:cs="Arial"/>
                <w:color w:val="262626"/>
                <w:sz w:val="16"/>
                <w:rtl w:val="1"/>
              </w:rPr>
              <w:t>سجل</w:t>
            </w:r>
          </w:p>
        </w:tc>
        <w:tc>
          <w:tcPr>
            <w:tcW w:type="dxa" w:w="1814"/>
            <w:vAlign w:val="center"/>
            <w:shd w:fill="F2F2F2"/>
          </w:tcPr>
          <w:p>
            <w:pPr>
              <w:bidi w:val="1"/>
              <w:jc w:val="center"/>
            </w:pPr>
            <w:r>
              <w:rPr>
                <w:rFonts w:cs="Arial"/>
                <w:b/>
                <w:color w:val="8A6D00"/>
                <w:sz w:val="16"/>
                <w:rtl w:val="1"/>
              </w:rPr>
              <w:t>تخفيض التصنيف</w:t>
            </w:r>
          </w:p>
        </w:tc>
      </w:tr>
      <w:tr>
        <w:trPr>
          <w:cantSplit/>
        </w:trPr>
        <w:tc>
          <w:tcPr>
            <w:tcW w:type="dxa" w:w="567"/>
            <w:vAlign w:val="center"/>
          </w:tcPr>
          <w:p>
            <w:pPr>
              <w:bidi w:val="1"/>
              <w:jc w:val="right"/>
            </w:pPr>
            <w:r>
              <w:rPr>
                <w:rFonts w:cs="Arial"/>
                <w:b/>
                <w:color w:val="1F2A44"/>
                <w:sz w:val="16"/>
                <w:rtl w:val="1"/>
              </w:rPr>
              <w:t>28</w:t>
            </w:r>
          </w:p>
        </w:tc>
        <w:tc>
          <w:tcPr>
            <w:tcW w:type="dxa" w:w="1247"/>
            <w:vAlign w:val="center"/>
          </w:tcPr>
          <w:p>
            <w:pPr>
              <w:bidi w:val="1"/>
              <w:jc w:val="right"/>
            </w:pPr>
            <w:r>
              <w:rPr>
                <w:rFonts w:cs="Arial"/>
                <w:color w:val="262626"/>
                <w:sz w:val="16"/>
                <w:rtl w:val="1"/>
              </w:rPr>
              <w:t>SGSA-028</w:t>
            </w:r>
          </w:p>
        </w:tc>
        <w:tc>
          <w:tcPr>
            <w:tcW w:type="dxa" w:w="3402"/>
            <w:vAlign w:val="center"/>
          </w:tcPr>
          <w:p>
            <w:pPr>
              <w:bidi w:val="1"/>
              <w:jc w:val="right"/>
            </w:pPr>
            <w:r>
              <w:rPr>
                <w:rFonts w:cs="Arial"/>
                <w:color w:val="262626"/>
                <w:sz w:val="16"/>
                <w:rtl w:val="1"/>
              </w:rPr>
              <w:t>سجلات النسخ الاحتياطي واسترجاع البيانات</w:t>
            </w:r>
          </w:p>
        </w:tc>
        <w:tc>
          <w:tcPr>
            <w:tcW w:type="dxa" w:w="1474"/>
            <w:vAlign w:val="center"/>
          </w:tcPr>
          <w:p>
            <w:pPr>
              <w:bidi w:val="1"/>
              <w:jc w:val="right"/>
            </w:pPr>
            <w:r>
              <w:rPr>
                <w:rFonts w:cs="Arial"/>
                <w:color w:val="262626"/>
                <w:sz w:val="16"/>
                <w:rtl w:val="1"/>
              </w:rPr>
              <w:t>سجل</w:t>
            </w:r>
          </w:p>
        </w:tc>
        <w:tc>
          <w:tcPr>
            <w:tcW w:type="dxa" w:w="181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29</w:t>
            </w:r>
          </w:p>
        </w:tc>
        <w:tc>
          <w:tcPr>
            <w:tcW w:type="dxa" w:w="1247"/>
            <w:vAlign w:val="center"/>
            <w:shd w:fill="F2F2F2"/>
          </w:tcPr>
          <w:p>
            <w:pPr>
              <w:bidi w:val="1"/>
              <w:jc w:val="right"/>
            </w:pPr>
            <w:r>
              <w:rPr>
                <w:rFonts w:cs="Arial"/>
                <w:color w:val="262626"/>
                <w:sz w:val="16"/>
                <w:rtl w:val="1"/>
              </w:rPr>
              <w:t>SGSA-029</w:t>
            </w:r>
          </w:p>
        </w:tc>
        <w:tc>
          <w:tcPr>
            <w:tcW w:type="dxa" w:w="3402"/>
            <w:vAlign w:val="center"/>
            <w:shd w:fill="F2F2F2"/>
          </w:tcPr>
          <w:p>
            <w:pPr>
              <w:bidi w:val="1"/>
              <w:jc w:val="right"/>
            </w:pPr>
            <w:r>
              <w:rPr>
                <w:rFonts w:cs="Arial"/>
                <w:color w:val="262626"/>
                <w:sz w:val="16"/>
                <w:rtl w:val="1"/>
              </w:rPr>
              <w:t>وثائق السياسات والإجراءات الداخلية</w:t>
            </w:r>
          </w:p>
        </w:tc>
        <w:tc>
          <w:tcPr>
            <w:tcW w:type="dxa" w:w="1474"/>
            <w:vAlign w:val="center"/>
            <w:shd w:fill="F2F2F2"/>
          </w:tcPr>
          <w:p>
            <w:pPr>
              <w:bidi w:val="1"/>
              <w:jc w:val="right"/>
            </w:pPr>
            <w:r>
              <w:rPr>
                <w:rFonts w:cs="Arial"/>
                <w:color w:val="262626"/>
                <w:sz w:val="16"/>
                <w:rtl w:val="1"/>
              </w:rPr>
              <w:t>سجل</w:t>
            </w:r>
          </w:p>
        </w:tc>
        <w:tc>
          <w:tcPr>
            <w:tcW w:type="dxa" w:w="181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30</w:t>
            </w:r>
          </w:p>
        </w:tc>
        <w:tc>
          <w:tcPr>
            <w:tcW w:type="dxa" w:w="1247"/>
            <w:vAlign w:val="center"/>
          </w:tcPr>
          <w:p>
            <w:pPr>
              <w:bidi w:val="1"/>
              <w:jc w:val="right"/>
            </w:pPr>
            <w:r>
              <w:rPr>
                <w:rFonts w:cs="Arial"/>
                <w:color w:val="262626"/>
                <w:sz w:val="16"/>
                <w:rtl w:val="1"/>
              </w:rPr>
              <w:t>SGSA-030</w:t>
            </w:r>
          </w:p>
        </w:tc>
        <w:tc>
          <w:tcPr>
            <w:tcW w:type="dxa" w:w="3402"/>
            <w:vAlign w:val="center"/>
          </w:tcPr>
          <w:p>
            <w:pPr>
              <w:bidi w:val="1"/>
              <w:jc w:val="right"/>
            </w:pPr>
            <w:r>
              <w:rPr>
                <w:rFonts w:cs="Arial"/>
                <w:color w:val="262626"/>
                <w:sz w:val="16"/>
                <w:rtl w:val="1"/>
              </w:rPr>
              <w:t>سجلات التغييرات والتحديثات التقنية</w:t>
            </w:r>
          </w:p>
        </w:tc>
        <w:tc>
          <w:tcPr>
            <w:tcW w:type="dxa" w:w="1474"/>
            <w:vAlign w:val="center"/>
          </w:tcPr>
          <w:p>
            <w:pPr>
              <w:bidi w:val="1"/>
              <w:jc w:val="right"/>
            </w:pPr>
            <w:r>
              <w:rPr>
                <w:rFonts w:cs="Arial"/>
                <w:color w:val="262626"/>
                <w:sz w:val="16"/>
                <w:rtl w:val="1"/>
              </w:rPr>
              <w:t>سجل</w:t>
            </w:r>
          </w:p>
        </w:tc>
        <w:tc>
          <w:tcPr>
            <w:tcW w:type="dxa" w:w="1814"/>
            <w:vAlign w:val="center"/>
          </w:tcPr>
          <w:p>
            <w:pPr>
              <w:bidi w:val="1"/>
              <w:jc w:val="center"/>
            </w:pPr>
            <w:r>
              <w:rPr>
                <w:rFonts w:cs="Arial"/>
                <w:b/>
                <w:color w:val="1F6F43"/>
                <w:sz w:val="16"/>
                <w:rtl w:val="1"/>
              </w:rPr>
              <w:t>تثبيت التصنيف</w:t>
            </w:r>
          </w:p>
        </w:tc>
      </w:tr>
    </w:tbl>
    <w:p/>
    <w:p>
      <w:pPr>
        <w:bidi w:val="1"/>
        <w:jc w:val="right"/>
      </w:pPr>
      <w:r>
        <w:rPr>
          <w:rFonts w:cs="Arial"/>
          <w:b/>
          <w:color w:val="1B2A4E"/>
          <w:sz w:val="26"/>
          <w:rtl w:val="1"/>
        </w:rPr>
        <w:t>4.  تطبيق المعادلة</w:t>
      </w:r>
    </w:p>
    <w:tbl>
      <w:tblPr>
        <w:tblStyle w:val="TableGrid"/>
        <w:tblW w:type="auto" w:w="0"/>
        <w:tblLook w:firstColumn="1" w:firstRow="1" w:lastColumn="0" w:lastRow="0" w:noHBand="0" w:noVBand="1" w:val="04A0"/>
        <w:bidiVisual w:val="1"/>
      </w:tblPr>
      <w:tblGrid>
        <w:gridCol w:w="5386"/>
        <w:gridCol w:w="3685"/>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5386"/>
            <w:vAlign w:val="center"/>
            <w:shd w:fill="F2F2F2"/>
          </w:tcPr>
          <w:p>
            <w:pPr>
              <w:bidi w:val="1"/>
              <w:jc w:val="right"/>
            </w:pPr>
            <w:r>
              <w:rPr>
                <w:rFonts w:cs="Arial"/>
                <w:b/>
                <w:color w:val="1B2A4E"/>
                <w:sz w:val="17"/>
                <w:rtl w:val="1"/>
              </w:rPr>
              <w:t>عدد الأصول التي خضعت لمراجعة تصنيف رسمية موثقة (DC.C.3.4)</w:t>
            </w:r>
          </w:p>
        </w:tc>
        <w:tc>
          <w:tcPr>
            <w:tcW w:type="dxa" w:w="3685"/>
            <w:vAlign w:val="center"/>
            <w:shd w:fill="F2F2F2"/>
          </w:tcPr>
          <w:p>
            <w:pPr>
              <w:bidi w:val="1"/>
              <w:jc w:val="center"/>
            </w:pPr>
            <w:r>
              <w:rPr>
                <w:rFonts w:cs="Arial"/>
                <w:b/>
                <w:color w:val="8A6D00"/>
                <w:sz w:val="17"/>
                <w:rtl w:val="1"/>
              </w:rPr>
              <w:t>30</w:t>
            </w:r>
          </w:p>
        </w:tc>
      </w:tr>
      <w:tr>
        <w:trPr>
          <w:cantSplit/>
        </w:trPr>
        <w:tc>
          <w:tcPr>
            <w:tcW w:type="dxa" w:w="5386"/>
            <w:vAlign w:val="center"/>
          </w:tcPr>
          <w:p>
            <w:pPr>
              <w:bidi w:val="1"/>
              <w:jc w:val="right"/>
            </w:pPr>
            <w:r>
              <w:rPr>
                <w:rFonts w:cs="Arial"/>
                <w:b/>
                <w:color w:val="1B2A4E"/>
                <w:sz w:val="17"/>
                <w:rtl w:val="1"/>
              </w:rPr>
              <w:t>إجمالي الأصول البيانية المُسجَّلة (DC.C.5.1)</w:t>
            </w:r>
          </w:p>
        </w:tc>
        <w:tc>
          <w:tcPr>
            <w:tcW w:type="dxa" w:w="3685"/>
            <w:vAlign w:val="center"/>
          </w:tcPr>
          <w:p>
            <w:pPr>
              <w:bidi w:val="1"/>
              <w:jc w:val="center"/>
            </w:pPr>
            <w:r>
              <w:rPr>
                <w:rFonts w:cs="Arial"/>
                <w:b/>
                <w:color w:val="8A6D00"/>
                <w:sz w:val="17"/>
                <w:rtl w:val="1"/>
              </w:rPr>
              <w:t>30</w:t>
            </w:r>
          </w:p>
        </w:tc>
      </w:tr>
      <w:tr>
        <w:trPr>
          <w:cantSplit/>
        </w:trPr>
        <w:tc>
          <w:tcPr>
            <w:tcW w:type="dxa" w:w="5386"/>
            <w:vAlign w:val="center"/>
            <w:shd w:fill="F2F2F2"/>
          </w:tcPr>
          <w:p>
            <w:pPr>
              <w:bidi w:val="1"/>
              <w:jc w:val="right"/>
            </w:pPr>
            <w:r>
              <w:rPr>
                <w:rFonts w:cs="Arial"/>
                <w:b/>
                <w:color w:val="1B2A4E"/>
                <w:sz w:val="17"/>
                <w:rtl w:val="1"/>
              </w:rPr>
              <w:t>المعادلة</w:t>
            </w:r>
          </w:p>
        </w:tc>
        <w:tc>
          <w:tcPr>
            <w:tcW w:type="dxa" w:w="3685"/>
            <w:vAlign w:val="center"/>
            <w:shd w:fill="F2F2F2"/>
          </w:tcPr>
          <w:p>
            <w:pPr>
              <w:bidi w:val="1"/>
              <w:jc w:val="center"/>
            </w:pPr>
            <w:r>
              <w:rPr>
                <w:rFonts w:cs="Arial"/>
                <w:b/>
                <w:color w:val="8A6D00"/>
                <w:sz w:val="17"/>
                <w:rtl w:val="1"/>
              </w:rPr>
              <w:t>(عدد الأصول المُراجَعة ÷ إجمالي الأصول المُسجَّلة في DC.C.5.1) × 100</w:t>
            </w:r>
          </w:p>
        </w:tc>
      </w:tr>
      <w:tr>
        <w:trPr>
          <w:cantSplit/>
        </w:trPr>
        <w:tc>
          <w:tcPr>
            <w:tcW w:type="dxa" w:w="5386"/>
            <w:vAlign w:val="center"/>
          </w:tcPr>
          <w:p>
            <w:pPr>
              <w:bidi w:val="1"/>
              <w:jc w:val="right"/>
            </w:pPr>
            <w:r>
              <w:rPr>
                <w:rFonts w:cs="Arial"/>
                <w:b/>
                <w:color w:val="1B2A4E"/>
                <w:sz w:val="17"/>
                <w:rtl w:val="1"/>
              </w:rPr>
              <w:t>تطبيق المعادلة</w:t>
            </w:r>
          </w:p>
        </w:tc>
        <w:tc>
          <w:tcPr>
            <w:tcW w:type="dxa" w:w="3685"/>
            <w:vAlign w:val="center"/>
          </w:tcPr>
          <w:p>
            <w:pPr>
              <w:bidi w:val="1"/>
              <w:jc w:val="center"/>
            </w:pPr>
            <w:r>
              <w:rPr>
                <w:rFonts w:cs="Arial"/>
                <w:b/>
                <w:color w:val="8A6D00"/>
                <w:sz w:val="17"/>
                <w:rtl w:val="1"/>
              </w:rPr>
              <w:t>(30 ÷ 30) × 100</w:t>
            </w:r>
          </w:p>
        </w:tc>
      </w:tr>
      <w:tr>
        <w:trPr>
          <w:cantSplit/>
        </w:trPr>
        <w:tc>
          <w:tcPr>
            <w:tcW w:type="dxa" w:w="5386"/>
            <w:vAlign w:val="center"/>
            <w:shd w:fill="F2F2F2"/>
          </w:tcPr>
          <w:p>
            <w:pPr>
              <w:bidi w:val="1"/>
              <w:jc w:val="right"/>
            </w:pPr>
            <w:r>
              <w:rPr>
                <w:rFonts w:cs="Arial"/>
                <w:b/>
                <w:color w:val="1B2A4E"/>
                <w:sz w:val="17"/>
                <w:rtl w:val="1"/>
              </w:rPr>
              <w:t>النتيجة النهائية</w:t>
            </w:r>
          </w:p>
        </w:tc>
        <w:tc>
          <w:tcPr>
            <w:tcW w:type="dxa" w:w="3685"/>
            <w:vAlign w:val="center"/>
            <w:shd w:fill="F2F2F2"/>
          </w:tcPr>
          <w:p>
            <w:pPr>
              <w:bidi w:val="1"/>
              <w:jc w:val="center"/>
            </w:pPr>
            <w:r>
              <w:rPr>
                <w:rFonts w:cs="Arial"/>
                <w:b/>
                <w:color w:val="8A6D00"/>
                <w:sz w:val="17"/>
                <w:rtl w:val="1"/>
              </w:rPr>
              <w:t>100%</w:t>
            </w:r>
          </w:p>
        </w:tc>
      </w:tr>
    </w:tbl>
    <w:p/>
    <w:p>
      <w:pPr>
        <w:bidi w:val="1"/>
        <w:jc w:val="right"/>
      </w:pPr>
      <w:r>
        <w:rPr>
          <w:rFonts w:cs="Arial"/>
          <w:b/>
          <w:color w:val="1B2A4E"/>
          <w:sz w:val="26"/>
          <w:rtl w:val="1"/>
        </w:rPr>
        <w:t>5.  النتيجة والتحقق مقابل DC.M.12</w:t>
      </w:r>
    </w:p>
    <w:tbl>
      <w:tblPr>
        <w:tblStyle w:val="TableGrid"/>
        <w:tblW w:type="auto" w:w="0"/>
        <w:tblLook w:firstColumn="1" w:firstRow="1" w:lastColumn="0" w:lastRow="0" w:noHBand="0" w:noVBand="1" w:val="04A0"/>
        <w:bidiVisual w:val="1"/>
      </w:tblPr>
      <w:tblGrid>
        <w:gridCol w:w="3685"/>
        <w:gridCol w:w="5386"/>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3685"/>
            <w:vAlign w:val="center"/>
            <w:shd w:fill="F2F2F2"/>
          </w:tcPr>
          <w:p>
            <w:pPr>
              <w:bidi w:val="1"/>
              <w:jc w:val="right"/>
            </w:pPr>
            <w:r>
              <w:rPr>
                <w:rFonts w:cs="Arial"/>
                <w:b/>
                <w:color w:val="1B2A4E"/>
                <w:sz w:val="17"/>
                <w:rtl w:val="1"/>
              </w:rPr>
              <w:t>القيمة المستهدفة (DC.M.12)</w:t>
            </w:r>
          </w:p>
        </w:tc>
        <w:tc>
          <w:tcPr>
            <w:tcW w:type="dxa" w:w="5386"/>
            <w:vAlign w:val="center"/>
            <w:shd w:fill="F2F2F2"/>
          </w:tcPr>
          <w:p>
            <w:pPr>
              <w:bidi w:val="1"/>
              <w:jc w:val="center"/>
            </w:pPr>
            <w:r>
              <w:rPr>
                <w:rFonts w:cs="Arial"/>
                <w:b/>
                <w:color w:val="8A6D00"/>
                <w:sz w:val="17"/>
                <w:rtl w:val="1"/>
              </w:rPr>
              <w:t>100%</w:t>
            </w:r>
          </w:p>
        </w:tc>
      </w:tr>
      <w:tr>
        <w:trPr>
          <w:cantSplit/>
        </w:trPr>
        <w:tc>
          <w:tcPr>
            <w:tcW w:type="dxa" w:w="3685"/>
            <w:vAlign w:val="center"/>
          </w:tcPr>
          <w:p>
            <w:pPr>
              <w:bidi w:val="1"/>
              <w:jc w:val="right"/>
            </w:pPr>
            <w:r>
              <w:rPr>
                <w:rFonts w:cs="Arial"/>
                <w:b/>
                <w:color w:val="1B2A4E"/>
                <w:sz w:val="17"/>
                <w:rtl w:val="1"/>
              </w:rPr>
              <w:t>القيمة الفعلية المُثبَتة في DC.M.12</w:t>
            </w:r>
          </w:p>
        </w:tc>
        <w:tc>
          <w:tcPr>
            <w:tcW w:type="dxa" w:w="5386"/>
            <w:vAlign w:val="center"/>
          </w:tcPr>
          <w:p>
            <w:pPr>
              <w:bidi w:val="1"/>
              <w:jc w:val="center"/>
            </w:pPr>
            <w:r>
              <w:rPr>
                <w:rFonts w:cs="Arial"/>
                <w:b/>
                <w:color w:val="8A6D00"/>
                <w:sz w:val="17"/>
                <w:rtl w:val="1"/>
              </w:rPr>
              <w:t>100% (30 من 30 أصلاً)</w:t>
            </w:r>
          </w:p>
        </w:tc>
      </w:tr>
      <w:tr>
        <w:trPr>
          <w:cantSplit/>
        </w:trPr>
        <w:tc>
          <w:tcPr>
            <w:tcW w:type="dxa" w:w="3685"/>
            <w:vAlign w:val="center"/>
            <w:shd w:fill="F2F2F2"/>
          </w:tcPr>
          <w:p>
            <w:pPr>
              <w:bidi w:val="1"/>
              <w:jc w:val="right"/>
            </w:pPr>
            <w:r>
              <w:rPr>
                <w:rFonts w:cs="Arial"/>
                <w:b/>
                <w:color w:val="1B2A4E"/>
                <w:sz w:val="17"/>
                <w:rtl w:val="1"/>
              </w:rPr>
              <w:t>حالة الإنجاز في DC.M.12</w:t>
            </w:r>
          </w:p>
        </w:tc>
        <w:tc>
          <w:tcPr>
            <w:tcW w:type="dxa" w:w="5386"/>
            <w:vAlign w:val="center"/>
            <w:shd w:fill="F2F2F2"/>
          </w:tcPr>
          <w:p>
            <w:pPr>
              <w:bidi w:val="1"/>
              <w:jc w:val="center"/>
            </w:pPr>
            <w:r>
              <w:rPr>
                <w:rFonts w:cs="Arial"/>
                <w:b/>
                <w:color w:val="1F6F43"/>
                <w:sz w:val="17"/>
                <w:rtl w:val="1"/>
              </w:rPr>
              <w:t>محقق</w:t>
            </w:r>
          </w:p>
        </w:tc>
      </w:tr>
      <w:tr>
        <w:trPr>
          <w:cantSplit/>
        </w:trPr>
        <w:tc>
          <w:tcPr>
            <w:tcW w:type="dxa" w:w="3685"/>
            <w:vAlign w:val="center"/>
          </w:tcPr>
          <w:p>
            <w:pPr>
              <w:bidi w:val="1"/>
              <w:jc w:val="right"/>
            </w:pPr>
            <w:r>
              <w:rPr>
                <w:rFonts w:cs="Arial"/>
                <w:b/>
                <w:color w:val="1B2A4E"/>
                <w:sz w:val="17"/>
                <w:rtl w:val="1"/>
              </w:rPr>
              <w:t>مرجع التحقق في DC.M.12</w:t>
            </w:r>
          </w:p>
        </w:tc>
        <w:tc>
          <w:tcPr>
            <w:tcW w:type="dxa" w:w="5386"/>
            <w:vAlign w:val="center"/>
          </w:tcPr>
          <w:p>
            <w:pPr>
              <w:bidi w:val="1"/>
              <w:jc w:val="center"/>
            </w:pPr>
            <w:r>
              <w:rPr>
                <w:rFonts w:cs="Arial"/>
                <w:b/>
                <w:color w:val="8A6D00"/>
                <w:sz w:val="17"/>
                <w:rtl w:val="1"/>
              </w:rPr>
              <w:t>DC.M.12، القسم 9.1 (بطاقة KPI-DC-MR-01)، الحقلان 6–7</w:t>
            </w:r>
          </w:p>
        </w:tc>
      </w:tr>
    </w:tbl>
    <w:p/>
    <w:p>
      <w:pPr>
        <w:bidi w:val="1"/>
        <w:jc w:val="right"/>
      </w:pPr>
      <w:r>
        <w:rPr>
          <w:rFonts w:cs="Arial"/>
          <w:b w:val="0"/>
          <w:i w:val="0"/>
          <w:color w:val="262626"/>
          <w:sz w:val="19"/>
          <w:rtl w:val="1"/>
        </w:rPr>
        <w:t>القيمة الناتجة (100%) مطابقة تماماً للقيمة الفعلية الموثقة في DC.M.12 (القسم 9.1، الحقل 7: «100% (30 من 30 أصلاً)»)، وللحالة المُعلَنة «محقق» مقابل هدف 100%.</w:t>
      </w:r>
    </w:p>
    <w:p/>
    <w:p>
      <w:pPr>
        <w:bidi w:val="1"/>
        <w:jc w:val="right"/>
      </w:pPr>
      <w:r>
        <w:rPr>
          <w:rFonts w:cs="Arial"/>
          <w:b/>
          <w:color w:val="1B2A4E"/>
          <w:sz w:val="26"/>
          <w:rtl w:val="1"/>
        </w:rPr>
        <w:t>6.  الاعتماد</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DC.C.5.1 وDC.C.3.4 دون أي إضافة أو حذف أو تعديل، ومن مطابقة نتيجته النهائية للقيمة الفعلية الموثقة في DC.M.12.</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p/>
    <w:p>
      <w:pPr>
        <w:bidi w:val="1"/>
        <w:jc w:val="right"/>
      </w:pPr>
      <w:r>
        <w:rPr>
          <w:rFonts w:cs="Arial"/>
          <w:b w:val="0"/>
          <w:i/>
          <w:color w:val="595959"/>
          <w:sz w:val="16"/>
          <w:rtl w:val="1"/>
        </w:rPr>
        <w:t>ملاحظة: هذا السجل دليل داعم مستقل ضمن حزمة أدلة تصنيف البيانات الخاصة بهيئة الخدمات الحكومية الذكية (SGSA)، أُعدّ لتوثيق بيانات وطريقة احتساب مؤشر KPI-DC-MR-01 دون تعديل أي محتوى في تقرير DC.M.12 أو الوثائق المصدر.</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