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إثبات مؤشر «نسبة الالتزام بالجدول الزمني للمراجعة» (KPI-DC-MR-02)</w:t>
      </w:r>
    </w:p>
    <w:p>
      <w:pPr>
        <w:bidi w:val="1"/>
        <w:jc w:val="right"/>
      </w:pPr>
      <w:r>
        <w:rPr>
          <w:rFonts w:cs="Arial"/>
          <w:b w:val="0"/>
          <w:i/>
          <w:color w:val="29C79A"/>
          <w:sz w:val="22"/>
          <w:rtl w:val="1"/>
        </w:rPr>
        <w:t>Review Schedule Adherence Rate — KPI Evidence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DC.M.12-E02</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DC.M.12 — تقرير مراقبة آلية مراجعة تصنيف البيانات عبر مؤشرات الأداء الرئيسية (KPIs)</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KPI-DC-MR-02 — نسبة الالتزام بالجدول الزمني للمراجعة</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سجل إثبات (Evidence Record)</w:t>
            </w:r>
          </w:p>
        </w:tc>
        <w:tc>
          <w:tcPr>
            <w:tcW w:type="dxa" w:w="2835"/>
          </w:tcPr>
          <w:p>
            <w:pPr>
              <w:bidi w:val="1"/>
              <w:jc w:val="right"/>
            </w:pPr>
            <w:r>
              <w:rPr>
                <w:rFonts w:cs="Arial"/>
                <w:b/>
                <w:color w:val="595959"/>
                <w:sz w:val="18"/>
                <w:rtl w:val="1"/>
              </w:rPr>
              <w:t>نوع السجل</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نطاق القياس</w:t>
      </w:r>
    </w:p>
    <w:p>
      <w:pPr>
        <w:bidi w:val="1"/>
        <w:jc w:val="right"/>
      </w:pPr>
      <w:r>
        <w:rPr>
          <w:rFonts w:cs="Arial"/>
          <w:b w:val="0"/>
          <w:i w:val="0"/>
          <w:color w:val="262626"/>
          <w:sz w:val="19"/>
          <w:rtl w:val="1"/>
        </w:rPr>
        <w:t>مراحل تنفيذ دورة المراجعة الأولى الثماني كما وثّقتها DC.C.3.4 (القسم 7)، ضمن فترة المراجعة المعتمدة رسمياً (1 مايو 2026 – 15 يونيو 2026، 6 أسابيع).</w:t>
      </w:r>
    </w:p>
    <w:p/>
    <w:p>
      <w:pPr>
        <w:bidi w:val="1"/>
        <w:jc w:val="right"/>
      </w:pPr>
      <w:r>
        <w:rPr>
          <w:rFonts w:cs="Arial"/>
          <w:b/>
          <w:color w:val="1B2A4E"/>
          <w:sz w:val="26"/>
          <w:rtl w:val="1"/>
        </w:rPr>
        <w:t>2.  مصادر البيانات</w:t>
      </w:r>
    </w:p>
    <w:p>
      <w:pPr>
        <w:bidi w:val="1"/>
        <w:jc w:val="right"/>
      </w:pPr>
      <w:r>
        <w:rPr>
          <w:rFonts w:cs="Arial"/>
          <w:b w:val="0"/>
          <w:i w:val="0"/>
          <w:color w:val="262626"/>
          <w:sz w:val="19"/>
          <w:rtl w:val="1"/>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pPr>
        <w:bidi w:val="1"/>
        <w:jc w:val="right"/>
      </w:pPr>
      <w:r>
        <w:rPr>
          <w:rFonts w:cs="Arial"/>
          <w:color w:val="262626"/>
          <w:sz w:val="19"/>
          <w:rtl w:val="1"/>
        </w:rPr>
        <w:t>•  DC.C.3.4 — تقرير مراجعة تصنيف البيانات، بيانات الوثيقة (فترة المراجعة المعتمدة: 1 مايو – 15 يونيو 2026) والقسم 7 (جدول 4 — المراحل الثماني بتواريخ تنفيذها الفعلية ومخرج كل مرحلة).</w:t>
      </w:r>
    </w:p>
    <w:p/>
    <w:p>
      <w:pPr>
        <w:bidi w:val="1"/>
        <w:jc w:val="right"/>
      </w:pPr>
      <w:r>
        <w:rPr>
          <w:rFonts w:cs="Arial"/>
          <w:b/>
          <w:color w:val="1B2A4E"/>
          <w:sz w:val="26"/>
          <w:rtl w:val="1"/>
        </w:rPr>
        <w:t>3.  جدول البيانات المستخدمة</w:t>
      </w:r>
    </w:p>
    <w:p>
      <w:pPr>
        <w:bidi w:val="1"/>
        <w:jc w:val="right"/>
      </w:pPr>
      <w:r>
        <w:rPr>
          <w:rFonts w:cs="Arial"/>
          <w:b w:val="0"/>
          <w:i w:val="0"/>
          <w:color w:val="262626"/>
          <w:sz w:val="19"/>
          <w:rtl w:val="1"/>
        </w:rPr>
        <w:t>جدول مراحل تنفيذ دورة المراجعة الثماني (منسوخ حرفياً من DC.C.3.4، القسم 7):</w:t>
      </w:r>
    </w:p>
    <w:tbl>
      <w:tblPr>
        <w:tblStyle w:val="TableGrid"/>
        <w:tblW w:type="auto" w:w="0"/>
        <w:tblLook w:firstColumn="1" w:firstRow="1" w:lastColumn="0" w:lastRow="0" w:noHBand="0" w:noVBand="1" w:val="04A0"/>
        <w:bidiVisual w:val="1"/>
      </w:tblPr>
      <w:tblGrid>
        <w:gridCol w:w="567"/>
        <w:gridCol w:w="2835"/>
        <w:gridCol w:w="1701"/>
        <w:gridCol w:w="3402"/>
      </w:tblGrid>
      <w:tr>
        <w:trPr>
          <w:cantSplit/>
        </w:trPr>
        <w:tc>
          <w:tcPr>
            <w:tcW w:type="dxa" w:w="2550"/>
            <w:shd w:fill="1B2A4E"/>
            <w:vAlign w:val="center"/>
          </w:tcPr>
          <w:p>
            <w:pPr>
              <w:bidi w:val="1"/>
              <w:jc w:val="center"/>
            </w:pPr>
            <w:r/>
            <w:r>
              <w:rPr>
                <w:rFonts w:cs="Arial"/>
                <w:b/>
                <w:color w:val="FFFFFF"/>
                <w:sz w:val="19"/>
                <w:rtl w:val="1"/>
              </w:rPr>
              <w:t>م</w:t>
            </w:r>
          </w:p>
        </w:tc>
        <w:tc>
          <w:tcPr>
            <w:tcW w:type="dxa" w:w="2550"/>
            <w:shd w:fill="1B2A4E"/>
            <w:vAlign w:val="center"/>
          </w:tcPr>
          <w:p>
            <w:pPr>
              <w:bidi w:val="1"/>
              <w:jc w:val="center"/>
            </w:pPr>
            <w:r/>
            <w:r>
              <w:rPr>
                <w:rFonts w:cs="Arial"/>
                <w:b/>
                <w:color w:val="FFFFFF"/>
                <w:sz w:val="19"/>
                <w:rtl w:val="1"/>
              </w:rPr>
              <w:t>المرحلة</w:t>
            </w:r>
          </w:p>
        </w:tc>
        <w:tc>
          <w:tcPr>
            <w:tcW w:type="dxa" w:w="2550"/>
            <w:shd w:fill="1B2A4E"/>
            <w:vAlign w:val="center"/>
          </w:tcPr>
          <w:p>
            <w:pPr>
              <w:bidi w:val="1"/>
              <w:jc w:val="center"/>
            </w:pPr>
            <w:r/>
            <w:r>
              <w:rPr>
                <w:rFonts w:cs="Arial"/>
                <w:b/>
                <w:color w:val="FFFFFF"/>
                <w:sz w:val="19"/>
                <w:rtl w:val="1"/>
              </w:rPr>
              <w:t>تاريخ التنفيذ الفعلي</w:t>
            </w:r>
          </w:p>
        </w:tc>
        <w:tc>
          <w:tcPr>
            <w:tcW w:type="dxa" w:w="2550"/>
            <w:shd w:fill="1B2A4E"/>
            <w:vAlign w:val="center"/>
          </w:tcPr>
          <w:p>
            <w:pPr>
              <w:bidi w:val="1"/>
              <w:jc w:val="center"/>
            </w:pPr>
            <w:r/>
            <w:r>
              <w:rPr>
                <w:rFonts w:cs="Arial"/>
                <w:b/>
                <w:color w:val="FFFFFF"/>
                <w:sz w:val="19"/>
                <w:rtl w:val="1"/>
              </w:rPr>
              <w:t>المخرج/النتيجة</w:t>
            </w:r>
          </w:p>
        </w:tc>
      </w:tr>
      <w:tr>
        <w:trPr>
          <w:cantSplit/>
        </w:trPr>
        <w:tc>
          <w:tcPr>
            <w:tcW w:type="dxa" w:w="567"/>
            <w:vAlign w:val="center"/>
            <w:shd w:fill="F2F2F2"/>
          </w:tcPr>
          <w:p>
            <w:pPr>
              <w:bidi w:val="1"/>
              <w:jc w:val="right"/>
            </w:pPr>
            <w:r>
              <w:rPr>
                <w:rFonts w:cs="Arial"/>
                <w:b/>
                <w:color w:val="1F2A44"/>
                <w:sz w:val="16"/>
                <w:rtl w:val="1"/>
              </w:rPr>
              <w:t>1</w:t>
            </w:r>
          </w:p>
        </w:tc>
        <w:tc>
          <w:tcPr>
            <w:tcW w:type="dxa" w:w="2835"/>
            <w:vAlign w:val="center"/>
            <w:shd w:fill="F2F2F2"/>
          </w:tcPr>
          <w:p>
            <w:pPr>
              <w:bidi w:val="1"/>
              <w:jc w:val="right"/>
            </w:pPr>
            <w:r>
              <w:rPr>
                <w:rFonts w:cs="Arial"/>
                <w:color w:val="262626"/>
                <w:sz w:val="16"/>
                <w:rtl w:val="1"/>
              </w:rPr>
              <w:t>الإعداد والتهيئة — صدور قرار المراجعة وإشعار المالكين</w:t>
            </w:r>
          </w:p>
        </w:tc>
        <w:tc>
          <w:tcPr>
            <w:tcW w:type="dxa" w:w="1701"/>
            <w:vAlign w:val="center"/>
            <w:shd w:fill="F2F2F2"/>
          </w:tcPr>
          <w:p>
            <w:pPr>
              <w:bidi w:val="1"/>
              <w:jc w:val="right"/>
            </w:pPr>
            <w:r>
              <w:rPr>
                <w:rFonts w:cs="Arial"/>
                <w:color w:val="262626"/>
                <w:sz w:val="16"/>
                <w:rtl w:val="1"/>
              </w:rPr>
              <w:t>1–4 مايو 2026</w:t>
            </w:r>
          </w:p>
        </w:tc>
        <w:tc>
          <w:tcPr>
            <w:tcW w:type="dxa" w:w="3402"/>
            <w:vAlign w:val="center"/>
            <w:shd w:fill="F2F2F2"/>
          </w:tcPr>
          <w:p>
            <w:pPr>
              <w:bidi w:val="1"/>
              <w:jc w:val="right"/>
            </w:pPr>
            <w:r>
              <w:rPr>
                <w:rFonts w:cs="Arial"/>
                <w:color w:val="262626"/>
                <w:sz w:val="16"/>
                <w:rtl w:val="1"/>
              </w:rPr>
              <w:t>تم إصدار قرار المراجعة وتعبئة NM-DC-FR-01 وإرسال الإشعار لـ 12 مالك بيانات</w:t>
            </w:r>
          </w:p>
        </w:tc>
      </w:tr>
      <w:tr>
        <w:trPr>
          <w:cantSplit/>
        </w:trPr>
        <w:tc>
          <w:tcPr>
            <w:tcW w:type="dxa" w:w="567"/>
            <w:vAlign w:val="center"/>
          </w:tcPr>
          <w:p>
            <w:pPr>
              <w:bidi w:val="1"/>
              <w:jc w:val="right"/>
            </w:pPr>
            <w:r>
              <w:rPr>
                <w:rFonts w:cs="Arial"/>
                <w:b/>
                <w:color w:val="1F2A44"/>
                <w:sz w:val="16"/>
                <w:rtl w:val="1"/>
              </w:rPr>
              <w:t>2</w:t>
            </w:r>
          </w:p>
        </w:tc>
        <w:tc>
          <w:tcPr>
            <w:tcW w:type="dxa" w:w="2835"/>
            <w:vAlign w:val="center"/>
          </w:tcPr>
          <w:p>
            <w:pPr>
              <w:bidi w:val="1"/>
              <w:jc w:val="right"/>
            </w:pPr>
            <w:r>
              <w:rPr>
                <w:rFonts w:cs="Arial"/>
                <w:color w:val="262626"/>
                <w:sz w:val="16"/>
                <w:rtl w:val="1"/>
              </w:rPr>
              <w:t>جمع البيانات الوصفية للأصول الثلاثين</w:t>
            </w:r>
          </w:p>
        </w:tc>
        <w:tc>
          <w:tcPr>
            <w:tcW w:type="dxa" w:w="1701"/>
            <w:vAlign w:val="center"/>
          </w:tcPr>
          <w:p>
            <w:pPr>
              <w:bidi w:val="1"/>
              <w:jc w:val="right"/>
            </w:pPr>
            <w:r>
              <w:rPr>
                <w:rFonts w:cs="Arial"/>
                <w:color w:val="262626"/>
                <w:sz w:val="16"/>
                <w:rtl w:val="1"/>
              </w:rPr>
              <w:t>5–12 مايو 2026</w:t>
            </w:r>
          </w:p>
        </w:tc>
        <w:tc>
          <w:tcPr>
            <w:tcW w:type="dxa" w:w="3402"/>
            <w:vAlign w:val="center"/>
          </w:tcPr>
          <w:p>
            <w:pPr>
              <w:bidi w:val="1"/>
              <w:jc w:val="right"/>
            </w:pPr>
            <w:r>
              <w:rPr>
                <w:rFonts w:cs="Arial"/>
                <w:color w:val="262626"/>
                <w:sz w:val="16"/>
                <w:rtl w:val="1"/>
              </w:rPr>
              <w:t>تم تعبئة 30 نموذج NM-DC-FR-02 باستيفاء جميع الحقول الإلزامية</w:t>
            </w:r>
          </w:p>
        </w:tc>
      </w:tr>
      <w:tr>
        <w:trPr>
          <w:cantSplit/>
        </w:trPr>
        <w:tc>
          <w:tcPr>
            <w:tcW w:type="dxa" w:w="567"/>
            <w:vAlign w:val="center"/>
            <w:shd w:fill="F2F2F2"/>
          </w:tcPr>
          <w:p>
            <w:pPr>
              <w:bidi w:val="1"/>
              <w:jc w:val="right"/>
            </w:pPr>
            <w:r>
              <w:rPr>
                <w:rFonts w:cs="Arial"/>
                <w:b/>
                <w:color w:val="1F2A44"/>
                <w:sz w:val="16"/>
                <w:rtl w:val="1"/>
              </w:rPr>
              <w:t>3</w:t>
            </w:r>
          </w:p>
        </w:tc>
        <w:tc>
          <w:tcPr>
            <w:tcW w:type="dxa" w:w="2835"/>
            <w:vAlign w:val="center"/>
            <w:shd w:fill="F2F2F2"/>
          </w:tcPr>
          <w:p>
            <w:pPr>
              <w:bidi w:val="1"/>
              <w:jc w:val="right"/>
            </w:pPr>
            <w:r>
              <w:rPr>
                <w:rFonts w:cs="Arial"/>
                <w:color w:val="262626"/>
                <w:sz w:val="16"/>
                <w:rtl w:val="1"/>
              </w:rPr>
              <w:t>التحقق من دقة البيانات الوصفية المجمَّعة</w:t>
            </w:r>
          </w:p>
        </w:tc>
        <w:tc>
          <w:tcPr>
            <w:tcW w:type="dxa" w:w="1701"/>
            <w:vAlign w:val="center"/>
            <w:shd w:fill="F2F2F2"/>
          </w:tcPr>
          <w:p>
            <w:pPr>
              <w:bidi w:val="1"/>
              <w:jc w:val="right"/>
            </w:pPr>
            <w:r>
              <w:rPr>
                <w:rFonts w:cs="Arial"/>
                <w:color w:val="262626"/>
                <w:sz w:val="16"/>
                <w:rtl w:val="1"/>
              </w:rPr>
              <w:t>13–16 مايو 2026</w:t>
            </w:r>
          </w:p>
        </w:tc>
        <w:tc>
          <w:tcPr>
            <w:tcW w:type="dxa" w:w="3402"/>
            <w:vAlign w:val="center"/>
            <w:shd w:fill="F2F2F2"/>
          </w:tcPr>
          <w:p>
            <w:pPr>
              <w:bidi w:val="1"/>
              <w:jc w:val="right"/>
            </w:pPr>
            <w:r>
              <w:rPr>
                <w:rFonts w:cs="Arial"/>
                <w:color w:val="262626"/>
                <w:sz w:val="16"/>
                <w:rtl w:val="1"/>
              </w:rPr>
              <w:t>اكتملت البيانات لـ 30 أصلاً؛ تم تحديث 3 حقول وصفية خاطئة لأصول غير ذات صلة بالتصنيف</w:t>
            </w:r>
          </w:p>
        </w:tc>
      </w:tr>
      <w:tr>
        <w:trPr>
          <w:cantSplit/>
        </w:trPr>
        <w:tc>
          <w:tcPr>
            <w:tcW w:type="dxa" w:w="567"/>
            <w:vAlign w:val="center"/>
          </w:tcPr>
          <w:p>
            <w:pPr>
              <w:bidi w:val="1"/>
              <w:jc w:val="right"/>
            </w:pPr>
            <w:r>
              <w:rPr>
                <w:rFonts w:cs="Arial"/>
                <w:b/>
                <w:color w:val="1F2A44"/>
                <w:sz w:val="16"/>
                <w:rtl w:val="1"/>
              </w:rPr>
              <w:t>4</w:t>
            </w:r>
          </w:p>
        </w:tc>
        <w:tc>
          <w:tcPr>
            <w:tcW w:type="dxa" w:w="2835"/>
            <w:vAlign w:val="center"/>
          </w:tcPr>
          <w:p>
            <w:pPr>
              <w:bidi w:val="1"/>
              <w:jc w:val="right"/>
            </w:pPr>
            <w:r>
              <w:rPr>
                <w:rFonts w:cs="Arial"/>
                <w:color w:val="262626"/>
                <w:sz w:val="16"/>
                <w:rtl w:val="1"/>
              </w:rPr>
              <w:t>التحقق من مستويات التصنيف</w:t>
            </w:r>
          </w:p>
        </w:tc>
        <w:tc>
          <w:tcPr>
            <w:tcW w:type="dxa" w:w="1701"/>
            <w:vAlign w:val="center"/>
          </w:tcPr>
          <w:p>
            <w:pPr>
              <w:bidi w:val="1"/>
              <w:jc w:val="right"/>
            </w:pPr>
            <w:r>
              <w:rPr>
                <w:rFonts w:cs="Arial"/>
                <w:color w:val="262626"/>
                <w:sz w:val="16"/>
                <w:rtl w:val="1"/>
              </w:rPr>
              <w:t>19–26 مايو 2026</w:t>
            </w:r>
          </w:p>
        </w:tc>
        <w:tc>
          <w:tcPr>
            <w:tcW w:type="dxa" w:w="3402"/>
            <w:vAlign w:val="center"/>
          </w:tcPr>
          <w:p>
            <w:pPr>
              <w:bidi w:val="1"/>
              <w:jc w:val="right"/>
            </w:pPr>
            <w:r>
              <w:rPr>
                <w:rFonts w:cs="Arial"/>
                <w:color w:val="262626"/>
                <w:sz w:val="16"/>
                <w:rtl w:val="1"/>
              </w:rPr>
              <w:t>أُجريت مقارنة شاملة بمصفوفة الأثر DC.M.6؛ تم تحديد 3 حالات تستوجب تعديل التصنيف</w:t>
            </w:r>
          </w:p>
        </w:tc>
      </w:tr>
      <w:tr>
        <w:trPr>
          <w:cantSplit/>
        </w:trPr>
        <w:tc>
          <w:tcPr>
            <w:tcW w:type="dxa" w:w="567"/>
            <w:vAlign w:val="center"/>
            <w:shd w:fill="F2F2F2"/>
          </w:tcPr>
          <w:p>
            <w:pPr>
              <w:bidi w:val="1"/>
              <w:jc w:val="right"/>
            </w:pPr>
            <w:r>
              <w:rPr>
                <w:rFonts w:cs="Arial"/>
                <w:b/>
                <w:color w:val="1F2A44"/>
                <w:sz w:val="16"/>
                <w:rtl w:val="1"/>
              </w:rPr>
              <w:t>5</w:t>
            </w:r>
          </w:p>
        </w:tc>
        <w:tc>
          <w:tcPr>
            <w:tcW w:type="dxa" w:w="2835"/>
            <w:vAlign w:val="center"/>
            <w:shd w:fill="F2F2F2"/>
          </w:tcPr>
          <w:p>
            <w:pPr>
              <w:bidi w:val="1"/>
              <w:jc w:val="right"/>
            </w:pPr>
            <w:r>
              <w:rPr>
                <w:rFonts w:cs="Arial"/>
                <w:color w:val="262626"/>
                <w:sz w:val="16"/>
                <w:rtl w:val="1"/>
              </w:rPr>
              <w:t>التحقق من صلاحيات الوصول</w:t>
            </w:r>
          </w:p>
        </w:tc>
        <w:tc>
          <w:tcPr>
            <w:tcW w:type="dxa" w:w="1701"/>
            <w:vAlign w:val="center"/>
            <w:shd w:fill="F2F2F2"/>
          </w:tcPr>
          <w:p>
            <w:pPr>
              <w:bidi w:val="1"/>
              <w:jc w:val="right"/>
            </w:pPr>
            <w:r>
              <w:rPr>
                <w:rFonts w:cs="Arial"/>
                <w:color w:val="262626"/>
                <w:sz w:val="16"/>
                <w:rtl w:val="1"/>
              </w:rPr>
              <w:t>27–29 مايو 2026</w:t>
            </w:r>
          </w:p>
        </w:tc>
        <w:tc>
          <w:tcPr>
            <w:tcW w:type="dxa" w:w="3402"/>
            <w:vAlign w:val="center"/>
            <w:shd w:fill="F2F2F2"/>
          </w:tcPr>
          <w:p>
            <w:pPr>
              <w:bidi w:val="1"/>
              <w:jc w:val="right"/>
            </w:pPr>
            <w:r>
              <w:rPr>
                <w:rFonts w:cs="Arial"/>
                <w:color w:val="262626"/>
                <w:sz w:val="16"/>
                <w:rtl w:val="1"/>
              </w:rPr>
              <w:t>مراجعة صلاحيات 30 أصلاً؛ لا توجد مخالفات صلاحية جوهرية</w:t>
            </w:r>
          </w:p>
        </w:tc>
      </w:tr>
      <w:tr>
        <w:trPr>
          <w:cantSplit/>
        </w:trPr>
        <w:tc>
          <w:tcPr>
            <w:tcW w:type="dxa" w:w="567"/>
            <w:vAlign w:val="center"/>
          </w:tcPr>
          <w:p>
            <w:pPr>
              <w:bidi w:val="1"/>
              <w:jc w:val="right"/>
            </w:pPr>
            <w:r>
              <w:rPr>
                <w:rFonts w:cs="Arial"/>
                <w:b/>
                <w:color w:val="1F2A44"/>
                <w:sz w:val="16"/>
                <w:rtl w:val="1"/>
              </w:rPr>
              <w:t>6</w:t>
            </w:r>
          </w:p>
        </w:tc>
        <w:tc>
          <w:tcPr>
            <w:tcW w:type="dxa" w:w="2835"/>
            <w:vAlign w:val="center"/>
          </w:tcPr>
          <w:p>
            <w:pPr>
              <w:bidi w:val="1"/>
              <w:jc w:val="right"/>
            </w:pPr>
            <w:r>
              <w:rPr>
                <w:rFonts w:cs="Arial"/>
                <w:color w:val="262626"/>
                <w:sz w:val="16"/>
                <w:rtl w:val="1"/>
              </w:rPr>
              <w:t>تحديد الأخطاء وإعداد توصيات التصحيح</w:t>
            </w:r>
          </w:p>
        </w:tc>
        <w:tc>
          <w:tcPr>
            <w:tcW w:type="dxa" w:w="1701"/>
            <w:vAlign w:val="center"/>
          </w:tcPr>
          <w:p>
            <w:pPr>
              <w:bidi w:val="1"/>
              <w:jc w:val="right"/>
            </w:pPr>
            <w:r>
              <w:rPr>
                <w:rFonts w:cs="Arial"/>
                <w:color w:val="262626"/>
                <w:sz w:val="16"/>
                <w:rtl w:val="1"/>
              </w:rPr>
              <w:t>1–4 يونيو 2026</w:t>
            </w:r>
          </w:p>
        </w:tc>
        <w:tc>
          <w:tcPr>
            <w:tcW w:type="dxa" w:w="3402"/>
            <w:vAlign w:val="center"/>
          </w:tcPr>
          <w:p>
            <w:pPr>
              <w:bidi w:val="1"/>
              <w:jc w:val="right"/>
            </w:pPr>
            <w:r>
              <w:rPr>
                <w:rFonts w:cs="Arial"/>
                <w:color w:val="262626"/>
                <w:sz w:val="16"/>
                <w:rtl w:val="1"/>
              </w:rPr>
              <w:t>إعداد NM-DC-SR-02 بـ 3 توصيات تصحيح مع مبرراتها</w:t>
            </w:r>
          </w:p>
        </w:tc>
      </w:tr>
      <w:tr>
        <w:trPr>
          <w:cantSplit/>
        </w:trPr>
        <w:tc>
          <w:tcPr>
            <w:tcW w:type="dxa" w:w="567"/>
            <w:vAlign w:val="center"/>
            <w:shd w:fill="F2F2F2"/>
          </w:tcPr>
          <w:p>
            <w:pPr>
              <w:bidi w:val="1"/>
              <w:jc w:val="right"/>
            </w:pPr>
            <w:r>
              <w:rPr>
                <w:rFonts w:cs="Arial"/>
                <w:b/>
                <w:color w:val="1F2A44"/>
                <w:sz w:val="16"/>
                <w:rtl w:val="1"/>
              </w:rPr>
              <w:t>7</w:t>
            </w:r>
          </w:p>
        </w:tc>
        <w:tc>
          <w:tcPr>
            <w:tcW w:type="dxa" w:w="2835"/>
            <w:vAlign w:val="center"/>
            <w:shd w:fill="F2F2F2"/>
          </w:tcPr>
          <w:p>
            <w:pPr>
              <w:bidi w:val="1"/>
              <w:jc w:val="right"/>
            </w:pPr>
            <w:r>
              <w:rPr>
                <w:rFonts w:cs="Arial"/>
                <w:color w:val="262626"/>
                <w:sz w:val="16"/>
                <w:rtl w:val="1"/>
              </w:rPr>
              <w:t>اعتماد التصحيحات من مدير مكتب إدارة البيانات</w:t>
            </w:r>
          </w:p>
        </w:tc>
        <w:tc>
          <w:tcPr>
            <w:tcW w:type="dxa" w:w="1701"/>
            <w:vAlign w:val="center"/>
            <w:shd w:fill="F2F2F2"/>
          </w:tcPr>
          <w:p>
            <w:pPr>
              <w:bidi w:val="1"/>
              <w:jc w:val="right"/>
            </w:pPr>
            <w:r>
              <w:rPr>
                <w:rFonts w:cs="Arial"/>
                <w:color w:val="262626"/>
                <w:sz w:val="16"/>
                <w:rtl w:val="1"/>
              </w:rPr>
              <w:t>5–8 يونيو 2026</w:t>
            </w:r>
          </w:p>
        </w:tc>
        <w:tc>
          <w:tcPr>
            <w:tcW w:type="dxa" w:w="3402"/>
            <w:vAlign w:val="center"/>
            <w:shd w:fill="F2F2F2"/>
          </w:tcPr>
          <w:p>
            <w:pPr>
              <w:bidi w:val="1"/>
              <w:jc w:val="right"/>
            </w:pPr>
            <w:r>
              <w:rPr>
                <w:rFonts w:cs="Arial"/>
                <w:color w:val="262626"/>
                <w:sz w:val="16"/>
                <w:rtl w:val="1"/>
              </w:rPr>
              <w:t>اعتماد 3 قرارات تصنيف معدَّلة وتوقيع 3 نماذج NM-DC-FR-04</w:t>
            </w:r>
          </w:p>
        </w:tc>
      </w:tr>
      <w:tr>
        <w:trPr>
          <w:cantSplit/>
        </w:trPr>
        <w:tc>
          <w:tcPr>
            <w:tcW w:type="dxa" w:w="567"/>
            <w:vAlign w:val="center"/>
          </w:tcPr>
          <w:p>
            <w:pPr>
              <w:bidi w:val="1"/>
              <w:jc w:val="right"/>
            </w:pPr>
            <w:r>
              <w:rPr>
                <w:rFonts w:cs="Arial"/>
                <w:b/>
                <w:color w:val="1F2A44"/>
                <w:sz w:val="16"/>
                <w:rtl w:val="1"/>
              </w:rPr>
              <w:t>8</w:t>
            </w:r>
          </w:p>
        </w:tc>
        <w:tc>
          <w:tcPr>
            <w:tcW w:type="dxa" w:w="2835"/>
            <w:vAlign w:val="center"/>
          </w:tcPr>
          <w:p>
            <w:pPr>
              <w:bidi w:val="1"/>
              <w:jc w:val="right"/>
            </w:pPr>
            <w:r>
              <w:rPr>
                <w:rFonts w:cs="Arial"/>
                <w:color w:val="262626"/>
                <w:sz w:val="16"/>
                <w:rtl w:val="1"/>
              </w:rPr>
              <w:t>التوثيق: تحديث DC.C.5.1 وإعداد التقرير</w:t>
            </w:r>
          </w:p>
        </w:tc>
        <w:tc>
          <w:tcPr>
            <w:tcW w:type="dxa" w:w="1701"/>
            <w:vAlign w:val="center"/>
          </w:tcPr>
          <w:p>
            <w:pPr>
              <w:bidi w:val="1"/>
              <w:jc w:val="right"/>
            </w:pPr>
            <w:r>
              <w:rPr>
                <w:rFonts w:cs="Arial"/>
                <w:color w:val="262626"/>
                <w:sz w:val="16"/>
                <w:rtl w:val="1"/>
              </w:rPr>
              <w:t>9–15 يونيو 2026</w:t>
            </w:r>
          </w:p>
        </w:tc>
        <w:tc>
          <w:tcPr>
            <w:tcW w:type="dxa" w:w="3402"/>
            <w:vAlign w:val="center"/>
          </w:tcPr>
          <w:p>
            <w:pPr>
              <w:bidi w:val="1"/>
              <w:jc w:val="right"/>
            </w:pPr>
            <w:r>
              <w:rPr>
                <w:rFonts w:cs="Arial"/>
                <w:color w:val="262626"/>
                <w:sz w:val="16"/>
                <w:rtl w:val="1"/>
              </w:rPr>
              <w:t>تحديث سجل DC.C.5.1 وفهرس SGSA Data Catalog وإصدار هذا التقرير NM-DC-SR-01</w:t>
            </w:r>
          </w:p>
        </w:tc>
      </w:tr>
    </w:tbl>
    <w:p/>
    <w:p>
      <w:pPr>
        <w:bidi w:val="1"/>
        <w:jc w:val="right"/>
      </w:pPr>
      <w:r>
        <w:rPr>
          <w:rFonts w:cs="Arial"/>
          <w:b/>
          <w:color w:val="1B2A4E"/>
          <w:sz w:val="26"/>
          <w:rtl w:val="1"/>
        </w:rPr>
        <w:t>4.  القيمة المُثبَتة وحدود البيانات المتاحة</w:t>
      </w:r>
    </w:p>
    <w:p>
      <w:pPr>
        <w:bidi w:val="1"/>
        <w:jc w:val="right"/>
      </w:pPr>
      <w:r>
        <w:rPr>
          <w:rFonts w:cs="Arial"/>
          <w:b/>
          <w:i w:val="0"/>
          <w:color w:val="262626"/>
          <w:sz w:val="20"/>
          <w:rtl w:val="1"/>
        </w:rPr>
        <w:t>القيمة الإجمالية كما وردت في المصدر:</w:t>
      </w:r>
    </w:p>
    <w:p>
      <w:pPr>
        <w:bidi w:val="1"/>
        <w:jc w:val="right"/>
      </w:pPr>
      <w:r>
        <w:rPr>
          <w:rFonts w:cs="Arial"/>
          <w:b w:val="0"/>
          <w:i w:val="0"/>
          <w:color w:val="262626"/>
          <w:sz w:val="19"/>
          <w:rtl w:val="1"/>
        </w:rPr>
        <w:t>تم تنفيذ جميع المراحل الثماني لدورة المراجعة ضمن الفترة المعتمدة رسمياً (1 مايو – 15 يونيو 2026)، وانتهت آخر مرحلة (التوثيق وإصدار التقرير) في الفترة 9–15 يونيو 2026، أي في حدود نهاية الفترة المعتمدة تماماً دون أي تجاوز لأي مرحلة.</w:t>
      </w:r>
    </w:p>
    <w:p/>
    <w:p>
      <w:pPr>
        <w:bidi w:val="1"/>
        <w:jc w:val="right"/>
      </w:pPr>
      <w:r>
        <w:rPr>
          <w:rFonts w:cs="Arial"/>
          <w:b/>
          <w:i w:val="0"/>
          <w:color w:val="262626"/>
          <w:sz w:val="20"/>
          <w:rtl w:val="1"/>
        </w:rPr>
        <w:t>ملاحظة بشأن البيانات التفصيلية غير المتاحة:</w:t>
      </w:r>
    </w:p>
    <w:p>
      <w:pPr>
        <w:bidi w:val="1"/>
        <w:jc w:val="right"/>
      </w:pPr>
      <w:r>
        <w:rPr>
          <w:rFonts w:cs="Arial"/>
          <w:b w:val="0"/>
          <w:i w:val="0"/>
          <w:color w:val="595959"/>
          <w:sz w:val="18"/>
          <w:rtl w:val="1"/>
        </w:rPr>
        <w:t>لا يتضمن DC.C.3.4 (ولا أي من المصادر الثلاثة المسموح بها: DC.C.3.4، DC.C.3.5، DC.C.5.1) سجلاً منفصلاً على مستوى «المهمة» يوازن تاريخاً مخططاً بتاريخ فعلي لكل بند من بنود الجدول الزمني. البيانات التفصيلية من هذا النوع ترد فقط في وثيقة «خطة المراجعة السنوية 2026»، وهي وثيقة تخطيطية داخلية أشار إليها DC.M.12 كمصدر بيانات لهذا المؤشر لكنها ليست من المصادر الثلاثة المعتمدة لهذا التمرين. لذلك يقتصر هذا السجل على توثيق التسلسل الزمني الفعلي الإجمالي لمراحل الدورة كما ورد حرفياً في DC.C.3.4، دون افتراض بيانات مهام تفصيلية غير موجودة ضمن المصادر المعتمدة.</w:t>
      </w:r>
    </w:p>
    <w:p/>
    <w:p>
      <w:pPr>
        <w:bidi w:val="1"/>
        <w:jc w:val="right"/>
      </w:pPr>
      <w:r>
        <w:rPr>
          <w:rFonts w:cs="Arial"/>
          <w:b/>
          <w:color w:val="1B2A4E"/>
          <w:sz w:val="26"/>
          <w:rtl w:val="1"/>
        </w:rPr>
        <w:t>5.  النتيجة والتحقق مقابل DC.M.12</w:t>
      </w:r>
    </w:p>
    <w:tbl>
      <w:tblPr>
        <w:tblStyle w:val="TableGrid"/>
        <w:tblW w:type="auto" w:w="0"/>
        <w:tblLook w:firstColumn="1" w:firstRow="1" w:lastColumn="0" w:lastRow="0" w:noHBand="0" w:noVBand="1" w:val="04A0"/>
        <w:bidiVisual w:val="1"/>
      </w:tblPr>
      <w:tblGrid>
        <w:gridCol w:w="3685"/>
        <w:gridCol w:w="5386"/>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3685"/>
            <w:vAlign w:val="center"/>
            <w:shd w:fill="F2F2F2"/>
          </w:tcPr>
          <w:p>
            <w:pPr>
              <w:bidi w:val="1"/>
              <w:jc w:val="right"/>
            </w:pPr>
            <w:r>
              <w:rPr>
                <w:rFonts w:cs="Arial"/>
                <w:b/>
                <w:color w:val="1B2A4E"/>
                <w:sz w:val="17"/>
                <w:rtl w:val="1"/>
              </w:rPr>
              <w:t>القيمة المستهدفة (DC.M.12)</w:t>
            </w:r>
          </w:p>
        </w:tc>
        <w:tc>
          <w:tcPr>
            <w:tcW w:type="dxa" w:w="5386"/>
            <w:vAlign w:val="center"/>
            <w:shd w:fill="F2F2F2"/>
          </w:tcPr>
          <w:p>
            <w:pPr>
              <w:bidi w:val="1"/>
              <w:jc w:val="center"/>
            </w:pPr>
            <w:r>
              <w:rPr>
                <w:rFonts w:cs="Arial"/>
                <w:b/>
                <w:color w:val="8A6D00"/>
                <w:sz w:val="17"/>
                <w:rtl w:val="1"/>
              </w:rPr>
              <w:t>≥ 90%</w:t>
            </w:r>
          </w:p>
        </w:tc>
      </w:tr>
      <w:tr>
        <w:trPr>
          <w:cantSplit/>
        </w:trPr>
        <w:tc>
          <w:tcPr>
            <w:tcW w:type="dxa" w:w="3685"/>
            <w:vAlign w:val="center"/>
          </w:tcPr>
          <w:p>
            <w:pPr>
              <w:bidi w:val="1"/>
              <w:jc w:val="right"/>
            </w:pPr>
            <w:r>
              <w:rPr>
                <w:rFonts w:cs="Arial"/>
                <w:b/>
                <w:color w:val="1B2A4E"/>
                <w:sz w:val="17"/>
                <w:rtl w:val="1"/>
              </w:rPr>
              <w:t>القيمة الفعلية المُثبَتة في DC.M.12</w:t>
            </w:r>
          </w:p>
        </w:tc>
        <w:tc>
          <w:tcPr>
            <w:tcW w:type="dxa" w:w="5386"/>
            <w:vAlign w:val="center"/>
          </w:tcPr>
          <w:p>
            <w:pPr>
              <w:bidi w:val="1"/>
              <w:jc w:val="center"/>
            </w:pPr>
            <w:r>
              <w:rPr>
                <w:rFonts w:cs="Arial"/>
                <w:b/>
                <w:color w:val="8A6D00"/>
                <w:sz w:val="17"/>
                <w:rtl w:val="1"/>
              </w:rPr>
              <w:t>100% (اكتملت جميع مراحل الدورة في مواعيدها)</w:t>
            </w:r>
          </w:p>
        </w:tc>
      </w:tr>
      <w:tr>
        <w:trPr>
          <w:cantSplit/>
        </w:trPr>
        <w:tc>
          <w:tcPr>
            <w:tcW w:type="dxa" w:w="3685"/>
            <w:vAlign w:val="center"/>
            <w:shd w:fill="F2F2F2"/>
          </w:tcPr>
          <w:p>
            <w:pPr>
              <w:bidi w:val="1"/>
              <w:jc w:val="right"/>
            </w:pPr>
            <w:r>
              <w:rPr>
                <w:rFonts w:cs="Arial"/>
                <w:b/>
                <w:color w:val="1B2A4E"/>
                <w:sz w:val="17"/>
                <w:rtl w:val="1"/>
              </w:rPr>
              <w:t>حالة الإنجاز في DC.M.12</w:t>
            </w:r>
          </w:p>
        </w:tc>
        <w:tc>
          <w:tcPr>
            <w:tcW w:type="dxa" w:w="5386"/>
            <w:vAlign w:val="center"/>
            <w:shd w:fill="F2F2F2"/>
          </w:tcPr>
          <w:p>
            <w:pPr>
              <w:bidi w:val="1"/>
              <w:jc w:val="center"/>
            </w:pPr>
            <w:r>
              <w:rPr>
                <w:rFonts w:cs="Arial"/>
                <w:b/>
                <w:color w:val="1F6F43"/>
                <w:sz w:val="17"/>
                <w:rtl w:val="1"/>
              </w:rPr>
              <w:t>محقق</w:t>
            </w:r>
          </w:p>
        </w:tc>
      </w:tr>
      <w:tr>
        <w:trPr>
          <w:cantSplit/>
        </w:trPr>
        <w:tc>
          <w:tcPr>
            <w:tcW w:type="dxa" w:w="3685"/>
            <w:vAlign w:val="center"/>
          </w:tcPr>
          <w:p>
            <w:pPr>
              <w:bidi w:val="1"/>
              <w:jc w:val="right"/>
            </w:pPr>
            <w:r>
              <w:rPr>
                <w:rFonts w:cs="Arial"/>
                <w:b/>
                <w:color w:val="1B2A4E"/>
                <w:sz w:val="17"/>
                <w:rtl w:val="1"/>
              </w:rPr>
              <w:t>مرجع التحقق في DC.M.12</w:t>
            </w:r>
          </w:p>
        </w:tc>
        <w:tc>
          <w:tcPr>
            <w:tcW w:type="dxa" w:w="5386"/>
            <w:vAlign w:val="center"/>
          </w:tcPr>
          <w:p>
            <w:pPr>
              <w:bidi w:val="1"/>
              <w:jc w:val="center"/>
            </w:pPr>
            <w:r>
              <w:rPr>
                <w:rFonts w:cs="Arial"/>
                <w:b/>
                <w:color w:val="8A6D00"/>
                <w:sz w:val="17"/>
                <w:rtl w:val="1"/>
              </w:rPr>
              <w:t>DC.M.12، القسم 9.2 (بطاقة KPI-DC-MR-02)، الحقلان 6–7</w:t>
            </w:r>
          </w:p>
        </w:tc>
      </w:tr>
    </w:tbl>
    <w:p/>
    <w:p>
      <w:pPr>
        <w:bidi w:val="1"/>
        <w:jc w:val="right"/>
      </w:pPr>
      <w:r>
        <w:rPr>
          <w:rFonts w:cs="Arial"/>
          <w:b w:val="0"/>
          <w:i w:val="0"/>
          <w:color w:val="262626"/>
          <w:sz w:val="19"/>
          <w:rtl w:val="1"/>
        </w:rPr>
        <w:t>التسلسل الزمني الموثق (اكتمال المراحل الثماني خلال الفترة المعتمدة دون أي تجاوز) متسق مع القيمة الفعلية المُعلَنة في DC.M.12 (القسم 9.2، الحقل 7: «100% (اكتملت جميع مراحل الدورة في مواعيدها)»)، وللحالة المُعلَنة «محقق» مقابل هدف ≥ 90%.</w:t>
      </w:r>
    </w:p>
    <w:p/>
    <w:p>
      <w:pPr>
        <w:bidi w:val="1"/>
        <w:jc w:val="right"/>
      </w:pPr>
      <w:r>
        <w:rPr>
          <w:rFonts w:cs="Arial"/>
          <w:b/>
          <w:color w:val="1B2A4E"/>
          <w:sz w:val="26"/>
          <w:rtl w:val="1"/>
        </w:rPr>
        <w:t>6.  الاعتماد</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DC.C.3.4 دون أي إضافة أو حذف أو تعديل، ومن مطابقة نتيجته النهائية للقيمة الفعلية الموثقة في DC.M.12.</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بيانات وطريقة إثبات مؤشر KPI-DC-MR-02 دون تعديل أي محتوى في تقرير DC.M.12 أو الوثائق المصدر.</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