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bidiVisual w:val="1"/>
      </w:tblPr>
      <w:tblGrid>
        <w:gridCol w:w="10200"/>
      </w:tblGrid>
      <w:tr>
        <w:tc>
          <w:tcPr>
            <w:tcW w:type="dxa" w:w="10200"/>
            <w:shd w:fill="1B2A4E"/>
            <w:vAlign w:val="center"/>
          </w:tcPr>
          <w:p>
            <w:pPr>
              <w:bidi w:val="1"/>
              <w:spacing w:before="120" w:after="120"/>
              <w:jc w:val="right"/>
            </w:pPr>
            <w:r>
              <w:rPr>
                <w:rFonts w:cs="Arial"/>
                <w:b/>
                <w:color w:val="FFFFFF"/>
                <w:sz w:val="36"/>
                <w:rtl w:val="1"/>
              </w:rPr>
              <w:t>هيئة الخدمات الحكومية الذكية (SGSA)</w:t>
            </w:r>
          </w:p>
        </w:tc>
      </w:tr>
    </w:tbl>
    <w:p/>
    <w:p>
      <w:pPr>
        <w:bidi w:val="1"/>
        <w:jc w:val="right"/>
      </w:pPr>
      <w:r>
        <w:rPr>
          <w:rFonts w:cs="Arial"/>
          <w:b/>
          <w:i w:val="0"/>
          <w:color w:val="29C79A"/>
          <w:sz w:val="21"/>
          <w:rtl w:val="1"/>
        </w:rPr>
      </w:r>
    </w:p>
    <w:p>
      <w:pPr>
        <w:bidi w:val="1"/>
        <w:jc w:val="right"/>
      </w:pPr>
      <w:r>
        <w:rPr>
          <w:rFonts w:cs="Arial"/>
          <w:b/>
          <w:color w:val="1B2A4E"/>
          <w:sz w:val="29"/>
          <w:rtl w:val="1"/>
        </w:rPr>
        <w:t>سجل احتساب مؤشر نسبة تعيين ملاك البيانات (DC-KPI-02)</w:t>
      </w:r>
    </w:p>
    <w:p>
      <w:pPr>
        <w:bidi w:val="1"/>
        <w:jc w:val="right"/>
      </w:pPr>
      <w:r>
        <w:rPr>
          <w:rFonts w:cs="Arial"/>
          <w:b w:val="0"/>
          <w:i/>
          <w:color w:val="29C79A"/>
          <w:sz w:val="22"/>
          <w:rtl w:val="1"/>
        </w:rPr>
        <w:t>Data Owner Assignment KPI Calculation Record</w:t>
      </w:r>
    </w:p>
    <w:p/>
    <w:tbl>
      <w:tblPr>
        <w:tblW w:type="auto" w:w="0"/>
        <w:tblLayout w:type="autofit"/>
        <w:tblLook w:firstColumn="1" w:firstRow="1" w:lastColumn="0" w:lastRow="0" w:noHBand="0" w:noVBand="1" w:val="04A0"/>
        <w:bidiVisual w:val="1"/>
      </w:tblPr>
      <w:tblGrid>
        <w:gridCol w:w="6236"/>
        <w:gridCol w:w="2835"/>
      </w:tblGrid>
      <w:tr>
        <w:tc>
          <w:tcPr>
            <w:tcW w:type="dxa" w:w="6236"/>
          </w:tcPr>
          <w:p>
            <w:pPr>
              <w:bidi w:val="1"/>
              <w:jc w:val="right"/>
            </w:pPr>
            <w:r>
              <w:rPr>
                <w:rFonts w:cs="Arial"/>
                <w:color w:val="262626"/>
                <w:sz w:val="18"/>
                <w:rtl w:val="1"/>
              </w:rPr>
              <w:t>هيئة الخدمات الحكومية الذكية (SGSA)</w:t>
            </w:r>
          </w:p>
        </w:tc>
        <w:tc>
          <w:tcPr>
            <w:tcW w:type="dxa" w:w="2835"/>
          </w:tcPr>
          <w:p>
            <w:pPr>
              <w:bidi w:val="1"/>
              <w:jc w:val="right"/>
            </w:pPr>
            <w:r>
              <w:rPr>
                <w:rFonts w:cs="Arial"/>
                <w:b/>
                <w:color w:val="595959"/>
                <w:sz w:val="18"/>
                <w:rtl w:val="1"/>
              </w:rPr>
              <w:t>الجهة</w:t>
            </w:r>
          </w:p>
        </w:tc>
      </w:tr>
      <w:tr>
        <w:tc>
          <w:tcPr>
            <w:tcW w:type="dxa" w:w="6236"/>
          </w:tcPr>
          <w:p>
            <w:pPr>
              <w:bidi w:val="1"/>
              <w:jc w:val="right"/>
            </w:pPr>
            <w:r>
              <w:rPr>
                <w:rFonts w:cs="Arial"/>
                <w:color w:val="262626"/>
                <w:sz w:val="18"/>
                <w:rtl w:val="1"/>
              </w:rPr>
            </w:r>
          </w:p>
        </w:tc>
        <w:tc>
          <w:tcPr>
            <w:tcW w:type="dxa" w:w="2835"/>
          </w:tcPr>
          <w:p>
            <w:pPr>
              <w:bidi w:val="1"/>
              <w:jc w:val="right"/>
            </w:pPr>
            <w:r>
              <w:rPr>
                <w:rFonts w:cs="Arial"/>
                <w:b/>
                <w:color w:val="595959"/>
                <w:sz w:val="18"/>
                <w:rtl w:val="1"/>
              </w:rPr>
              <w:t>المنصة</w:t>
            </w:r>
          </w:p>
        </w:tc>
      </w:tr>
      <w:tr>
        <w:tc>
          <w:tcPr>
            <w:tcW w:type="dxa" w:w="6236"/>
          </w:tcPr>
          <w:p>
            <w:pPr>
              <w:bidi w:val="1"/>
              <w:jc w:val="right"/>
            </w:pPr>
            <w:r>
              <w:rPr>
                <w:rFonts w:cs="Arial"/>
                <w:color w:val="262626"/>
                <w:sz w:val="18"/>
                <w:rtl w:val="1"/>
              </w:rPr>
              <w:t>إطار حوكمة البيانات الوطني (NDMO)</w:t>
            </w:r>
          </w:p>
        </w:tc>
        <w:tc>
          <w:tcPr>
            <w:tcW w:type="dxa" w:w="2835"/>
          </w:tcPr>
          <w:p>
            <w:pPr>
              <w:bidi w:val="1"/>
              <w:jc w:val="right"/>
            </w:pPr>
            <w:r>
              <w:rPr>
                <w:rFonts w:cs="Arial"/>
                <w:b/>
                <w:color w:val="595959"/>
                <w:sz w:val="18"/>
                <w:rtl w:val="1"/>
              </w:rPr>
              <w:t>الإطار المرجعي</w:t>
            </w:r>
          </w:p>
        </w:tc>
      </w:tr>
      <w:tr>
        <w:tc>
          <w:tcPr>
            <w:tcW w:type="dxa" w:w="6236"/>
          </w:tcPr>
          <w:p>
            <w:pPr>
              <w:bidi w:val="1"/>
              <w:jc w:val="right"/>
            </w:pPr>
            <w:r>
              <w:rPr>
                <w:rFonts w:cs="Arial"/>
                <w:color w:val="262626"/>
                <w:sz w:val="18"/>
                <w:rtl w:val="1"/>
              </w:rPr>
              <w:t>DC.M.3-E02</w:t>
            </w:r>
          </w:p>
        </w:tc>
        <w:tc>
          <w:tcPr>
            <w:tcW w:type="dxa" w:w="2835"/>
          </w:tcPr>
          <w:p>
            <w:pPr>
              <w:bidi w:val="1"/>
              <w:jc w:val="right"/>
            </w:pPr>
            <w:r>
              <w:rPr>
                <w:rFonts w:cs="Arial"/>
                <w:b/>
                <w:color w:val="595959"/>
                <w:sz w:val="18"/>
                <w:rtl w:val="1"/>
              </w:rPr>
              <w:t>رمز الدليل</w:t>
            </w:r>
          </w:p>
        </w:tc>
      </w:tr>
      <w:tr>
        <w:tc>
          <w:tcPr>
            <w:tcW w:type="dxa" w:w="6236"/>
          </w:tcPr>
          <w:p>
            <w:pPr>
              <w:bidi w:val="1"/>
              <w:jc w:val="right"/>
            </w:pPr>
            <w:r>
              <w:rPr>
                <w:rFonts w:cs="Arial"/>
                <w:color w:val="262626"/>
                <w:sz w:val="18"/>
                <w:rtl w:val="1"/>
              </w:rPr>
              <w:t>DC.M.3 — تقرير مراقبة تنفيذ خطة تصنيف البيانات عبر مؤشرات الأداء الرئيسية</w:t>
            </w:r>
          </w:p>
        </w:tc>
        <w:tc>
          <w:tcPr>
            <w:tcW w:type="dxa" w:w="2835"/>
          </w:tcPr>
          <w:p>
            <w:pPr>
              <w:bidi w:val="1"/>
              <w:jc w:val="right"/>
            </w:pPr>
            <w:r>
              <w:rPr>
                <w:rFonts w:cs="Arial"/>
                <w:b/>
                <w:color w:val="595959"/>
                <w:sz w:val="18"/>
                <w:rtl w:val="1"/>
              </w:rPr>
              <w:t>المتطلب المرتبط</w:t>
            </w:r>
          </w:p>
        </w:tc>
      </w:tr>
      <w:tr>
        <w:tc>
          <w:tcPr>
            <w:tcW w:type="dxa" w:w="6236"/>
          </w:tcPr>
          <w:p>
            <w:pPr>
              <w:bidi w:val="1"/>
              <w:jc w:val="right"/>
            </w:pPr>
            <w:r>
              <w:rPr>
                <w:rFonts w:cs="Arial"/>
                <w:color w:val="262626"/>
                <w:sz w:val="18"/>
                <w:rtl w:val="1"/>
              </w:rPr>
              <w:t>DC-KPI-02 — نسبة تعيين ملاك البيانات</w:t>
            </w:r>
          </w:p>
        </w:tc>
        <w:tc>
          <w:tcPr>
            <w:tcW w:type="dxa" w:w="2835"/>
          </w:tcPr>
          <w:p>
            <w:pPr>
              <w:bidi w:val="1"/>
              <w:jc w:val="right"/>
            </w:pPr>
            <w:r>
              <w:rPr>
                <w:rFonts w:cs="Arial"/>
                <w:b/>
                <w:color w:val="595959"/>
                <w:sz w:val="18"/>
                <w:rtl w:val="1"/>
              </w:rPr>
              <w:t>المؤشر المرتبط</w:t>
            </w:r>
          </w:p>
        </w:tc>
      </w:tr>
      <w:tr>
        <w:tc>
          <w:tcPr>
            <w:tcW w:type="dxa" w:w="6236"/>
          </w:tcPr>
          <w:p>
            <w:pPr>
              <w:bidi w:val="1"/>
              <w:jc w:val="right"/>
            </w:pPr>
            <w:r>
              <w:rPr>
                <w:rFonts w:cs="Arial"/>
                <w:color w:val="262626"/>
                <w:sz w:val="18"/>
                <w:rtl w:val="1"/>
              </w:rPr>
              <w:t>1.0</w:t>
            </w:r>
          </w:p>
        </w:tc>
        <w:tc>
          <w:tcPr>
            <w:tcW w:type="dxa" w:w="2835"/>
          </w:tcPr>
          <w:p>
            <w:pPr>
              <w:bidi w:val="1"/>
              <w:jc w:val="right"/>
            </w:pPr>
            <w:r>
              <w:rPr>
                <w:rFonts w:cs="Arial"/>
                <w:b/>
                <w:color w:val="595959"/>
                <w:sz w:val="18"/>
                <w:rtl w:val="1"/>
              </w:rPr>
              <w:t>الإصدار</w:t>
            </w:r>
          </w:p>
        </w:tc>
      </w:tr>
      <w:tr>
        <w:tc>
          <w:tcPr>
            <w:tcW w:type="dxa" w:w="6236"/>
          </w:tcPr>
          <w:p>
            <w:pPr>
              <w:bidi w:val="1"/>
              <w:jc w:val="right"/>
            </w:pPr>
            <w:r>
              <w:rPr>
                <w:rFonts w:cs="Arial"/>
                <w:color w:val="262626"/>
                <w:sz w:val="18"/>
                <w:rtl w:val="1"/>
              </w:rPr>
              <w:t>يونيو 2026</w:t>
            </w:r>
          </w:p>
        </w:tc>
        <w:tc>
          <w:tcPr>
            <w:tcW w:type="dxa" w:w="2835"/>
          </w:tcPr>
          <w:p>
            <w:pPr>
              <w:bidi w:val="1"/>
              <w:jc w:val="right"/>
            </w:pPr>
            <w:r>
              <w:rPr>
                <w:rFonts w:cs="Arial"/>
                <w:b/>
                <w:color w:val="595959"/>
                <w:sz w:val="18"/>
                <w:rtl w:val="1"/>
              </w:rPr>
              <w:t>التاريخ</w:t>
            </w:r>
          </w:p>
        </w:tc>
      </w:tr>
      <w:tr>
        <w:tc>
          <w:tcPr>
            <w:tcW w:type="dxa" w:w="6236"/>
          </w:tcPr>
          <w:p>
            <w:pPr>
              <w:bidi w:val="1"/>
              <w:jc w:val="right"/>
            </w:pPr>
            <w:r>
              <w:rPr>
                <w:rFonts w:cs="Arial"/>
                <w:color w:val="262626"/>
                <w:sz w:val="18"/>
                <w:rtl w:val="1"/>
              </w:rPr>
              <w:t>جاهزة للاعتماد</w:t>
            </w:r>
          </w:p>
        </w:tc>
        <w:tc>
          <w:tcPr>
            <w:tcW w:type="dxa" w:w="2835"/>
          </w:tcPr>
          <w:p>
            <w:pPr>
              <w:bidi w:val="1"/>
              <w:jc w:val="right"/>
            </w:pPr>
            <w:r>
              <w:rPr>
                <w:rFonts w:cs="Arial"/>
                <w:b/>
                <w:color w:val="595959"/>
                <w:sz w:val="18"/>
                <w:rtl w:val="1"/>
              </w:rPr>
              <w:t>حالة الوثيقة</w:t>
            </w:r>
          </w:p>
        </w:tc>
      </w:tr>
    </w:tbl>
    <w:p>
      <w:r>
        <w:br w:type="page"/>
      </w:r>
    </w:p>
    <w:p>
      <w:pPr>
        <w:bidi w:val="1"/>
        <w:jc w:val="right"/>
      </w:pPr>
      <w:r>
        <w:rPr>
          <w:rFonts w:cs="Arial"/>
          <w:b/>
          <w:color w:val="1B2A4E"/>
          <w:sz w:val="26"/>
          <w:rtl w:val="1"/>
        </w:rPr>
        <w:t>1.  المقدمة</w:t>
      </w:r>
    </w:p>
    <w:p>
      <w:pPr>
        <w:bidi w:val="1"/>
        <w:jc w:val="right"/>
      </w:pPr>
      <w:r>
        <w:rPr>
          <w:rFonts w:cs="Arial"/>
          <w:b w:val="0"/>
          <w:i w:val="0"/>
          <w:color w:val="262626"/>
          <w:sz w:val="19"/>
          <w:rtl w:val="1"/>
        </w:rPr>
        <w:t>يوثّق هذا السجل مصدر البيانات وطريقة احتساب القيمة الحالية لمؤشر الأداء الرئيسي DC-KPI-02 (نسبة تعيين ملاك البيانات)، الوارد في بطاقة المؤشر ضمن تقرير DC.M.3 — تقرير مراقبة تنفيذ خطة تصنيف البيانات عبر مؤشرات الأداء الرئيسية، والذي أظهر قيمة حالية قدرها 100% مقابل هدف 100%.</w:t>
      </w:r>
    </w:p>
    <w:p>
      <w:pPr>
        <w:bidi w:val="1"/>
        <w:jc w:val="right"/>
      </w:pPr>
      <w:r>
        <w:rPr>
          <w:rFonts w:cs="Arial"/>
          <w:b w:val="0"/>
          <w:i w:val="0"/>
          <w:color w:val="262626"/>
          <w:sz w:val="19"/>
          <w:rtl w:val="1"/>
        </w:rPr>
        <w:t>يعتمد هذا السجل حصراً على البيانات الفعلية الواردة في سجل DC.M.5 — القائمة الحالية لمجموعات البيانات المصنفة. لا يستخدم هذا السجل تقرير الجرد DC.C.3.1 ولا سجل ملاك البيانات ضمن حزمة وثيق (Wathiq) للمتطلب DC.M.2، إذ إن نطاق مؤشر DC-KPI-02 كما ورد حرفياً في بطاقته ضمن DC.M.3 مقتصر على «مجموعات البيانات» دون أي ذكر لكلمة «أصول» أو «سجلات»، وهو ما يطابق نطاق DC.M.5 حصراً (مجموعات بيانات فقط)، بخلاف DC.C.3.1 الذي يغطي نطاقاً أوسع (مجموعات بيانات وسجلات معاً).</w:t>
      </w:r>
    </w:p>
    <w:p/>
    <w:p>
      <w:pPr>
        <w:bidi w:val="1"/>
        <w:jc w:val="right"/>
      </w:pPr>
      <w:r>
        <w:rPr>
          <w:rFonts w:cs="Arial"/>
          <w:b/>
          <w:color w:val="1B2A4E"/>
          <w:sz w:val="26"/>
          <w:rtl w:val="1"/>
        </w:rPr>
        <w:t>2.  بيانات الاحتساب</w:t>
      </w:r>
    </w:p>
    <w:tbl>
      <w:tblPr>
        <w:tblW w:type="auto" w:w="0"/>
        <w:tblLayout w:type="autofit"/>
        <w:tblLook w:firstColumn="1" w:firstRow="1" w:lastColumn="0" w:lastRow="0" w:noHBand="0" w:noVBand="1" w:val="04A0"/>
        <w:bidiVisual w:val="1"/>
      </w:tblPr>
      <w:tblGrid>
        <w:gridCol w:w="6236"/>
        <w:gridCol w:w="2835"/>
      </w:tblGrid>
      <w:tr>
        <w:tc>
          <w:tcPr>
            <w:tcW w:type="dxa" w:w="6236"/>
          </w:tcPr>
          <w:p>
            <w:pPr>
              <w:bidi w:val="1"/>
              <w:jc w:val="right"/>
            </w:pPr>
            <w:r>
              <w:rPr>
                <w:rFonts w:cs="Arial"/>
                <w:color w:val="262626"/>
                <w:sz w:val="18"/>
                <w:rtl w:val="1"/>
              </w:rPr>
              <w:t>DC.M.5 — القائمة الحالية لمجموعات البيانات المصنفة (الإصدار 1.0، يونيو 2026)</w:t>
            </w:r>
          </w:p>
        </w:tc>
        <w:tc>
          <w:tcPr>
            <w:tcW w:type="dxa" w:w="2835"/>
          </w:tcPr>
          <w:p>
            <w:pPr>
              <w:bidi w:val="1"/>
              <w:jc w:val="right"/>
            </w:pPr>
            <w:r>
              <w:rPr>
                <w:rFonts w:cs="Arial"/>
                <w:b/>
                <w:color w:val="595959"/>
                <w:sz w:val="18"/>
                <w:rtl w:val="1"/>
              </w:rPr>
              <w:t>مصدر البيانات المستخدم</w:t>
            </w:r>
          </w:p>
        </w:tc>
      </w:tr>
      <w:tr>
        <w:tc>
          <w:tcPr>
            <w:tcW w:type="dxa" w:w="6236"/>
          </w:tcPr>
          <w:p>
            <w:pPr>
              <w:bidi w:val="1"/>
              <w:jc w:val="right"/>
            </w:pPr>
            <w:r>
              <w:rPr>
                <w:rFonts w:cs="Arial"/>
                <w:color w:val="262626"/>
                <w:sz w:val="18"/>
                <w:rtl w:val="1"/>
              </w:rPr>
              <w:t>الربع الثاني 2026 (أبريل – يونيو 2026)</w:t>
            </w:r>
          </w:p>
        </w:tc>
        <w:tc>
          <w:tcPr>
            <w:tcW w:type="dxa" w:w="2835"/>
          </w:tcPr>
          <w:p>
            <w:pPr>
              <w:bidi w:val="1"/>
              <w:jc w:val="right"/>
            </w:pPr>
            <w:r>
              <w:rPr>
                <w:rFonts w:cs="Arial"/>
                <w:b/>
                <w:color w:val="595959"/>
                <w:sz w:val="18"/>
                <w:rtl w:val="1"/>
              </w:rPr>
              <w:t>فترة القياس</w:t>
            </w:r>
          </w:p>
        </w:tc>
      </w:tr>
      <w:tr>
        <w:tc>
          <w:tcPr>
            <w:tcW w:type="dxa" w:w="6236"/>
          </w:tcPr>
          <w:p>
            <w:pPr>
              <w:bidi w:val="1"/>
              <w:jc w:val="right"/>
            </w:pPr>
            <w:r>
              <w:rPr>
                <w:rFonts w:cs="Arial"/>
                <w:color w:val="262626"/>
                <w:sz w:val="18"/>
                <w:rtl w:val="1"/>
              </w:rPr>
              <w:t>جميع مجموعات البيانات الواردة في سجل DC.M.5 حتى تاريخ إصداره (20 مجموعة بيانات)، التزاماً بنطاق مؤشر DC-KPI-02 كما ورد حرفياً في بطاقته («المجموعات» فقط).</w:t>
            </w:r>
          </w:p>
        </w:tc>
        <w:tc>
          <w:tcPr>
            <w:tcW w:type="dxa" w:w="2835"/>
          </w:tcPr>
          <w:p>
            <w:pPr>
              <w:bidi w:val="1"/>
              <w:jc w:val="right"/>
            </w:pPr>
            <w:r>
              <w:rPr>
                <w:rFonts w:cs="Arial"/>
                <w:b/>
                <w:color w:val="595959"/>
                <w:sz w:val="18"/>
                <w:rtl w:val="1"/>
              </w:rPr>
              <w:t>نطاق القياس</w:t>
            </w:r>
          </w:p>
        </w:tc>
      </w:tr>
      <w:tr>
        <w:tc>
          <w:tcPr>
            <w:tcW w:type="dxa" w:w="6236"/>
          </w:tcPr>
          <w:p>
            <w:pPr>
              <w:bidi w:val="1"/>
              <w:jc w:val="right"/>
            </w:pPr>
            <w:r>
              <w:rPr>
                <w:rFonts w:cs="Arial"/>
                <w:color w:val="262626"/>
                <w:sz w:val="18"/>
                <w:rtl w:val="1"/>
              </w:rPr>
              <w:t>يونيو 2026 (تاريخ إصدار DC.M.5)</w:t>
            </w:r>
          </w:p>
        </w:tc>
        <w:tc>
          <w:tcPr>
            <w:tcW w:type="dxa" w:w="2835"/>
          </w:tcPr>
          <w:p>
            <w:pPr>
              <w:bidi w:val="1"/>
              <w:jc w:val="right"/>
            </w:pPr>
            <w:r>
              <w:rPr>
                <w:rFonts w:cs="Arial"/>
                <w:b/>
                <w:color w:val="595959"/>
                <w:sz w:val="18"/>
                <w:rtl w:val="1"/>
              </w:rPr>
              <w:t>تاريخ استخراج البيانات</w:t>
            </w:r>
          </w:p>
        </w:tc>
      </w:tr>
    </w:tbl>
    <w:p/>
    <w:p>
      <w:pPr>
        <w:bidi w:val="1"/>
        <w:jc w:val="right"/>
      </w:pPr>
      <w:r>
        <w:rPr>
          <w:rFonts w:cs="Arial"/>
          <w:b/>
          <w:color w:val="1B2A4E"/>
          <w:sz w:val="26"/>
          <w:rtl w:val="1"/>
        </w:rPr>
        <w:t>3.  مجموعات البيانات وملاكها (وفق سجل DC.M.5)</w:t>
      </w:r>
    </w:p>
    <w:p>
      <w:pPr>
        <w:bidi w:val="1"/>
        <w:jc w:val="right"/>
      </w:pPr>
      <w:r>
        <w:rPr>
          <w:rFonts w:cs="Arial"/>
          <w:b w:val="0"/>
          <w:i w:val="0"/>
          <w:color w:val="262626"/>
          <w:sz w:val="19"/>
          <w:rtl w:val="1"/>
        </w:rPr>
        <w:t>يعرض الجدول التالي جميع مجموعات البيانات الـ20 الواردة في سجل DC.M.5 مع مالك البيانات المحدد لكل منها:</w:t>
      </w:r>
    </w:p>
    <w:tbl>
      <w:tblPr>
        <w:tblStyle w:val="TableGrid"/>
        <w:tblW w:type="auto" w:w="0"/>
        <w:tblLook w:firstColumn="1" w:firstRow="1" w:lastColumn="0" w:lastRow="0" w:noHBand="0" w:noVBand="1" w:val="04A0"/>
        <w:bidiVisual w:val="1"/>
      </w:tblPr>
      <w:tblGrid>
        <w:gridCol w:w="1474"/>
        <w:gridCol w:w="3969"/>
        <w:gridCol w:w="3628"/>
      </w:tblGrid>
      <w:tr>
        <w:trPr>
          <w:cantSplit/>
        </w:trPr>
        <w:tc>
          <w:tcPr>
            <w:tcW w:type="dxa" w:w="3400"/>
            <w:shd w:fill="1B2A4E"/>
            <w:vAlign w:val="center"/>
          </w:tcPr>
          <w:p>
            <w:pPr>
              <w:bidi w:val="1"/>
              <w:jc w:val="center"/>
            </w:pPr>
            <w:r/>
            <w:r>
              <w:rPr>
                <w:rFonts w:cs="Arial"/>
                <w:b/>
                <w:color w:val="FFFFFF"/>
                <w:sz w:val="19"/>
                <w:rtl w:val="1"/>
              </w:rPr>
              <w:t>الرقم التسلسلي</w:t>
            </w:r>
          </w:p>
        </w:tc>
        <w:tc>
          <w:tcPr>
            <w:tcW w:type="dxa" w:w="3400"/>
            <w:shd w:fill="1B2A4E"/>
            <w:vAlign w:val="center"/>
          </w:tcPr>
          <w:p>
            <w:pPr>
              <w:bidi w:val="1"/>
              <w:jc w:val="center"/>
            </w:pPr>
            <w:r/>
            <w:r>
              <w:rPr>
                <w:rFonts w:cs="Arial"/>
                <w:b/>
                <w:color w:val="FFFFFF"/>
                <w:sz w:val="19"/>
                <w:rtl w:val="1"/>
              </w:rPr>
              <w:t>اسم مجموعة البيانات</w:t>
            </w:r>
          </w:p>
        </w:tc>
        <w:tc>
          <w:tcPr>
            <w:tcW w:type="dxa" w:w="3400"/>
            <w:shd w:fill="1B2A4E"/>
            <w:vAlign w:val="center"/>
          </w:tcPr>
          <w:p>
            <w:pPr>
              <w:bidi w:val="1"/>
              <w:jc w:val="center"/>
            </w:pPr>
            <w:r/>
            <w:r>
              <w:rPr>
                <w:rFonts w:cs="Arial"/>
                <w:b/>
                <w:color w:val="FFFFFF"/>
                <w:sz w:val="19"/>
                <w:rtl w:val="1"/>
              </w:rPr>
              <w:t>مالك البيانات</w:t>
            </w:r>
          </w:p>
        </w:tc>
      </w:tr>
      <w:tr>
        <w:trPr>
          <w:cantSplit/>
        </w:trPr>
        <w:tc>
          <w:tcPr>
            <w:tcW w:type="dxa" w:w="1474"/>
            <w:vAlign w:val="center"/>
            <w:shd w:fill="F2F2F2"/>
          </w:tcPr>
          <w:p>
            <w:pPr>
              <w:bidi w:val="1"/>
              <w:jc w:val="right"/>
            </w:pPr>
            <w:r>
              <w:rPr>
                <w:rFonts w:cs="Arial"/>
                <w:b/>
                <w:color w:val="1F2A44"/>
                <w:sz w:val="17"/>
                <w:rtl w:val="1"/>
              </w:rPr>
              <w:t>01</w:t>
            </w:r>
          </w:p>
        </w:tc>
        <w:tc>
          <w:tcPr>
            <w:tcW w:type="dxa" w:w="3969"/>
            <w:vAlign w:val="center"/>
            <w:shd w:fill="F2F2F2"/>
          </w:tcPr>
          <w:p>
            <w:pPr>
              <w:bidi w:val="1"/>
              <w:jc w:val="right"/>
            </w:pPr>
            <w:r>
              <w:rPr>
                <w:rFonts w:cs="Arial"/>
                <w:color w:val="262626"/>
                <w:sz w:val="17"/>
                <w:rtl w:val="1"/>
              </w:rPr>
              <w:t>بيانات الخدمات الحكومية الرقمية</w:t>
            </w:r>
          </w:p>
        </w:tc>
        <w:tc>
          <w:tcPr>
            <w:tcW w:type="dxa" w:w="3628"/>
            <w:vAlign w:val="center"/>
            <w:shd w:fill="F2F2F2"/>
          </w:tcPr>
          <w:p>
            <w:pPr>
              <w:bidi w:val="1"/>
              <w:jc w:val="right"/>
            </w:pPr>
            <w:r>
              <w:rPr>
                <w:rFonts w:cs="Arial"/>
                <w:color w:val="262626"/>
                <w:sz w:val="17"/>
                <w:rtl w:val="1"/>
              </w:rPr>
              <w:t>مدير الخدمات الرقمية</w:t>
            </w:r>
          </w:p>
        </w:tc>
      </w:tr>
      <w:tr>
        <w:trPr>
          <w:cantSplit/>
        </w:trPr>
        <w:tc>
          <w:tcPr>
            <w:tcW w:type="dxa" w:w="1474"/>
            <w:vAlign w:val="center"/>
          </w:tcPr>
          <w:p>
            <w:pPr>
              <w:bidi w:val="1"/>
              <w:jc w:val="right"/>
            </w:pPr>
            <w:r>
              <w:rPr>
                <w:rFonts w:cs="Arial"/>
                <w:b/>
                <w:color w:val="1F2A44"/>
                <w:sz w:val="17"/>
                <w:rtl w:val="1"/>
              </w:rPr>
              <w:t>02</w:t>
            </w:r>
          </w:p>
        </w:tc>
        <w:tc>
          <w:tcPr>
            <w:tcW w:type="dxa" w:w="3969"/>
            <w:vAlign w:val="center"/>
          </w:tcPr>
          <w:p>
            <w:pPr>
              <w:bidi w:val="1"/>
              <w:jc w:val="right"/>
            </w:pPr>
            <w:r>
              <w:rPr>
                <w:rFonts w:cs="Arial"/>
                <w:color w:val="262626"/>
                <w:sz w:val="17"/>
                <w:rtl w:val="1"/>
              </w:rPr>
              <w:t>بيانات التقارير التشغيلية</w:t>
            </w:r>
          </w:p>
        </w:tc>
        <w:tc>
          <w:tcPr>
            <w:tcW w:type="dxa" w:w="3628"/>
            <w:vAlign w:val="center"/>
          </w:tcPr>
          <w:p>
            <w:pPr>
              <w:bidi w:val="1"/>
              <w:jc w:val="right"/>
            </w:pPr>
            <w:r>
              <w:rPr>
                <w:rFonts w:cs="Arial"/>
                <w:color w:val="262626"/>
                <w:sz w:val="17"/>
                <w:rtl w:val="1"/>
              </w:rPr>
              <w:t>مدير التخطيط</w:t>
            </w:r>
          </w:p>
        </w:tc>
      </w:tr>
      <w:tr>
        <w:trPr>
          <w:cantSplit/>
        </w:trPr>
        <w:tc>
          <w:tcPr>
            <w:tcW w:type="dxa" w:w="1474"/>
            <w:vAlign w:val="center"/>
            <w:shd w:fill="F2F2F2"/>
          </w:tcPr>
          <w:p>
            <w:pPr>
              <w:bidi w:val="1"/>
              <w:jc w:val="right"/>
            </w:pPr>
            <w:r>
              <w:rPr>
                <w:rFonts w:cs="Arial"/>
                <w:b/>
                <w:color w:val="1F2A44"/>
                <w:sz w:val="17"/>
                <w:rtl w:val="1"/>
              </w:rPr>
              <w:t>03</w:t>
            </w:r>
          </w:p>
        </w:tc>
        <w:tc>
          <w:tcPr>
            <w:tcW w:type="dxa" w:w="3969"/>
            <w:vAlign w:val="center"/>
            <w:shd w:fill="F2F2F2"/>
          </w:tcPr>
          <w:p>
            <w:pPr>
              <w:bidi w:val="1"/>
              <w:jc w:val="right"/>
            </w:pPr>
            <w:r>
              <w:rPr>
                <w:rFonts w:cs="Arial"/>
                <w:color w:val="262626"/>
                <w:sz w:val="17"/>
                <w:rtl w:val="1"/>
              </w:rPr>
              <w:t>بيانات استطلاعات رأي المستفيدين</w:t>
            </w:r>
          </w:p>
        </w:tc>
        <w:tc>
          <w:tcPr>
            <w:tcW w:type="dxa" w:w="3628"/>
            <w:vAlign w:val="center"/>
            <w:shd w:fill="F2F2F2"/>
          </w:tcPr>
          <w:p>
            <w:pPr>
              <w:bidi w:val="1"/>
              <w:jc w:val="right"/>
            </w:pPr>
            <w:r>
              <w:rPr>
                <w:rFonts w:cs="Arial"/>
                <w:color w:val="262626"/>
                <w:sz w:val="17"/>
                <w:rtl w:val="1"/>
              </w:rPr>
              <w:t>مدير الجودة</w:t>
            </w:r>
          </w:p>
        </w:tc>
      </w:tr>
      <w:tr>
        <w:trPr>
          <w:cantSplit/>
        </w:trPr>
        <w:tc>
          <w:tcPr>
            <w:tcW w:type="dxa" w:w="1474"/>
            <w:vAlign w:val="center"/>
          </w:tcPr>
          <w:p>
            <w:pPr>
              <w:bidi w:val="1"/>
              <w:jc w:val="right"/>
            </w:pPr>
            <w:r>
              <w:rPr>
                <w:rFonts w:cs="Arial"/>
                <w:b/>
                <w:color w:val="1F2A44"/>
                <w:sz w:val="17"/>
                <w:rtl w:val="1"/>
              </w:rPr>
              <w:t>04</w:t>
            </w:r>
          </w:p>
        </w:tc>
        <w:tc>
          <w:tcPr>
            <w:tcW w:type="dxa" w:w="3969"/>
            <w:vAlign w:val="center"/>
          </w:tcPr>
          <w:p>
            <w:pPr>
              <w:bidi w:val="1"/>
              <w:jc w:val="right"/>
            </w:pPr>
            <w:r>
              <w:rPr>
                <w:rFonts w:cs="Arial"/>
                <w:color w:val="262626"/>
                <w:sz w:val="17"/>
                <w:rtl w:val="1"/>
              </w:rPr>
              <w:t>بيانات المستخدمين</w:t>
            </w:r>
          </w:p>
        </w:tc>
        <w:tc>
          <w:tcPr>
            <w:tcW w:type="dxa" w:w="3628"/>
            <w:vAlign w:val="center"/>
          </w:tcPr>
          <w:p>
            <w:pPr>
              <w:bidi w:val="1"/>
              <w:jc w:val="right"/>
            </w:pPr>
            <w:r>
              <w:rPr>
                <w:rFonts w:cs="Arial"/>
                <w:color w:val="262626"/>
                <w:sz w:val="17"/>
                <w:rtl w:val="1"/>
              </w:rPr>
              <w:t>مدير الخدمات الرقمية</w:t>
            </w:r>
          </w:p>
        </w:tc>
      </w:tr>
      <w:tr>
        <w:trPr>
          <w:cantSplit/>
        </w:trPr>
        <w:tc>
          <w:tcPr>
            <w:tcW w:type="dxa" w:w="1474"/>
            <w:vAlign w:val="center"/>
            <w:shd w:fill="F2F2F2"/>
          </w:tcPr>
          <w:p>
            <w:pPr>
              <w:bidi w:val="1"/>
              <w:jc w:val="right"/>
            </w:pPr>
            <w:r>
              <w:rPr>
                <w:rFonts w:cs="Arial"/>
                <w:b/>
                <w:color w:val="1F2A44"/>
                <w:sz w:val="17"/>
                <w:rtl w:val="1"/>
              </w:rPr>
              <w:t>05</w:t>
            </w:r>
          </w:p>
        </w:tc>
        <w:tc>
          <w:tcPr>
            <w:tcW w:type="dxa" w:w="3969"/>
            <w:vAlign w:val="center"/>
            <w:shd w:fill="F2F2F2"/>
          </w:tcPr>
          <w:p>
            <w:pPr>
              <w:bidi w:val="1"/>
              <w:jc w:val="right"/>
            </w:pPr>
            <w:r>
              <w:rPr>
                <w:rFonts w:cs="Arial"/>
                <w:color w:val="262626"/>
                <w:sz w:val="17"/>
                <w:rtl w:val="1"/>
              </w:rPr>
              <w:t>بيانات طلبات المستفيدين</w:t>
            </w:r>
          </w:p>
        </w:tc>
        <w:tc>
          <w:tcPr>
            <w:tcW w:type="dxa" w:w="3628"/>
            <w:vAlign w:val="center"/>
            <w:shd w:fill="F2F2F2"/>
          </w:tcPr>
          <w:p>
            <w:pPr>
              <w:bidi w:val="1"/>
              <w:jc w:val="right"/>
            </w:pPr>
            <w:r>
              <w:rPr>
                <w:rFonts w:cs="Arial"/>
                <w:color w:val="262626"/>
                <w:sz w:val="17"/>
                <w:rtl w:val="1"/>
              </w:rPr>
              <w:t>مدير خدمات المستفيدين</w:t>
            </w:r>
          </w:p>
        </w:tc>
      </w:tr>
      <w:tr>
        <w:trPr>
          <w:cantSplit/>
        </w:trPr>
        <w:tc>
          <w:tcPr>
            <w:tcW w:type="dxa" w:w="1474"/>
            <w:vAlign w:val="center"/>
          </w:tcPr>
          <w:p>
            <w:pPr>
              <w:bidi w:val="1"/>
              <w:jc w:val="right"/>
            </w:pPr>
            <w:r>
              <w:rPr>
                <w:rFonts w:cs="Arial"/>
                <w:b/>
                <w:color w:val="1F2A44"/>
                <w:sz w:val="17"/>
                <w:rtl w:val="1"/>
              </w:rPr>
              <w:t>06</w:t>
            </w:r>
          </w:p>
        </w:tc>
        <w:tc>
          <w:tcPr>
            <w:tcW w:type="dxa" w:w="3969"/>
            <w:vAlign w:val="center"/>
          </w:tcPr>
          <w:p>
            <w:pPr>
              <w:bidi w:val="1"/>
              <w:jc w:val="right"/>
            </w:pPr>
            <w:r>
              <w:rPr>
                <w:rFonts w:cs="Arial"/>
                <w:color w:val="262626"/>
                <w:sz w:val="17"/>
                <w:rtl w:val="1"/>
              </w:rPr>
              <w:t>بيانات البلاغات والشكاوى</w:t>
            </w:r>
          </w:p>
        </w:tc>
        <w:tc>
          <w:tcPr>
            <w:tcW w:type="dxa" w:w="3628"/>
            <w:vAlign w:val="center"/>
          </w:tcPr>
          <w:p>
            <w:pPr>
              <w:bidi w:val="1"/>
              <w:jc w:val="right"/>
            </w:pPr>
            <w:r>
              <w:rPr>
                <w:rFonts w:cs="Arial"/>
                <w:color w:val="262626"/>
                <w:sz w:val="17"/>
                <w:rtl w:val="1"/>
              </w:rPr>
              <w:t>مدير الجودة</w:t>
            </w:r>
          </w:p>
        </w:tc>
      </w:tr>
      <w:tr>
        <w:trPr>
          <w:cantSplit/>
        </w:trPr>
        <w:tc>
          <w:tcPr>
            <w:tcW w:type="dxa" w:w="1474"/>
            <w:vAlign w:val="center"/>
            <w:shd w:fill="F2F2F2"/>
          </w:tcPr>
          <w:p>
            <w:pPr>
              <w:bidi w:val="1"/>
              <w:jc w:val="right"/>
            </w:pPr>
            <w:r>
              <w:rPr>
                <w:rFonts w:cs="Arial"/>
                <w:b/>
                <w:color w:val="1F2A44"/>
                <w:sz w:val="17"/>
                <w:rtl w:val="1"/>
              </w:rPr>
              <w:t>07</w:t>
            </w:r>
          </w:p>
        </w:tc>
        <w:tc>
          <w:tcPr>
            <w:tcW w:type="dxa" w:w="3969"/>
            <w:vAlign w:val="center"/>
            <w:shd w:fill="F2F2F2"/>
          </w:tcPr>
          <w:p>
            <w:pPr>
              <w:bidi w:val="1"/>
              <w:jc w:val="right"/>
            </w:pPr>
            <w:r>
              <w:rPr>
                <w:rFonts w:cs="Arial"/>
                <w:color w:val="262626"/>
                <w:sz w:val="17"/>
                <w:rtl w:val="1"/>
              </w:rPr>
              <w:t>بيانات الموردين</w:t>
            </w:r>
          </w:p>
        </w:tc>
        <w:tc>
          <w:tcPr>
            <w:tcW w:type="dxa" w:w="3628"/>
            <w:vAlign w:val="center"/>
            <w:shd w:fill="F2F2F2"/>
          </w:tcPr>
          <w:p>
            <w:pPr>
              <w:bidi w:val="1"/>
              <w:jc w:val="right"/>
            </w:pPr>
            <w:r>
              <w:rPr>
                <w:rFonts w:cs="Arial"/>
                <w:color w:val="262626"/>
                <w:sz w:val="17"/>
                <w:rtl w:val="1"/>
              </w:rPr>
              <w:t>مدير المشتريات</w:t>
            </w:r>
          </w:p>
        </w:tc>
      </w:tr>
      <w:tr>
        <w:trPr>
          <w:cantSplit/>
        </w:trPr>
        <w:tc>
          <w:tcPr>
            <w:tcW w:type="dxa" w:w="1474"/>
            <w:vAlign w:val="center"/>
          </w:tcPr>
          <w:p>
            <w:pPr>
              <w:bidi w:val="1"/>
              <w:jc w:val="right"/>
            </w:pPr>
            <w:r>
              <w:rPr>
                <w:rFonts w:cs="Arial"/>
                <w:b/>
                <w:color w:val="1F2A44"/>
                <w:sz w:val="17"/>
                <w:rtl w:val="1"/>
              </w:rPr>
              <w:t>08</w:t>
            </w:r>
          </w:p>
        </w:tc>
        <w:tc>
          <w:tcPr>
            <w:tcW w:type="dxa" w:w="3969"/>
            <w:vAlign w:val="center"/>
          </w:tcPr>
          <w:p>
            <w:pPr>
              <w:bidi w:val="1"/>
              <w:jc w:val="right"/>
            </w:pPr>
            <w:r>
              <w:rPr>
                <w:rFonts w:cs="Arial"/>
                <w:color w:val="262626"/>
                <w:sz w:val="17"/>
                <w:rtl w:val="1"/>
              </w:rPr>
              <w:t>بيانات الأصول التقنية</w:t>
            </w:r>
          </w:p>
        </w:tc>
        <w:tc>
          <w:tcPr>
            <w:tcW w:type="dxa" w:w="3628"/>
            <w:vAlign w:val="center"/>
          </w:tcPr>
          <w:p>
            <w:pPr>
              <w:bidi w:val="1"/>
              <w:jc w:val="right"/>
            </w:pPr>
            <w:r>
              <w:rPr>
                <w:rFonts w:cs="Arial"/>
                <w:color w:val="262626"/>
                <w:sz w:val="17"/>
                <w:rtl w:val="1"/>
              </w:rPr>
              <w:t>مدير تقنية المعلومات</w:t>
            </w:r>
          </w:p>
        </w:tc>
      </w:tr>
      <w:tr>
        <w:trPr>
          <w:cantSplit/>
        </w:trPr>
        <w:tc>
          <w:tcPr>
            <w:tcW w:type="dxa" w:w="1474"/>
            <w:vAlign w:val="center"/>
            <w:shd w:fill="F2F2F2"/>
          </w:tcPr>
          <w:p>
            <w:pPr>
              <w:bidi w:val="1"/>
              <w:jc w:val="right"/>
            </w:pPr>
            <w:r>
              <w:rPr>
                <w:rFonts w:cs="Arial"/>
                <w:b/>
                <w:color w:val="1F2A44"/>
                <w:sz w:val="17"/>
                <w:rtl w:val="1"/>
              </w:rPr>
              <w:t>09</w:t>
            </w:r>
          </w:p>
        </w:tc>
        <w:tc>
          <w:tcPr>
            <w:tcW w:type="dxa" w:w="3969"/>
            <w:vAlign w:val="center"/>
            <w:shd w:fill="F2F2F2"/>
          </w:tcPr>
          <w:p>
            <w:pPr>
              <w:bidi w:val="1"/>
              <w:jc w:val="right"/>
            </w:pPr>
            <w:r>
              <w:rPr>
                <w:rFonts w:cs="Arial"/>
                <w:color w:val="262626"/>
                <w:sz w:val="17"/>
                <w:rtl w:val="1"/>
              </w:rPr>
              <w:t>بيانات المراسلات الرسمية</w:t>
            </w:r>
          </w:p>
        </w:tc>
        <w:tc>
          <w:tcPr>
            <w:tcW w:type="dxa" w:w="3628"/>
            <w:vAlign w:val="center"/>
            <w:shd w:fill="F2F2F2"/>
          </w:tcPr>
          <w:p>
            <w:pPr>
              <w:bidi w:val="1"/>
              <w:jc w:val="right"/>
            </w:pPr>
            <w:r>
              <w:rPr>
                <w:rFonts w:cs="Arial"/>
                <w:color w:val="262626"/>
                <w:sz w:val="17"/>
                <w:rtl w:val="1"/>
              </w:rPr>
              <w:t>مدير الشؤون الإدارية</w:t>
            </w:r>
          </w:p>
        </w:tc>
      </w:tr>
      <w:tr>
        <w:trPr>
          <w:cantSplit/>
        </w:trPr>
        <w:tc>
          <w:tcPr>
            <w:tcW w:type="dxa" w:w="1474"/>
            <w:vAlign w:val="center"/>
          </w:tcPr>
          <w:p>
            <w:pPr>
              <w:bidi w:val="1"/>
              <w:jc w:val="right"/>
            </w:pPr>
            <w:r>
              <w:rPr>
                <w:rFonts w:cs="Arial"/>
                <w:b/>
                <w:color w:val="1F2A44"/>
                <w:sz w:val="17"/>
                <w:rtl w:val="1"/>
              </w:rPr>
              <w:t>10</w:t>
            </w:r>
          </w:p>
        </w:tc>
        <w:tc>
          <w:tcPr>
            <w:tcW w:type="dxa" w:w="3969"/>
            <w:vAlign w:val="center"/>
          </w:tcPr>
          <w:p>
            <w:pPr>
              <w:bidi w:val="1"/>
              <w:jc w:val="right"/>
            </w:pPr>
            <w:r>
              <w:rPr>
                <w:rFonts w:cs="Arial"/>
                <w:color w:val="262626"/>
                <w:sz w:val="17"/>
                <w:rtl w:val="1"/>
              </w:rPr>
              <w:t>بيانات الاجتماعات واللجان</w:t>
            </w:r>
          </w:p>
        </w:tc>
        <w:tc>
          <w:tcPr>
            <w:tcW w:type="dxa" w:w="3628"/>
            <w:vAlign w:val="center"/>
          </w:tcPr>
          <w:p>
            <w:pPr>
              <w:bidi w:val="1"/>
              <w:jc w:val="right"/>
            </w:pPr>
            <w:r>
              <w:rPr>
                <w:rFonts w:cs="Arial"/>
                <w:color w:val="262626"/>
                <w:sz w:val="17"/>
                <w:rtl w:val="1"/>
              </w:rPr>
              <w:t>مدير الشؤون الإدارية</w:t>
            </w:r>
          </w:p>
        </w:tc>
      </w:tr>
      <w:tr>
        <w:trPr>
          <w:cantSplit/>
        </w:trPr>
        <w:tc>
          <w:tcPr>
            <w:tcW w:type="dxa" w:w="1474"/>
            <w:vAlign w:val="center"/>
            <w:shd w:fill="F2F2F2"/>
          </w:tcPr>
          <w:p>
            <w:pPr>
              <w:bidi w:val="1"/>
              <w:jc w:val="right"/>
            </w:pPr>
            <w:r>
              <w:rPr>
                <w:rFonts w:cs="Arial"/>
                <w:b/>
                <w:color w:val="1F2A44"/>
                <w:sz w:val="17"/>
                <w:rtl w:val="1"/>
              </w:rPr>
              <w:t>11</w:t>
            </w:r>
          </w:p>
        </w:tc>
        <w:tc>
          <w:tcPr>
            <w:tcW w:type="dxa" w:w="3969"/>
            <w:vAlign w:val="center"/>
            <w:shd w:fill="F2F2F2"/>
          </w:tcPr>
          <w:p>
            <w:pPr>
              <w:bidi w:val="1"/>
              <w:jc w:val="right"/>
            </w:pPr>
            <w:r>
              <w:rPr>
                <w:rFonts w:cs="Arial"/>
                <w:color w:val="262626"/>
                <w:sz w:val="17"/>
                <w:rtl w:val="1"/>
              </w:rPr>
              <w:t>بيانات الموظفين</w:t>
            </w:r>
          </w:p>
        </w:tc>
        <w:tc>
          <w:tcPr>
            <w:tcW w:type="dxa" w:w="3628"/>
            <w:vAlign w:val="center"/>
            <w:shd w:fill="F2F2F2"/>
          </w:tcPr>
          <w:p>
            <w:pPr>
              <w:bidi w:val="1"/>
              <w:jc w:val="right"/>
            </w:pPr>
            <w:r>
              <w:rPr>
                <w:rFonts w:cs="Arial"/>
                <w:color w:val="262626"/>
                <w:sz w:val="17"/>
                <w:rtl w:val="1"/>
              </w:rPr>
              <w:t>مدير الموارد البشرية</w:t>
            </w:r>
          </w:p>
        </w:tc>
      </w:tr>
      <w:tr>
        <w:trPr>
          <w:cantSplit/>
        </w:trPr>
        <w:tc>
          <w:tcPr>
            <w:tcW w:type="dxa" w:w="1474"/>
            <w:vAlign w:val="center"/>
          </w:tcPr>
          <w:p>
            <w:pPr>
              <w:bidi w:val="1"/>
              <w:jc w:val="right"/>
            </w:pPr>
            <w:r>
              <w:rPr>
                <w:rFonts w:cs="Arial"/>
                <w:b/>
                <w:color w:val="1F2A44"/>
                <w:sz w:val="17"/>
                <w:rtl w:val="1"/>
              </w:rPr>
              <w:t>12</w:t>
            </w:r>
          </w:p>
        </w:tc>
        <w:tc>
          <w:tcPr>
            <w:tcW w:type="dxa" w:w="3969"/>
            <w:vAlign w:val="center"/>
          </w:tcPr>
          <w:p>
            <w:pPr>
              <w:bidi w:val="1"/>
              <w:jc w:val="right"/>
            </w:pPr>
            <w:r>
              <w:rPr>
                <w:rFonts w:cs="Arial"/>
                <w:color w:val="262626"/>
                <w:sz w:val="17"/>
                <w:rtl w:val="1"/>
              </w:rPr>
              <w:t>بيانات الرواتب والمزايا</w:t>
            </w:r>
          </w:p>
        </w:tc>
        <w:tc>
          <w:tcPr>
            <w:tcW w:type="dxa" w:w="3628"/>
            <w:vAlign w:val="center"/>
          </w:tcPr>
          <w:p>
            <w:pPr>
              <w:bidi w:val="1"/>
              <w:jc w:val="right"/>
            </w:pPr>
            <w:r>
              <w:rPr>
                <w:rFonts w:cs="Arial"/>
                <w:color w:val="262626"/>
                <w:sz w:val="17"/>
                <w:rtl w:val="1"/>
              </w:rPr>
              <w:t>المدير المالي</w:t>
            </w:r>
          </w:p>
        </w:tc>
      </w:tr>
      <w:tr>
        <w:trPr>
          <w:cantSplit/>
        </w:trPr>
        <w:tc>
          <w:tcPr>
            <w:tcW w:type="dxa" w:w="1474"/>
            <w:vAlign w:val="center"/>
            <w:shd w:fill="F2F2F2"/>
          </w:tcPr>
          <w:p>
            <w:pPr>
              <w:bidi w:val="1"/>
              <w:jc w:val="right"/>
            </w:pPr>
            <w:r>
              <w:rPr>
                <w:rFonts w:cs="Arial"/>
                <w:b/>
                <w:color w:val="1F2A44"/>
                <w:sz w:val="17"/>
                <w:rtl w:val="1"/>
              </w:rPr>
              <w:t>13</w:t>
            </w:r>
          </w:p>
        </w:tc>
        <w:tc>
          <w:tcPr>
            <w:tcW w:type="dxa" w:w="3969"/>
            <w:vAlign w:val="center"/>
            <w:shd w:fill="F2F2F2"/>
          </w:tcPr>
          <w:p>
            <w:pPr>
              <w:bidi w:val="1"/>
              <w:jc w:val="right"/>
            </w:pPr>
            <w:r>
              <w:rPr>
                <w:rFonts w:cs="Arial"/>
                <w:color w:val="262626"/>
                <w:sz w:val="17"/>
                <w:rtl w:val="1"/>
              </w:rPr>
              <w:t>بيانات العقود والاتفاقيات</w:t>
            </w:r>
          </w:p>
        </w:tc>
        <w:tc>
          <w:tcPr>
            <w:tcW w:type="dxa" w:w="3628"/>
            <w:vAlign w:val="center"/>
            <w:shd w:fill="F2F2F2"/>
          </w:tcPr>
          <w:p>
            <w:pPr>
              <w:bidi w:val="1"/>
              <w:jc w:val="right"/>
            </w:pPr>
            <w:r>
              <w:rPr>
                <w:rFonts w:cs="Arial"/>
                <w:color w:val="262626"/>
                <w:sz w:val="17"/>
                <w:rtl w:val="1"/>
              </w:rPr>
              <w:t>مدير المشتريات</w:t>
            </w:r>
          </w:p>
        </w:tc>
      </w:tr>
      <w:tr>
        <w:trPr>
          <w:cantSplit/>
        </w:trPr>
        <w:tc>
          <w:tcPr>
            <w:tcW w:type="dxa" w:w="1474"/>
            <w:vAlign w:val="center"/>
          </w:tcPr>
          <w:p>
            <w:pPr>
              <w:bidi w:val="1"/>
              <w:jc w:val="right"/>
            </w:pPr>
            <w:r>
              <w:rPr>
                <w:rFonts w:cs="Arial"/>
                <w:b/>
                <w:color w:val="1F2A44"/>
                <w:sz w:val="17"/>
                <w:rtl w:val="1"/>
              </w:rPr>
              <w:t>14</w:t>
            </w:r>
          </w:p>
        </w:tc>
        <w:tc>
          <w:tcPr>
            <w:tcW w:type="dxa" w:w="3969"/>
            <w:vAlign w:val="center"/>
          </w:tcPr>
          <w:p>
            <w:pPr>
              <w:bidi w:val="1"/>
              <w:jc w:val="right"/>
            </w:pPr>
            <w:r>
              <w:rPr>
                <w:rFonts w:cs="Arial"/>
                <w:color w:val="262626"/>
                <w:sz w:val="17"/>
                <w:rtl w:val="1"/>
              </w:rPr>
              <w:t>بيانات الصلاحيات وإدارة الهوية</w:t>
            </w:r>
          </w:p>
        </w:tc>
        <w:tc>
          <w:tcPr>
            <w:tcW w:type="dxa" w:w="3628"/>
            <w:vAlign w:val="center"/>
          </w:tcPr>
          <w:p>
            <w:pPr>
              <w:bidi w:val="1"/>
              <w:jc w:val="right"/>
            </w:pPr>
            <w:r>
              <w:rPr>
                <w:rFonts w:cs="Arial"/>
                <w:color w:val="262626"/>
                <w:sz w:val="17"/>
                <w:rtl w:val="1"/>
              </w:rPr>
              <w:t>مسؤول أمن المعلومات</w:t>
            </w:r>
          </w:p>
        </w:tc>
      </w:tr>
      <w:tr>
        <w:trPr>
          <w:cantSplit/>
        </w:trPr>
        <w:tc>
          <w:tcPr>
            <w:tcW w:type="dxa" w:w="1474"/>
            <w:vAlign w:val="center"/>
            <w:shd w:fill="F2F2F2"/>
          </w:tcPr>
          <w:p>
            <w:pPr>
              <w:bidi w:val="1"/>
              <w:jc w:val="right"/>
            </w:pPr>
            <w:r>
              <w:rPr>
                <w:rFonts w:cs="Arial"/>
                <w:b/>
                <w:color w:val="1F2A44"/>
                <w:sz w:val="17"/>
                <w:rtl w:val="1"/>
              </w:rPr>
              <w:t>15</w:t>
            </w:r>
          </w:p>
        </w:tc>
        <w:tc>
          <w:tcPr>
            <w:tcW w:type="dxa" w:w="3969"/>
            <w:vAlign w:val="center"/>
            <w:shd w:fill="F2F2F2"/>
          </w:tcPr>
          <w:p>
            <w:pPr>
              <w:bidi w:val="1"/>
              <w:jc w:val="right"/>
            </w:pPr>
            <w:r>
              <w:rPr>
                <w:rFonts w:cs="Arial"/>
                <w:color w:val="262626"/>
                <w:sz w:val="17"/>
                <w:rtl w:val="1"/>
              </w:rPr>
              <w:t>بيانات المدفوعات المالية</w:t>
            </w:r>
          </w:p>
        </w:tc>
        <w:tc>
          <w:tcPr>
            <w:tcW w:type="dxa" w:w="3628"/>
            <w:vAlign w:val="center"/>
            <w:shd w:fill="F2F2F2"/>
          </w:tcPr>
          <w:p>
            <w:pPr>
              <w:bidi w:val="1"/>
              <w:jc w:val="right"/>
            </w:pPr>
            <w:r>
              <w:rPr>
                <w:rFonts w:cs="Arial"/>
                <w:color w:val="262626"/>
                <w:sz w:val="17"/>
                <w:rtl w:val="1"/>
              </w:rPr>
              <w:t>المدير المالي</w:t>
            </w:r>
          </w:p>
        </w:tc>
      </w:tr>
      <w:tr>
        <w:trPr>
          <w:cantSplit/>
        </w:trPr>
        <w:tc>
          <w:tcPr>
            <w:tcW w:type="dxa" w:w="1474"/>
            <w:vAlign w:val="center"/>
          </w:tcPr>
          <w:p>
            <w:pPr>
              <w:bidi w:val="1"/>
              <w:jc w:val="right"/>
            </w:pPr>
            <w:r>
              <w:rPr>
                <w:rFonts w:cs="Arial"/>
                <w:b/>
                <w:color w:val="1F2A44"/>
                <w:sz w:val="17"/>
                <w:rtl w:val="1"/>
              </w:rPr>
              <w:t>16</w:t>
            </w:r>
          </w:p>
        </w:tc>
        <w:tc>
          <w:tcPr>
            <w:tcW w:type="dxa" w:w="3969"/>
            <w:vAlign w:val="center"/>
          </w:tcPr>
          <w:p>
            <w:pPr>
              <w:bidi w:val="1"/>
              <w:jc w:val="right"/>
            </w:pPr>
            <w:r>
              <w:rPr>
                <w:rFonts w:cs="Arial"/>
                <w:color w:val="262626"/>
                <w:sz w:val="17"/>
                <w:rtl w:val="1"/>
              </w:rPr>
              <w:t>بيانات الميزانية التشغيلية</w:t>
            </w:r>
          </w:p>
        </w:tc>
        <w:tc>
          <w:tcPr>
            <w:tcW w:type="dxa" w:w="3628"/>
            <w:vAlign w:val="center"/>
          </w:tcPr>
          <w:p>
            <w:pPr>
              <w:bidi w:val="1"/>
              <w:jc w:val="right"/>
            </w:pPr>
            <w:r>
              <w:rPr>
                <w:rFonts w:cs="Arial"/>
                <w:color w:val="262626"/>
                <w:sz w:val="17"/>
                <w:rtl w:val="1"/>
              </w:rPr>
              <w:t>المدير المالي</w:t>
            </w:r>
          </w:p>
        </w:tc>
      </w:tr>
      <w:tr>
        <w:trPr>
          <w:cantSplit/>
        </w:trPr>
        <w:tc>
          <w:tcPr>
            <w:tcW w:type="dxa" w:w="1474"/>
            <w:vAlign w:val="center"/>
            <w:shd w:fill="F2F2F2"/>
          </w:tcPr>
          <w:p>
            <w:pPr>
              <w:bidi w:val="1"/>
              <w:jc w:val="right"/>
            </w:pPr>
            <w:r>
              <w:rPr>
                <w:rFonts w:cs="Arial"/>
                <w:b/>
                <w:color w:val="1F2A44"/>
                <w:sz w:val="17"/>
                <w:rtl w:val="1"/>
              </w:rPr>
              <w:t>17</w:t>
            </w:r>
          </w:p>
        </w:tc>
        <w:tc>
          <w:tcPr>
            <w:tcW w:type="dxa" w:w="3969"/>
            <w:vAlign w:val="center"/>
            <w:shd w:fill="F2F2F2"/>
          </w:tcPr>
          <w:p>
            <w:pPr>
              <w:bidi w:val="1"/>
              <w:jc w:val="right"/>
            </w:pPr>
            <w:r>
              <w:rPr>
                <w:rFonts w:cs="Arial"/>
                <w:color w:val="262626"/>
                <w:sz w:val="17"/>
                <w:rtl w:val="1"/>
              </w:rPr>
              <w:t>بيانات التدقيق الداخلي</w:t>
            </w:r>
          </w:p>
        </w:tc>
        <w:tc>
          <w:tcPr>
            <w:tcW w:type="dxa" w:w="3628"/>
            <w:vAlign w:val="center"/>
            <w:shd w:fill="F2F2F2"/>
          </w:tcPr>
          <w:p>
            <w:pPr>
              <w:bidi w:val="1"/>
              <w:jc w:val="right"/>
            </w:pPr>
            <w:r>
              <w:rPr>
                <w:rFonts w:cs="Arial"/>
                <w:color w:val="262626"/>
                <w:sz w:val="17"/>
                <w:rtl w:val="1"/>
              </w:rPr>
              <w:t>مدير التدقيق الداخلي</w:t>
            </w:r>
          </w:p>
        </w:tc>
      </w:tr>
      <w:tr>
        <w:trPr>
          <w:cantSplit/>
        </w:trPr>
        <w:tc>
          <w:tcPr>
            <w:tcW w:type="dxa" w:w="1474"/>
            <w:vAlign w:val="center"/>
          </w:tcPr>
          <w:p>
            <w:pPr>
              <w:bidi w:val="1"/>
              <w:jc w:val="right"/>
            </w:pPr>
            <w:r>
              <w:rPr>
                <w:rFonts w:cs="Arial"/>
                <w:b/>
                <w:color w:val="1F2A44"/>
                <w:sz w:val="17"/>
                <w:rtl w:val="1"/>
              </w:rPr>
              <w:t>18</w:t>
            </w:r>
          </w:p>
        </w:tc>
        <w:tc>
          <w:tcPr>
            <w:tcW w:type="dxa" w:w="3969"/>
            <w:vAlign w:val="center"/>
          </w:tcPr>
          <w:p>
            <w:pPr>
              <w:bidi w:val="1"/>
              <w:jc w:val="right"/>
            </w:pPr>
            <w:r>
              <w:rPr>
                <w:rFonts w:cs="Arial"/>
                <w:color w:val="262626"/>
                <w:sz w:val="17"/>
                <w:rtl w:val="1"/>
              </w:rPr>
              <w:t>بيانات الهوية والتحقق الإلكتروني</w:t>
            </w:r>
          </w:p>
        </w:tc>
        <w:tc>
          <w:tcPr>
            <w:tcW w:type="dxa" w:w="3628"/>
            <w:vAlign w:val="center"/>
          </w:tcPr>
          <w:p>
            <w:pPr>
              <w:bidi w:val="1"/>
              <w:jc w:val="right"/>
            </w:pPr>
            <w:r>
              <w:rPr>
                <w:rFonts w:cs="Arial"/>
                <w:color w:val="262626"/>
                <w:sz w:val="17"/>
                <w:rtl w:val="1"/>
              </w:rPr>
              <w:t>مسؤول أمن المعلومات</w:t>
            </w:r>
          </w:p>
        </w:tc>
      </w:tr>
      <w:tr>
        <w:trPr>
          <w:cantSplit/>
        </w:trPr>
        <w:tc>
          <w:tcPr>
            <w:tcW w:type="dxa" w:w="1474"/>
            <w:vAlign w:val="center"/>
            <w:shd w:fill="F2F2F2"/>
          </w:tcPr>
          <w:p>
            <w:pPr>
              <w:bidi w:val="1"/>
              <w:jc w:val="right"/>
            </w:pPr>
            <w:r>
              <w:rPr>
                <w:rFonts w:cs="Arial"/>
                <w:b/>
                <w:color w:val="1F2A44"/>
                <w:sz w:val="17"/>
                <w:rtl w:val="1"/>
              </w:rPr>
              <w:t>19</w:t>
            </w:r>
          </w:p>
        </w:tc>
        <w:tc>
          <w:tcPr>
            <w:tcW w:type="dxa" w:w="3969"/>
            <w:vAlign w:val="center"/>
            <w:shd w:fill="F2F2F2"/>
          </w:tcPr>
          <w:p>
            <w:pPr>
              <w:bidi w:val="1"/>
              <w:jc w:val="right"/>
            </w:pPr>
            <w:r>
              <w:rPr>
                <w:rFonts w:cs="Arial"/>
                <w:color w:val="262626"/>
                <w:sz w:val="17"/>
                <w:rtl w:val="1"/>
              </w:rPr>
              <w:t>بيانات التكامل مع الجهات الحكومية</w:t>
            </w:r>
          </w:p>
        </w:tc>
        <w:tc>
          <w:tcPr>
            <w:tcW w:type="dxa" w:w="3628"/>
            <w:vAlign w:val="center"/>
            <w:shd w:fill="F2F2F2"/>
          </w:tcPr>
          <w:p>
            <w:pPr>
              <w:bidi w:val="1"/>
              <w:jc w:val="right"/>
            </w:pPr>
            <w:r>
              <w:rPr>
                <w:rFonts w:cs="Arial"/>
                <w:color w:val="262626"/>
                <w:sz w:val="17"/>
                <w:rtl w:val="1"/>
              </w:rPr>
              <w:t>مدير تقنية المعلومات</w:t>
            </w:r>
          </w:p>
        </w:tc>
      </w:tr>
      <w:tr>
        <w:trPr>
          <w:cantSplit/>
        </w:trPr>
        <w:tc>
          <w:tcPr>
            <w:tcW w:type="dxa" w:w="1474"/>
            <w:vAlign w:val="center"/>
          </w:tcPr>
          <w:p>
            <w:pPr>
              <w:bidi w:val="1"/>
              <w:jc w:val="right"/>
            </w:pPr>
            <w:r>
              <w:rPr>
                <w:rFonts w:cs="Arial"/>
                <w:b/>
                <w:color w:val="1F2A44"/>
                <w:sz w:val="17"/>
                <w:rtl w:val="1"/>
              </w:rPr>
              <w:t>20</w:t>
            </w:r>
          </w:p>
        </w:tc>
        <w:tc>
          <w:tcPr>
            <w:tcW w:type="dxa" w:w="3969"/>
            <w:vAlign w:val="center"/>
          </w:tcPr>
          <w:p>
            <w:pPr>
              <w:bidi w:val="1"/>
              <w:jc w:val="right"/>
            </w:pPr>
            <w:r>
              <w:rPr>
                <w:rFonts w:cs="Arial"/>
                <w:color w:val="262626"/>
                <w:sz w:val="17"/>
                <w:rtl w:val="1"/>
              </w:rPr>
              <w:t>بيانات سجلات الأحداث الأمنية</w:t>
            </w:r>
          </w:p>
        </w:tc>
        <w:tc>
          <w:tcPr>
            <w:tcW w:type="dxa" w:w="3628"/>
            <w:vAlign w:val="center"/>
          </w:tcPr>
          <w:p>
            <w:pPr>
              <w:bidi w:val="1"/>
              <w:jc w:val="right"/>
            </w:pPr>
            <w:r>
              <w:rPr>
                <w:rFonts w:cs="Arial"/>
                <w:color w:val="262626"/>
                <w:sz w:val="17"/>
                <w:rtl w:val="1"/>
              </w:rPr>
              <w:t>مسؤول أمن المعلومات</w:t>
            </w:r>
          </w:p>
        </w:tc>
      </w:tr>
    </w:tbl>
    <w:p/>
    <w:p>
      <w:pPr>
        <w:bidi w:val="1"/>
        <w:jc w:val="right"/>
      </w:pPr>
      <w:r>
        <w:rPr>
          <w:rFonts w:cs="Arial"/>
          <w:b/>
          <w:color w:val="1B2A4E"/>
          <w:sz w:val="26"/>
          <w:rtl w:val="1"/>
        </w:rPr>
        <w:t>4.  حساب المؤشر</w:t>
      </w:r>
    </w:p>
    <w:tbl>
      <w:tblPr>
        <w:tblStyle w:val="TableGrid"/>
        <w:tblW w:type="auto" w:w="0"/>
        <w:tblLook w:firstColumn="1" w:firstRow="1" w:lastColumn="0" w:lastRow="0" w:noHBand="0" w:noVBand="1" w:val="04A0"/>
        <w:bidiVisual w:val="1"/>
      </w:tblPr>
      <w:tblGrid>
        <w:gridCol w:w="5102"/>
        <w:gridCol w:w="3969"/>
      </w:tblGrid>
      <w:tr>
        <w:trPr>
          <w:cantSplit/>
        </w:trPr>
        <w:tc>
          <w:tcPr>
            <w:tcW w:type="dxa" w:w="5100"/>
            <w:shd w:fill="1B2A4E"/>
            <w:vAlign w:val="center"/>
          </w:tcPr>
          <w:p>
            <w:pPr>
              <w:bidi w:val="1"/>
              <w:jc w:val="center"/>
            </w:pPr>
            <w:r/>
            <w:r>
              <w:rPr>
                <w:rFonts w:cs="Arial"/>
                <w:b/>
                <w:color w:val="FFFFFF"/>
                <w:sz w:val="19"/>
                <w:rtl w:val="1"/>
              </w:rPr>
              <w:t>البند</w:t>
            </w:r>
          </w:p>
        </w:tc>
        <w:tc>
          <w:tcPr>
            <w:tcW w:type="dxa" w:w="5100"/>
            <w:shd w:fill="1B2A4E"/>
            <w:vAlign w:val="center"/>
          </w:tcPr>
          <w:p>
            <w:pPr>
              <w:bidi w:val="1"/>
              <w:jc w:val="center"/>
            </w:pPr>
            <w:r/>
            <w:r>
              <w:rPr>
                <w:rFonts w:cs="Arial"/>
                <w:b/>
                <w:color w:val="FFFFFF"/>
                <w:sz w:val="19"/>
                <w:rtl w:val="1"/>
              </w:rPr>
              <w:t>القيمة</w:t>
            </w:r>
          </w:p>
        </w:tc>
      </w:tr>
      <w:tr>
        <w:trPr>
          <w:cantSplit/>
        </w:trPr>
        <w:tc>
          <w:tcPr>
            <w:tcW w:type="dxa" w:w="5102"/>
            <w:vAlign w:val="center"/>
            <w:shd w:fill="F2F2F2"/>
          </w:tcPr>
          <w:p>
            <w:pPr>
              <w:bidi w:val="1"/>
              <w:jc w:val="right"/>
            </w:pPr>
            <w:r>
              <w:rPr>
                <w:rFonts w:cs="Arial"/>
                <w:b/>
                <w:color w:val="1B2A4E"/>
                <w:sz w:val="17"/>
                <w:rtl w:val="1"/>
              </w:rPr>
              <w:t>إجمالي مجموعات البيانات (وفق سجل DC.M.5)</w:t>
            </w:r>
          </w:p>
        </w:tc>
        <w:tc>
          <w:tcPr>
            <w:tcW w:type="dxa" w:w="3969"/>
            <w:vAlign w:val="center"/>
            <w:shd w:fill="F2F2F2"/>
          </w:tcPr>
          <w:p>
            <w:pPr>
              <w:bidi w:val="1"/>
              <w:jc w:val="center"/>
            </w:pPr>
            <w:r>
              <w:rPr>
                <w:rFonts w:cs="Arial"/>
                <w:b/>
                <w:color w:val="1F6F43"/>
                <w:sz w:val="17"/>
                <w:rtl w:val="1"/>
              </w:rPr>
              <w:t>20</w:t>
            </w:r>
          </w:p>
        </w:tc>
      </w:tr>
      <w:tr>
        <w:trPr>
          <w:cantSplit/>
        </w:trPr>
        <w:tc>
          <w:tcPr>
            <w:tcW w:type="dxa" w:w="5102"/>
            <w:vAlign w:val="center"/>
          </w:tcPr>
          <w:p>
            <w:pPr>
              <w:bidi w:val="1"/>
              <w:jc w:val="right"/>
            </w:pPr>
            <w:r>
              <w:rPr>
                <w:rFonts w:cs="Arial"/>
                <w:b/>
                <w:color w:val="1B2A4E"/>
                <w:sz w:val="17"/>
                <w:rtl w:val="1"/>
              </w:rPr>
              <w:t>عدد المجموعات ذات المالك المحدد</w:t>
            </w:r>
          </w:p>
        </w:tc>
        <w:tc>
          <w:tcPr>
            <w:tcW w:type="dxa" w:w="3969"/>
            <w:vAlign w:val="center"/>
          </w:tcPr>
          <w:p>
            <w:pPr>
              <w:bidi w:val="1"/>
              <w:jc w:val="center"/>
            </w:pPr>
            <w:r>
              <w:rPr>
                <w:rFonts w:cs="Arial"/>
                <w:b/>
                <w:color w:val="1F6F43"/>
                <w:sz w:val="17"/>
                <w:rtl w:val="1"/>
              </w:rPr>
              <w:t>20</w:t>
            </w:r>
          </w:p>
        </w:tc>
      </w:tr>
      <w:tr>
        <w:trPr>
          <w:cantSplit/>
        </w:trPr>
        <w:tc>
          <w:tcPr>
            <w:tcW w:type="dxa" w:w="5102"/>
            <w:vAlign w:val="center"/>
            <w:shd w:fill="F2F2F2"/>
          </w:tcPr>
          <w:p>
            <w:pPr>
              <w:bidi w:val="1"/>
              <w:jc w:val="right"/>
            </w:pPr>
            <w:r>
              <w:rPr>
                <w:rFonts w:cs="Arial"/>
                <w:b/>
                <w:color w:val="1B2A4E"/>
                <w:sz w:val="17"/>
                <w:rtl w:val="1"/>
              </w:rPr>
              <w:t>معادلة المؤشر</w:t>
            </w:r>
          </w:p>
        </w:tc>
        <w:tc>
          <w:tcPr>
            <w:tcW w:type="dxa" w:w="3969"/>
            <w:vAlign w:val="center"/>
            <w:shd w:fill="F2F2F2"/>
          </w:tcPr>
          <w:p>
            <w:pPr>
              <w:bidi w:val="1"/>
              <w:jc w:val="center"/>
            </w:pPr>
            <w:r>
              <w:rPr>
                <w:rFonts w:cs="Arial"/>
                <w:b/>
                <w:color w:val="1F6F43"/>
                <w:sz w:val="17"/>
                <w:rtl w:val="1"/>
              </w:rPr>
              <w:t>عدد المجموعات ذات المالك المحدد ÷ إجمالي المجموعات × 100</w:t>
            </w:r>
          </w:p>
        </w:tc>
      </w:tr>
      <w:tr>
        <w:trPr>
          <w:cantSplit/>
        </w:trPr>
        <w:tc>
          <w:tcPr>
            <w:tcW w:type="dxa" w:w="5102"/>
            <w:vAlign w:val="center"/>
          </w:tcPr>
          <w:p>
            <w:pPr>
              <w:bidi w:val="1"/>
              <w:jc w:val="right"/>
            </w:pPr>
            <w:r>
              <w:rPr>
                <w:rFonts w:cs="Arial"/>
                <w:b/>
                <w:color w:val="1B2A4E"/>
                <w:sz w:val="17"/>
                <w:rtl w:val="1"/>
              </w:rPr>
              <w:t>تطبيق المعادلة</w:t>
            </w:r>
          </w:p>
        </w:tc>
        <w:tc>
          <w:tcPr>
            <w:tcW w:type="dxa" w:w="3969"/>
            <w:vAlign w:val="center"/>
          </w:tcPr>
          <w:p>
            <w:pPr>
              <w:bidi w:val="1"/>
              <w:jc w:val="center"/>
            </w:pPr>
            <w:r>
              <w:rPr>
                <w:rFonts w:cs="Arial"/>
                <w:b/>
                <w:color w:val="1F6F43"/>
                <w:sz w:val="17"/>
                <w:rtl w:val="1"/>
              </w:rPr>
              <w:t>20 ÷ 20 × 100</w:t>
            </w:r>
          </w:p>
        </w:tc>
      </w:tr>
      <w:tr>
        <w:trPr>
          <w:cantSplit/>
        </w:trPr>
        <w:tc>
          <w:tcPr>
            <w:tcW w:type="dxa" w:w="5102"/>
            <w:vAlign w:val="center"/>
            <w:shd w:fill="F2F2F2"/>
          </w:tcPr>
          <w:p>
            <w:pPr>
              <w:bidi w:val="1"/>
              <w:jc w:val="right"/>
            </w:pPr>
            <w:r>
              <w:rPr>
                <w:rFonts w:cs="Arial"/>
                <w:b/>
                <w:color w:val="1B2A4E"/>
                <w:sz w:val="17"/>
                <w:rtl w:val="1"/>
              </w:rPr>
              <w:t>القيمة النهائية للمؤشر</w:t>
            </w:r>
          </w:p>
        </w:tc>
        <w:tc>
          <w:tcPr>
            <w:tcW w:type="dxa" w:w="3969"/>
            <w:vAlign w:val="center"/>
            <w:shd w:fill="F2F2F2"/>
          </w:tcPr>
          <w:p>
            <w:pPr>
              <w:bidi w:val="1"/>
              <w:jc w:val="center"/>
            </w:pPr>
            <w:r>
              <w:rPr>
                <w:rFonts w:cs="Arial"/>
                <w:b/>
                <w:color w:val="1F6F43"/>
                <w:sz w:val="17"/>
                <w:rtl w:val="1"/>
              </w:rPr>
              <w:t>100%</w:t>
            </w:r>
          </w:p>
        </w:tc>
      </w:tr>
    </w:tbl>
    <w:p/>
    <w:p>
      <w:pPr>
        <w:bidi w:val="1"/>
        <w:jc w:val="right"/>
      </w:pPr>
      <w:r>
        <w:rPr>
          <w:rFonts w:cs="Arial"/>
          <w:b w:val="0"/>
          <w:i w:val="0"/>
          <w:color w:val="262626"/>
          <w:sz w:val="19"/>
          <w:rtl w:val="1"/>
        </w:rPr>
        <w:t>القيمة الناتجة (100%) مطابقة للقيمة الحالية الواردة في بطاقة مؤشر DC-KPI-02 ضمن تقرير DC.M.3.</w:t>
      </w:r>
    </w:p>
    <w:p/>
    <w:p>
      <w:pPr>
        <w:bidi w:val="1"/>
        <w:jc w:val="right"/>
      </w:pPr>
      <w:r>
        <w:rPr>
          <w:rFonts w:cs="Arial"/>
          <w:b/>
          <w:color w:val="1B2A4E"/>
          <w:sz w:val="26"/>
          <w:rtl w:val="1"/>
        </w:rPr>
        <w:t>5.  التحقق والاعتماد</w:t>
      </w:r>
    </w:p>
    <w:p>
      <w:pPr>
        <w:bidi w:val="1"/>
        <w:jc w:val="right"/>
      </w:pPr>
      <w:r>
        <w:rPr>
          <w:rFonts w:cs="Arial"/>
          <w:b w:val="0"/>
          <w:i w:val="0"/>
          <w:color w:val="262626"/>
          <w:sz w:val="19"/>
          <w:rtl w:val="1"/>
        </w:rPr>
        <w:t>تمت مراجعة هذا السجل من مكتب إدارة البيانات، وتم التحقق من مطابقة أسماء مجموعات البيانات وملاكها الواردة فيه لمحتوى سجل DC.M.5 دون أي إضافة أو حذف أو تعديل.</w:t>
      </w:r>
    </w:p>
    <w:p/>
    <w:tbl>
      <w:tblPr>
        <w:tblStyle w:val="TableGrid"/>
        <w:tblW w:type="auto" w:w="0"/>
        <w:tblLook w:firstColumn="1" w:firstRow="1" w:lastColumn="0" w:lastRow="0" w:noHBand="0" w:noVBand="1" w:val="04A0"/>
        <w:bidiVisual w:val="1"/>
      </w:tblPr>
      <w:tblGrid>
        <w:gridCol w:w="2550"/>
        <w:gridCol w:w="2550"/>
        <w:gridCol w:w="2550"/>
        <w:gridCol w:w="2550"/>
      </w:tblGrid>
      <w:tr>
        <w:tc>
          <w:tcPr>
            <w:tcW w:type="dxa" w:w="2550"/>
            <w:shd w:fill="1B2A4E"/>
            <w:vAlign w:val="center"/>
          </w:tcPr>
          <w:p>
            <w:pPr>
              <w:bidi w:val="1"/>
              <w:jc w:val="center"/>
            </w:pPr>
            <w:r>
              <w:rPr>
                <w:rFonts w:cs="Arial"/>
                <w:b/>
                <w:color w:val="FFFFFF"/>
                <w:sz w:val="19"/>
                <w:rtl w:val="1"/>
              </w:rPr>
              <w:t>صاحب الصلاحية</w:t>
            </w:r>
          </w:p>
        </w:tc>
        <w:tc>
          <w:tcPr>
            <w:tcW w:type="dxa" w:w="2550"/>
            <w:shd w:fill="1B2A4E"/>
            <w:vAlign w:val="center"/>
          </w:tcPr>
          <w:p>
            <w:pPr>
              <w:bidi w:val="1"/>
              <w:jc w:val="center"/>
            </w:pPr>
            <w:r>
              <w:rPr>
                <w:rFonts w:cs="Arial"/>
                <w:b/>
                <w:color w:val="FFFFFF"/>
                <w:sz w:val="19"/>
                <w:rtl w:val="1"/>
              </w:rPr>
              <w:t>المسمى الوظيفي</w:t>
            </w:r>
          </w:p>
        </w:tc>
        <w:tc>
          <w:tcPr>
            <w:tcW w:type="dxa" w:w="2550"/>
            <w:shd w:fill="1B2A4E"/>
            <w:vAlign w:val="center"/>
          </w:tcPr>
          <w:p>
            <w:pPr>
              <w:bidi w:val="1"/>
              <w:jc w:val="center"/>
            </w:pPr>
            <w:r>
              <w:rPr>
                <w:rFonts w:cs="Arial"/>
                <w:b/>
                <w:color w:val="FFFFFF"/>
                <w:sz w:val="19"/>
                <w:rtl w:val="1"/>
              </w:rPr>
              <w:t>التوقيع</w:t>
            </w:r>
          </w:p>
        </w:tc>
        <w:tc>
          <w:tcPr>
            <w:tcW w:type="dxa" w:w="2550"/>
            <w:shd w:fill="1B2A4E"/>
            <w:vAlign w:val="center"/>
          </w:tcPr>
          <w:p>
            <w:pPr>
              <w:bidi w:val="1"/>
              <w:jc w:val="center"/>
            </w:pPr>
            <w:r>
              <w:rPr>
                <w:rFonts w:cs="Arial"/>
                <w:b/>
                <w:color w:val="FFFFFF"/>
                <w:sz w:val="19"/>
                <w:rtl w:val="1"/>
              </w:rPr>
              <w:t>التاريخ</w:t>
            </w:r>
          </w:p>
        </w:tc>
      </w:tr>
      <w:tr>
        <w:tc>
          <w:tcPr>
            <w:tcW w:type="dxa" w:w="2550"/>
          </w:tcPr>
          <w:p>
            <w:pPr>
              <w:bidi w:val="1"/>
              <w:jc w:val="center"/>
            </w:pPr>
            <w:r>
              <w:rPr>
                <w:rFonts w:cs="Arial"/>
                <w:sz w:val="18"/>
                <w:rtl w:val="1"/>
              </w:rPr>
              <w:t>________________</w:t>
            </w:r>
          </w:p>
        </w:tc>
        <w:tc>
          <w:tcPr>
            <w:tcW w:type="dxa" w:w="2550"/>
          </w:tcPr>
          <w:p>
            <w:pPr>
              <w:bidi w:val="1"/>
              <w:jc w:val="center"/>
            </w:pPr>
            <w:r>
              <w:rPr>
                <w:rFonts w:cs="Arial"/>
                <w:sz w:val="18"/>
                <w:rtl w:val="1"/>
              </w:rPr>
              <w:t>مدير مكتب إدارة البيانات</w:t>
            </w:r>
          </w:p>
        </w:tc>
        <w:tc>
          <w:tcPr>
            <w:tcW w:type="dxa" w:w="2550"/>
          </w:tcPr>
          <w:p>
            <w:pPr>
              <w:bidi w:val="1"/>
              <w:jc w:val="center"/>
            </w:pPr>
            <w:r>
              <w:rPr>
                <w:rFonts w:cs="Arial"/>
                <w:sz w:val="18"/>
                <w:rtl w:val="1"/>
              </w:rPr>
              <w:t>________________</w:t>
            </w:r>
          </w:p>
        </w:tc>
        <w:tc>
          <w:tcPr>
            <w:tcW w:type="dxa" w:w="2550"/>
          </w:tcPr>
          <w:p>
            <w:pPr>
              <w:bidi w:val="1"/>
              <w:jc w:val="center"/>
            </w:pPr>
            <w:r>
              <w:rPr>
                <w:rFonts w:cs="Arial"/>
                <w:sz w:val="18"/>
                <w:rtl w:val="1"/>
              </w:rPr>
              <w:t>________________</w:t>
            </w:r>
          </w:p>
        </w:tc>
      </w:tr>
    </w:tbl>
    <w:p/>
    <w:p>
      <w:pPr>
        <w:bidi w:val="1"/>
        <w:jc w:val="right"/>
      </w:pPr>
      <w:r>
        <w:rPr>
          <w:rFonts w:cs="Arial"/>
          <w:b w:val="0"/>
          <w:i/>
          <w:color w:val="595959"/>
          <w:sz w:val="16"/>
          <w:rtl w:val="1"/>
        </w:rPr>
        <w:t>ملاحظة: هذا السجل دليل داعم مستقل ضمن حزمة أدلة تصنيف البيانات الخاصة بهيئة الخدمات الحكومية الذكية (SGSA)، أُعدّ لتوثيق مصدر بيانات وطريقة احتساب مؤشر DC-KPI-02 دون تعديل أي محتوى في تقرير DC.M.3 أو سجل DC.M.5.</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