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9"/>
          <w:rtl w:val="1"/>
        </w:rPr>
        <w:t>سجل إثبات مؤشر إكمال التوعية بتصنيف البيانات (DC-KPI-03)</w:t>
      </w:r>
    </w:p>
    <w:p>
      <w:pPr>
        <w:bidi w:val="1"/>
        <w:jc w:val="right"/>
      </w:pPr>
      <w:r>
        <w:rPr>
          <w:rFonts w:cs="Arial"/>
          <w:b w:val="0"/>
          <w:i/>
          <w:color w:val="29C79A"/>
          <w:sz w:val="22"/>
          <w:rtl w:val="1"/>
        </w:rPr>
        <w:t>Training Awareness KPI Evidence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DC.M.3-E03</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DC.M.3 — تقرير مراقبة تنفيذ خطة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DC-KPI-03 — نسبة إكمال التوعية بتصنيف البيانات</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المقدمة</w:t>
      </w:r>
    </w:p>
    <w:p>
      <w:pPr>
        <w:bidi w:val="1"/>
        <w:jc w:val="right"/>
      </w:pPr>
      <w:r>
        <w:rPr>
          <w:rFonts w:cs="Arial"/>
          <w:b w:val="0"/>
          <w:i w:val="0"/>
          <w:color w:val="262626"/>
          <w:sz w:val="19"/>
          <w:rtl w:val="1"/>
        </w:rPr>
        <w:t>يوثّق هذا السجل مصدر وقابلية تتبع القيمة الحالية لمؤشر الأداء الرئيسي DC-KPI-03 (نسبة إكمال التوعية بتصنيف البيانات)، حيث يذكر تقرير DC.M.3 — تقرير مراقبة تنفيذ خطة تصنيف البيانات عبر مؤشرات الأداء الرئيسية — أن القيمة الحالية لهذا المؤشر هي 90%.</w:t>
      </w:r>
    </w:p>
    <w:p>
      <w:pPr>
        <w:bidi w:val="1"/>
        <w:jc w:val="right"/>
      </w:pPr>
      <w:r>
        <w:rPr>
          <w:rFonts w:cs="Arial"/>
          <w:b w:val="0"/>
          <w:i w:val="0"/>
          <w:color w:val="262626"/>
          <w:sz w:val="19"/>
          <w:rtl w:val="1"/>
        </w:rPr>
        <w:t>المصدر المستخدم للتحقق من هذه القيمة هو DC.M.2 — تقرير حالة تنفيذ خطة تصنيف البيانات، وهو تقرير رسمي ضمن مستودع الأدلة، أشار إليه تقرير DC.M.3 نفسه صراحةً في مقدمته بوصفه مكمِّلاً له. لا يُعيد هذا السجل احتساب النسبة الواردة، بل يوثّق وجودها في المصدر الرسمي المذكور.</w:t>
      </w:r>
    </w:p>
    <w:p/>
    <w:p>
      <w:pPr>
        <w:bidi w:val="1"/>
        <w:jc w:val="right"/>
      </w:pPr>
      <w:r>
        <w:rPr>
          <w:rFonts w:cs="Arial"/>
          <w:b/>
          <w:color w:val="1B2A4E"/>
          <w:sz w:val="26"/>
          <w:rtl w:val="1"/>
        </w:rPr>
        <w:t>2.  بيانات المصدر</w:t>
      </w:r>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DC.M.2 — تقرير حالة تنفيذ خطة تصنيف البيانات</w:t>
            </w:r>
          </w:p>
        </w:tc>
        <w:tc>
          <w:tcPr>
            <w:tcW w:type="dxa" w:w="2835"/>
          </w:tcPr>
          <w:p>
            <w:pPr>
              <w:bidi w:val="1"/>
              <w:jc w:val="right"/>
            </w:pPr>
            <w:r>
              <w:rPr>
                <w:rFonts w:cs="Arial"/>
                <w:b/>
                <w:color w:val="595959"/>
                <w:sz w:val="18"/>
                <w:rtl w:val="1"/>
              </w:rPr>
              <w:t>المصدر</w:t>
            </w:r>
          </w:p>
        </w:tc>
      </w:tr>
      <w:tr>
        <w:tc>
          <w:tcPr>
            <w:tcW w:type="dxa" w:w="6236"/>
          </w:tcPr>
          <w:p>
            <w:pPr>
              <w:bidi w:val="1"/>
              <w:jc w:val="right"/>
            </w:pPr>
            <w:r>
              <w:rPr>
                <w:rFonts w:cs="Arial"/>
                <w:color w:val="262626"/>
                <w:sz w:val="18"/>
                <w:rtl w:val="1"/>
              </w:rPr>
              <w:t>حتى يونيو 2026</w:t>
            </w:r>
          </w:p>
        </w:tc>
        <w:tc>
          <w:tcPr>
            <w:tcW w:type="dxa" w:w="2835"/>
          </w:tcPr>
          <w:p>
            <w:pPr>
              <w:bidi w:val="1"/>
              <w:jc w:val="right"/>
            </w:pPr>
            <w:r>
              <w:rPr>
                <w:rFonts w:cs="Arial"/>
                <w:b/>
                <w:color w:val="595959"/>
                <w:sz w:val="18"/>
                <w:rtl w:val="1"/>
              </w:rPr>
              <w:t>فترة التغطية</w:t>
            </w:r>
          </w:p>
        </w:tc>
      </w:tr>
      <w:tr>
        <w:tc>
          <w:tcPr>
            <w:tcW w:type="dxa" w:w="6236"/>
          </w:tcPr>
          <w:p>
            <w:pPr>
              <w:bidi w:val="1"/>
              <w:jc w:val="right"/>
            </w:pPr>
            <w:r>
              <w:rPr>
                <w:rFonts w:cs="Arial"/>
                <w:color w:val="262626"/>
                <w:sz w:val="18"/>
                <w:rtl w:val="1"/>
              </w:rPr>
              <w:t>90%</w:t>
            </w:r>
          </w:p>
        </w:tc>
        <w:tc>
          <w:tcPr>
            <w:tcW w:type="dxa" w:w="2835"/>
          </w:tcPr>
          <w:p>
            <w:pPr>
              <w:bidi w:val="1"/>
              <w:jc w:val="right"/>
            </w:pPr>
            <w:r>
              <w:rPr>
                <w:rFonts w:cs="Arial"/>
                <w:b/>
                <w:color w:val="595959"/>
                <w:sz w:val="18"/>
                <w:rtl w:val="1"/>
              </w:rPr>
              <w:t>القيمة الواردة</w:t>
            </w:r>
          </w:p>
        </w:tc>
      </w:tr>
    </w:tbl>
    <w:p/>
    <w:p>
      <w:pPr>
        <w:bidi w:val="1"/>
        <w:jc w:val="right"/>
      </w:pPr>
      <w:r>
        <w:rPr>
          <w:rFonts w:cs="Arial"/>
          <w:b/>
          <w:i w:val="0"/>
          <w:color w:val="262626"/>
          <w:sz w:val="20"/>
          <w:rtl w:val="1"/>
        </w:rPr>
        <w:t>البيانات المتعلقة الواردة في DC.M.2:</w:t>
      </w:r>
    </w:p>
    <w:p>
      <w:pPr>
        <w:bidi w:val="1"/>
        <w:jc w:val="right"/>
      </w:pPr>
      <w:r>
        <w:rPr>
          <w:rFonts w:cs="Arial"/>
          <w:color w:val="262626"/>
          <w:sz w:val="19"/>
          <w:rtl w:val="1"/>
        </w:rPr>
        <w:t>•  نسبة إنجاز برنامج التوعية والتدريب: 90%</w:t>
      </w:r>
    </w:p>
    <w:p>
      <w:pPr>
        <w:bidi w:val="1"/>
        <w:jc w:val="right"/>
      </w:pPr>
      <w:r>
        <w:rPr>
          <w:rFonts w:cs="Arial"/>
          <w:color w:val="262626"/>
          <w:sz w:val="19"/>
          <w:rtl w:val="1"/>
        </w:rPr>
        <w:t>•  عدد المشاركين: 47 موظفاً</w:t>
      </w:r>
    </w:p>
    <w:p>
      <w:pPr>
        <w:bidi w:val="1"/>
        <w:jc w:val="right"/>
      </w:pPr>
      <w:r>
        <w:rPr>
          <w:rFonts w:cs="Arial"/>
          <w:color w:val="262626"/>
          <w:sz w:val="19"/>
          <w:rtl w:val="1"/>
        </w:rPr>
        <w:t>•  تنفيذ 3 من أصل 4 ورش توعية مخططة</w:t>
      </w:r>
    </w:p>
    <w:p/>
    <w:p>
      <w:pPr>
        <w:bidi w:val="1"/>
        <w:jc w:val="right"/>
      </w:pPr>
      <w:r>
        <w:rPr>
          <w:rFonts w:cs="Arial"/>
          <w:b/>
          <w:color w:val="1B2A4E"/>
          <w:sz w:val="26"/>
          <w:rtl w:val="1"/>
        </w:rPr>
        <w:t>3.  إثبات القيمة</w:t>
      </w:r>
    </w:p>
    <w:p>
      <w:pPr>
        <w:bidi w:val="1"/>
        <w:jc w:val="right"/>
      </w:pPr>
      <w:r>
        <w:rPr>
          <w:rFonts w:cs="Arial"/>
          <w:b w:val="0"/>
          <w:i w:val="0"/>
          <w:color w:val="262626"/>
          <w:sz w:val="19"/>
          <w:rtl w:val="1"/>
        </w:rPr>
        <w:t>يعرض الجدول التالي البيانات كما وردت حرفياً في DC.M.2:</w:t>
      </w:r>
    </w:p>
    <w:tbl>
      <w:tblPr>
        <w:tblStyle w:val="TableGrid"/>
        <w:tblW w:type="auto" w:w="0"/>
        <w:tblLook w:firstColumn="1" w:firstRow="1" w:lastColumn="0" w:lastRow="0" w:noHBand="0" w:noVBand="1" w:val="04A0"/>
        <w:bidiVisual w:val="1"/>
      </w:tblPr>
      <w:tblGrid>
        <w:gridCol w:w="3969"/>
        <w:gridCol w:w="2551"/>
        <w:gridCol w:w="2551"/>
      </w:tblGrid>
      <w:tr>
        <w:trPr>
          <w:cantSplit/>
        </w:trPr>
        <w:tc>
          <w:tcPr>
            <w:tcW w:type="dxa" w:w="3400"/>
            <w:shd w:fill="1B2A4E"/>
            <w:vAlign w:val="center"/>
          </w:tcPr>
          <w:p>
            <w:pPr>
              <w:bidi w:val="1"/>
              <w:jc w:val="center"/>
            </w:pPr>
            <w:r/>
            <w:r>
              <w:rPr>
                <w:rFonts w:cs="Arial"/>
                <w:b/>
                <w:color w:val="FFFFFF"/>
                <w:sz w:val="19"/>
                <w:rtl w:val="1"/>
              </w:rPr>
              <w:t>البند</w:t>
            </w:r>
          </w:p>
        </w:tc>
        <w:tc>
          <w:tcPr>
            <w:tcW w:type="dxa" w:w="3400"/>
            <w:shd w:fill="1B2A4E"/>
            <w:vAlign w:val="center"/>
          </w:tcPr>
          <w:p>
            <w:pPr>
              <w:bidi w:val="1"/>
              <w:jc w:val="center"/>
            </w:pPr>
            <w:r/>
            <w:r>
              <w:rPr>
                <w:rFonts w:cs="Arial"/>
                <w:b/>
                <w:color w:val="FFFFFF"/>
                <w:sz w:val="19"/>
                <w:rtl w:val="1"/>
              </w:rPr>
              <w:t>القيمة</w:t>
            </w:r>
          </w:p>
        </w:tc>
        <w:tc>
          <w:tcPr>
            <w:tcW w:type="dxa" w:w="3400"/>
            <w:shd w:fill="1B2A4E"/>
            <w:vAlign w:val="center"/>
          </w:tcPr>
          <w:p>
            <w:pPr>
              <w:bidi w:val="1"/>
              <w:jc w:val="center"/>
            </w:pPr>
            <w:r/>
            <w:r>
              <w:rPr>
                <w:rFonts w:cs="Arial"/>
                <w:b/>
                <w:color w:val="FFFFFF"/>
                <w:sz w:val="19"/>
                <w:rtl w:val="1"/>
              </w:rPr>
              <w:t>المصدر</w:t>
            </w:r>
          </w:p>
        </w:tc>
      </w:tr>
      <w:tr>
        <w:trPr>
          <w:cantSplit/>
        </w:trPr>
        <w:tc>
          <w:tcPr>
            <w:tcW w:type="dxa" w:w="3969"/>
            <w:vAlign w:val="center"/>
            <w:shd w:fill="F2F2F2"/>
          </w:tcPr>
          <w:p>
            <w:pPr>
              <w:bidi w:val="1"/>
              <w:jc w:val="right"/>
            </w:pPr>
            <w:r>
              <w:rPr>
                <w:rFonts w:cs="Arial"/>
                <w:b/>
                <w:color w:val="1B2A4E"/>
                <w:sz w:val="18"/>
                <w:rtl w:val="1"/>
              </w:rPr>
              <w:t>نسبة إنجاز برنامج التوعية والتدريب</w:t>
            </w:r>
          </w:p>
        </w:tc>
        <w:tc>
          <w:tcPr>
            <w:tcW w:type="dxa" w:w="2551"/>
            <w:vAlign w:val="center"/>
            <w:shd w:fill="F2F2F2"/>
          </w:tcPr>
          <w:p>
            <w:pPr>
              <w:bidi w:val="1"/>
              <w:jc w:val="right"/>
            </w:pPr>
            <w:r>
              <w:rPr>
                <w:rFonts w:cs="Arial"/>
                <w:b/>
                <w:color w:val="1F6F43"/>
                <w:sz w:val="18"/>
                <w:rtl w:val="1"/>
              </w:rPr>
              <w:t>90%</w:t>
            </w:r>
          </w:p>
        </w:tc>
        <w:tc>
          <w:tcPr>
            <w:tcW w:type="dxa" w:w="2551"/>
            <w:vAlign w:val="center"/>
            <w:shd w:fill="F2F2F2"/>
          </w:tcPr>
          <w:p>
            <w:pPr>
              <w:bidi w:val="1"/>
              <w:jc w:val="right"/>
            </w:pPr>
            <w:r>
              <w:rPr>
                <w:rFonts w:cs="Arial"/>
                <w:i/>
                <w:color w:val="262626"/>
                <w:sz w:val="18"/>
                <w:rtl w:val="1"/>
              </w:rPr>
              <w:t>DC.M.2</w:t>
            </w:r>
          </w:p>
        </w:tc>
      </w:tr>
      <w:tr>
        <w:trPr>
          <w:cantSplit/>
        </w:trPr>
        <w:tc>
          <w:tcPr>
            <w:tcW w:type="dxa" w:w="3969"/>
            <w:vAlign w:val="center"/>
          </w:tcPr>
          <w:p>
            <w:pPr>
              <w:bidi w:val="1"/>
              <w:jc w:val="right"/>
            </w:pPr>
            <w:r>
              <w:rPr>
                <w:rFonts w:cs="Arial"/>
                <w:b/>
                <w:color w:val="1B2A4E"/>
                <w:sz w:val="18"/>
                <w:rtl w:val="1"/>
              </w:rPr>
              <w:t>عدد المشاركين</w:t>
            </w:r>
          </w:p>
        </w:tc>
        <w:tc>
          <w:tcPr>
            <w:tcW w:type="dxa" w:w="2551"/>
            <w:vAlign w:val="center"/>
          </w:tcPr>
          <w:p>
            <w:pPr>
              <w:bidi w:val="1"/>
              <w:jc w:val="right"/>
            </w:pPr>
            <w:r>
              <w:rPr>
                <w:rFonts w:cs="Arial"/>
                <w:b/>
                <w:color w:val="1F6F43"/>
                <w:sz w:val="18"/>
                <w:rtl w:val="1"/>
              </w:rPr>
              <w:t>47 موظفاً</w:t>
            </w:r>
          </w:p>
        </w:tc>
        <w:tc>
          <w:tcPr>
            <w:tcW w:type="dxa" w:w="2551"/>
            <w:vAlign w:val="center"/>
          </w:tcPr>
          <w:p>
            <w:pPr>
              <w:bidi w:val="1"/>
              <w:jc w:val="right"/>
            </w:pPr>
            <w:r>
              <w:rPr>
                <w:rFonts w:cs="Arial"/>
                <w:i/>
                <w:color w:val="262626"/>
                <w:sz w:val="18"/>
                <w:rtl w:val="1"/>
              </w:rPr>
              <w:t>DC.M.2</w:t>
            </w:r>
          </w:p>
        </w:tc>
      </w:tr>
      <w:tr>
        <w:trPr>
          <w:cantSplit/>
        </w:trPr>
        <w:tc>
          <w:tcPr>
            <w:tcW w:type="dxa" w:w="3969"/>
            <w:vAlign w:val="center"/>
            <w:shd w:fill="F2F2F2"/>
          </w:tcPr>
          <w:p>
            <w:pPr>
              <w:bidi w:val="1"/>
              <w:jc w:val="right"/>
            </w:pPr>
            <w:r>
              <w:rPr>
                <w:rFonts w:cs="Arial"/>
                <w:b/>
                <w:color w:val="1B2A4E"/>
                <w:sz w:val="18"/>
                <w:rtl w:val="1"/>
              </w:rPr>
              <w:t>الورش المنفذة</w:t>
            </w:r>
          </w:p>
        </w:tc>
        <w:tc>
          <w:tcPr>
            <w:tcW w:type="dxa" w:w="2551"/>
            <w:vAlign w:val="center"/>
            <w:shd w:fill="F2F2F2"/>
          </w:tcPr>
          <w:p>
            <w:pPr>
              <w:bidi w:val="1"/>
              <w:jc w:val="right"/>
            </w:pPr>
            <w:r>
              <w:rPr>
                <w:rFonts w:cs="Arial"/>
                <w:b/>
                <w:color w:val="1F6F43"/>
                <w:sz w:val="18"/>
                <w:rtl w:val="1"/>
              </w:rPr>
              <w:t>3 من أصل 4</w:t>
            </w:r>
          </w:p>
        </w:tc>
        <w:tc>
          <w:tcPr>
            <w:tcW w:type="dxa" w:w="2551"/>
            <w:vAlign w:val="center"/>
            <w:shd w:fill="F2F2F2"/>
          </w:tcPr>
          <w:p>
            <w:pPr>
              <w:bidi w:val="1"/>
              <w:jc w:val="right"/>
            </w:pPr>
            <w:r>
              <w:rPr>
                <w:rFonts w:cs="Arial"/>
                <w:i/>
                <w:color w:val="262626"/>
                <w:sz w:val="18"/>
                <w:rtl w:val="1"/>
              </w:rPr>
              <w:t>DC.M.2</w:t>
            </w:r>
          </w:p>
        </w:tc>
      </w:tr>
    </w:tbl>
    <w:p/>
    <w:p>
      <w:pPr>
        <w:bidi w:val="1"/>
        <w:jc w:val="right"/>
      </w:pPr>
      <w:r>
        <w:rPr>
          <w:rFonts w:cs="Arial"/>
          <w:b/>
          <w:color w:val="1B2A4E"/>
          <w:sz w:val="26"/>
          <w:rtl w:val="1"/>
        </w:rPr>
        <w:t>4.  حدود إعادة الاحتساب</w:t>
      </w:r>
    </w:p>
    <w:p>
      <w:pPr>
        <w:bidi w:val="1"/>
        <w:jc w:val="right"/>
      </w:pPr>
      <w:r>
        <w:rPr>
          <w:rFonts w:cs="Arial"/>
          <w:b w:val="0"/>
          <w:i w:val="0"/>
          <w:color w:val="262626"/>
          <w:sz w:val="19"/>
          <w:rtl w:val="1"/>
        </w:rPr>
        <w:t>لا يتضمن المصدر DC.M.2 قيمة إجمالي الموظفين المستهدفين اللازمة لإعادة تطبيق معادلة المؤشر حرفياً، لذلك يقتصر هذا السجل على إثبات القيمة الواردة في المصدر الرسمي ولا يقدم احتساباً مستقلاً للمؤشر.</w:t>
      </w:r>
    </w:p>
    <w:p/>
    <w:p>
      <w:pPr>
        <w:bidi w:val="1"/>
        <w:jc w:val="right"/>
      </w:pPr>
      <w:r>
        <w:rPr>
          <w:rFonts w:cs="Arial"/>
          <w:b/>
          <w:color w:val="1B2A4E"/>
          <w:sz w:val="26"/>
          <w:rtl w:val="1"/>
        </w:rPr>
        <w:t>5.  التسلسل الزمني</w:t>
      </w:r>
    </w:p>
    <w:p>
      <w:pPr>
        <w:bidi w:val="1"/>
        <w:jc w:val="right"/>
      </w:pPr>
      <w:r>
        <w:rPr>
          <w:rFonts w:cs="Arial"/>
          <w:color w:val="262626"/>
          <w:sz w:val="19"/>
          <w:rtl w:val="1"/>
        </w:rPr>
        <w:t>•  DC.M.2 وDC.M.3 يعكسان دورة القياس حتى يونيو 2026، وكانت القيمة 90%.</w:t>
      </w:r>
    </w:p>
    <w:p>
      <w:pPr>
        <w:bidi w:val="1"/>
        <w:jc w:val="right"/>
      </w:pPr>
      <w:r>
        <w:rPr>
          <w:rFonts w:cs="Arial"/>
          <w:color w:val="262626"/>
          <w:sz w:val="19"/>
          <w:rtl w:val="1"/>
        </w:rPr>
        <w:t>•  DC.M.4 يمثل دورة قياس لاحقة بعد إجراءات تحسين، وذكر ارتفاع القيمة إلى 95%.</w:t>
      </w:r>
    </w:p>
    <w:p>
      <w:pPr>
        <w:bidi w:val="1"/>
        <w:jc w:val="right"/>
      </w:pPr>
      <w:r>
        <w:rPr>
          <w:rFonts w:cs="Arial"/>
          <w:color w:val="262626"/>
          <w:sz w:val="19"/>
          <w:rtl w:val="1"/>
        </w:rPr>
        <w:t>•  لا يوجد تعارض بين القيمتين لاختلاف فترة القياس.</w:t>
      </w:r>
    </w:p>
    <w:p/>
    <w:p>
      <w:pPr>
        <w:bidi w:val="1"/>
        <w:jc w:val="right"/>
      </w:pPr>
      <w:r>
        <w:rPr>
          <w:rFonts w:cs="Arial"/>
          <w:b/>
          <w:color w:val="1B2A4E"/>
          <w:sz w:val="26"/>
          <w:rtl w:val="1"/>
        </w:rPr>
        <w:t>6.  التحقق والاعتماد</w:t>
      </w:r>
    </w:p>
    <w:p>
      <w:pPr>
        <w:bidi w:val="1"/>
        <w:jc w:val="right"/>
      </w:pPr>
      <w:r>
        <w:rPr>
          <w:rFonts w:cs="Arial"/>
          <w:b w:val="0"/>
          <w:i w:val="0"/>
          <w:color w:val="262626"/>
          <w:sz w:val="19"/>
          <w:rtl w:val="1"/>
        </w:rPr>
        <w:t>تمت مراجعة هذا السجل والتحقق من مطابقة البيانات الواردة فيه لمحتوى DC.M.2 دون إضافة أو حذف أو تعديل.</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مصدر وقابلية تتبع قيمة مؤشر DC-KPI-03 دون تعديل أي محتوى في تقرير DC.M.3 أو تقرير DC.M.2.</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