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jc w:val="center"/>
      </w:pPr>
      <w:r>
        <w:rPr>
          <w:rFonts w:ascii="Arial" w:cs="Arial" w:eastAsia="Arial" w:hAnsi="Arial"/>
          <w:b/>
          <w:bCs/>
          <w:color w:val="1B4F8A"/>
          <w:sz w:val="72"/>
          <w:szCs w:val="72"/>
        </w:rPr>
        <w:t xml:space="preserve">TWSELA</w:t>
      </w:r>
    </w:p>
    <w:p>
      <w:pPr>
        <w:spacing w:after="480" w:before="120"/>
        <w:jc w:val="center"/>
      </w:pPr>
      <w:r>
        <w:rPr>
          <w:rFonts w:ascii="Arial" w:cs="Arial" w:eastAsia="Arial" w:hAnsi="Arial"/>
          <w:color w:val="0E7C7B"/>
          <w:sz w:val="36"/>
          <w:szCs w:val="36"/>
        </w:rPr>
        <w:t xml:space="preserve">Courier Management System</w:t>
      </w:r>
    </w:p>
    <w:p>
      <w:pPr>
        <w:pBdr>
          <w:bottom w:val="single" w:color="0E7C7B" w:sz="8" w:space="1"/>
        </w:pBdr>
        <w:spacing w:after="120" w:before="0"/>
      </w:pPr>
      <w:r>
        <w:t xml:space="preserve"/>
      </w:r>
    </w:p>
    <w:p>
      <w:pPr>
        <w:spacing w:after="0" w:before="400"/>
      </w:pPr>
    </w:p>
    <w:p>
      <w:pPr>
        <w:spacing w:after="100" w:before="200"/>
        <w:jc w:val="center"/>
      </w:pPr>
      <w:r>
        <w:rPr>
          <w:rFonts w:ascii="Arial" w:cs="Arial" w:eastAsia="Arial" w:hAnsi="Arial"/>
          <w:b/>
          <w:bCs/>
          <w:caps/>
          <w:color w:val="1A1A2E"/>
          <w:sz w:val="28"/>
          <w:szCs w:val="28"/>
        </w:rPr>
        <w:t xml:space="preserve">COMPLETE TECHNICAL DOCUMENTATION</w:t>
      </w:r>
    </w:p>
    <w:p>
      <w:pPr>
        <w:spacing w:after="400" w:before="60"/>
        <w:jc w:val="center"/>
      </w:pPr>
      <w:r>
        <w:rPr>
          <w:rFonts w:ascii="Arial" w:cs="Arial" w:eastAsia="Arial" w:hAnsi="Arial"/>
          <w:color w:val="555555"/>
          <w:sz w:val="22"/>
          <w:szCs w:val="22"/>
        </w:rPr>
        <w:t xml:space="preserve">System Overview  •  Database Architecture  •  Backend  •  Frontend  •  DevOps</w:t>
      </w:r>
    </w:p>
    <w:p>
      <w:pPr>
        <w:spacing w:after="0" w:before="1600"/>
      </w:pPr>
    </w:p>
    <w:p>
      <w:pPr>
        <w:spacing w:after="20" w:before="20"/>
        <w:jc w:val="center"/>
      </w:pPr>
      <w:r>
        <w:rPr>
          <w:rFonts w:ascii="Arial" w:cs="Arial" w:eastAsia="Arial" w:hAnsi="Arial"/>
          <w:color w:val="555555"/>
          <w:sz w:val="20"/>
          <w:szCs w:val="20"/>
        </w:rPr>
        <w:t xml:space="preserve">Version 1.0  —  Final  |  All 26 Documents</w:t>
      </w:r>
    </w:p>
    <w:p>
      <w:pPr>
        <w:spacing w:after="0" w:before="0"/>
        <w:jc w:val="center"/>
      </w:pPr>
      <w:r>
        <w:rPr>
          <w:rFonts w:ascii="Arial" w:cs="Arial" w:eastAsia="Arial" w:hAnsi="Arial"/>
          <w:color w:val="555555"/>
          <w:sz w:val="20"/>
          <w:szCs w:val="20"/>
        </w:rPr>
        <w:t xml:space="preserve">Confidential — Internal Use Only</w:t>
      </w:r>
    </w:p>
    <w:p>
      <w:r>
        <w:br w:type="page"/>
      </w:r>
    </w:p>
    <w:p>
      <w:pPr>
        <w:pStyle w:val="Heading1"/>
        <w:spacing w:after="120" w:before="0"/>
      </w:pPr>
      <w:r>
        <w:rPr>
          <w:rFonts w:ascii="Arial" w:cs="Arial" w:eastAsia="Arial" w:hAnsi="Arial"/>
          <w:b/>
          <w:bCs/>
          <w:color w:val="1B4F8A"/>
          <w:sz w:val="32"/>
          <w:szCs w:val="32"/>
        </w:rPr>
        <w:t xml:space="preserve">Table of Contents</w:t>
      </w:r>
    </w:p>
    <w:p>
      <w:pPr>
        <w:pBdr>
          <w:bottom w:val="single" w:color="1B4F8A" w:sz="6" w:space="1"/>
        </w:pBdr>
        <w:spacing w:after="12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400"/>
      </w:pPr>
      <w:r>
        <w:rPr>
          <w:rFonts w:ascii="Arial" w:cs="Arial" w:eastAsia="Arial" w:hAnsi="Arial"/>
          <w:b/>
          <w:bCs/>
          <w:color w:val="1B4F8A"/>
          <w:sz w:val="32"/>
          <w:szCs w:val="32"/>
        </w:rPr>
        <w:t xml:space="preserve">01. System Overview</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1.1  Document Purpose</w:t>
      </w:r>
    </w:p>
    <w:p>
      <w:pPr>
        <w:spacing w:after="80" w:before="60"/>
        <w:jc w:val="both"/>
      </w:pPr>
      <w:r>
        <w:rPr>
          <w:rFonts w:ascii="Arial" w:cs="Arial" w:eastAsia="Arial" w:hAnsi="Arial"/>
          <w:color w:val="1A1A2E"/>
          <w:sz w:val="22"/>
          <w:szCs w:val="22"/>
        </w:rPr>
        <w:t xml:space="preserve">This document provides a comprehensive overview of the Twsela Courier Management System (CMS). Twsela is designed to manage end-to-end logistics, from merchant order creation to last-mile delivery, vehicle tracking, warehouse management, and financial settlements.</w:t>
      </w:r>
    </w:p>
    <w:p>
      <w:pPr>
        <w:pStyle w:val="Heading2"/>
        <w:spacing w:after="120" w:before="280"/>
      </w:pPr>
      <w:r>
        <w:rPr>
          <w:rFonts w:ascii="Arial" w:cs="Arial" w:eastAsia="Arial" w:hAnsi="Arial"/>
          <w:b/>
          <w:bCs/>
          <w:color w:val="0E7C7B"/>
          <w:sz w:val="26"/>
          <w:szCs w:val="26"/>
        </w:rPr>
        <w:t xml:space="preserve">1.2  Core System Objectives</w:t>
      </w:r>
    </w:p>
    <w:p>
      <w:pPr>
        <w:spacing w:after="80" w:before="60"/>
        <w:jc w:val="both"/>
      </w:pPr>
      <w:r>
        <w:rPr>
          <w:rFonts w:ascii="Arial" w:cs="Arial" w:eastAsia="Arial" w:hAnsi="Arial"/>
          <w:color w:val="1A1A2E"/>
          <w:sz w:val="22"/>
          <w:szCs w:val="22"/>
        </w:rPr>
        <w:t xml:space="preserve">The primary objective of Twsela is to automate and streamline the logistics process for courier operations. Key objectives include:</w:t>
      </w:r>
    </w:p>
    <w:p>
      <w:pPr>
        <w:spacing w:after="0" w:before="80"/>
      </w:pPr>
    </w:p>
    <w:p>
      <w:pPr>
        <w:pStyle w:val="ListParagraph"/>
        <w:numPr>
          <w:ilvl w:val="0"/>
          <w:numId w:val="2"/>
        </w:numPr>
      </w:pPr>
      <w:r>
        <w:rPr>
          <w:rFonts w:ascii="Arial" w:cs="Arial" w:eastAsia="Arial" w:hAnsi="Arial"/>
          <w:color w:val="1A1A2E"/>
          <w:sz w:val="22"/>
          <w:szCs w:val="22"/>
        </w:rPr>
        <w:t xml:space="preserve">Seamless onboarding for Merchants and B2B clients.</w:t>
      </w:r>
    </w:p>
    <w:p>
      <w:pPr>
        <w:pStyle w:val="ListParagraph"/>
        <w:numPr>
          <w:ilvl w:val="0"/>
          <w:numId w:val="2"/>
        </w:numPr>
      </w:pPr>
      <w:r>
        <w:rPr>
          <w:rFonts w:ascii="Arial" w:cs="Arial" w:eastAsia="Arial" w:hAnsi="Arial"/>
          <w:color w:val="1A1A2E"/>
          <w:sz w:val="22"/>
          <w:szCs w:val="22"/>
        </w:rPr>
        <w:t xml:space="preserve">Automated routing and dispatch algorithms for Couriers.</w:t>
      </w:r>
    </w:p>
    <w:p>
      <w:pPr>
        <w:pStyle w:val="ListParagraph"/>
        <w:numPr>
          <w:ilvl w:val="0"/>
          <w:numId w:val="2"/>
        </w:numPr>
      </w:pPr>
      <w:r>
        <w:rPr>
          <w:rFonts w:ascii="Arial" w:cs="Arial" w:eastAsia="Arial" w:hAnsi="Arial"/>
          <w:color w:val="1A1A2E"/>
          <w:sz w:val="22"/>
          <w:szCs w:val="22"/>
        </w:rPr>
        <w:t xml:space="preserve">Comprehensive warehousing and inventory tracking.</w:t>
      </w:r>
    </w:p>
    <w:p>
      <w:pPr>
        <w:pStyle w:val="ListParagraph"/>
        <w:numPr>
          <w:ilvl w:val="0"/>
          <w:numId w:val="2"/>
        </w:numPr>
      </w:pPr>
      <w:r>
        <w:rPr>
          <w:rFonts w:ascii="Arial" w:cs="Arial" w:eastAsia="Arial" w:hAnsi="Arial"/>
          <w:color w:val="1A1A2E"/>
          <w:sz w:val="22"/>
          <w:szCs w:val="22"/>
        </w:rPr>
        <w:t xml:space="preserve">Strict financial ledger and wallet tracking.</w:t>
      </w:r>
    </w:p>
    <w:p>
      <w:pPr>
        <w:pStyle w:val="ListParagraph"/>
        <w:numPr>
          <w:ilvl w:val="0"/>
          <w:numId w:val="2"/>
        </w:numPr>
      </w:pPr>
      <w:r>
        <w:rPr>
          <w:rFonts w:ascii="Arial" w:cs="Arial" w:eastAsia="Arial" w:hAnsi="Arial"/>
          <w:color w:val="1A1A2E"/>
          <w:sz w:val="22"/>
          <w:szCs w:val="22"/>
        </w:rPr>
        <w:t xml:space="preserve">Arabic-first (RTL) frontend support with high accessibility.</w:t>
      </w:r>
    </w:p>
    <w:p>
      <w:pPr>
        <w:spacing w:after="0" w:before="160"/>
      </w:pPr>
    </w:p>
    <w:p>
      <w:pPr>
        <w:pStyle w:val="Heading2"/>
        <w:spacing w:after="120" w:before="280"/>
      </w:pPr>
      <w:r>
        <w:rPr>
          <w:rFonts w:ascii="Arial" w:cs="Arial" w:eastAsia="Arial" w:hAnsi="Arial"/>
          <w:b/>
          <w:bCs/>
          <w:color w:val="0E7C7B"/>
          <w:sz w:val="26"/>
          <w:szCs w:val="26"/>
        </w:rPr>
        <w:t xml:space="preserve">1.3  Core User Roles</w:t>
      </w:r>
    </w:p>
    <w:p>
      <w:pPr>
        <w:spacing w:after="80" w:before="60"/>
        <w:jc w:val="both"/>
      </w:pPr>
      <w:r>
        <w:rPr>
          <w:rFonts w:ascii="Arial" w:cs="Arial" w:eastAsia="Arial" w:hAnsi="Arial"/>
          <w:color w:val="1A1A2E"/>
          <w:sz w:val="22"/>
          <w:szCs w:val="22"/>
        </w:rPr>
        <w:t xml:space="preserve">The system employs a strict Role-Based Access Control (RBAC) model. The five primary roles are: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18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Owner</w:t>
            </w:r>
          </w:p>
        </w:tc>
        <w:tc>
          <w:tcPr>
            <w:tcW w:type="dxa" w:w="75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System super-administrator. Global view over all tenants, system settings, global financial ledgers, and API configurations.</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Admin</w:t>
            </w:r>
          </w:p>
        </w:tc>
        <w:tc>
          <w:tcPr>
            <w:tcW w:type="dxa" w:w="7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Operational managers handling daily logistics, dispute resolution, pricing configurations, and courier oversight.</w:t>
            </w:r>
          </w:p>
        </w:tc>
      </w:tr>
      <w:tr>
        <w:tc>
          <w:tcPr>
            <w:tcW w:type="dxa" w:w="18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Merchant</w:t>
            </w:r>
          </w:p>
        </w:tc>
        <w:tc>
          <w:tcPr>
            <w:tcW w:type="dxa" w:w="75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Primary B2B user. Creates shipments, integrates APIs (e.g., Shopify), tracks COD flows, and requests wallet payouts.</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Courier</w:t>
            </w:r>
          </w:p>
        </w:tc>
        <w:tc>
          <w:tcPr>
            <w:tcW w:type="dxa" w:w="7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Fleet drivers. Views optimised routes, scans QR codes, updates shipment statuses, and collects Proof of Delivery.</w:t>
            </w:r>
          </w:p>
        </w:tc>
      </w:tr>
      <w:tr>
        <w:tc>
          <w:tcPr>
            <w:tcW w:type="dxa" w:w="18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Warehouse</w:t>
            </w:r>
          </w:p>
        </w:tc>
        <w:tc>
          <w:tcPr>
            <w:tcW w:type="dxa" w:w="75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Hub staff. Receives shipments, scans into storage bins, generates manifests, and loads vehicles.</w:t>
            </w:r>
          </w:p>
        </w:tc>
      </w:tr>
    </w:tbl>
    <w:p>
      <w:pPr>
        <w:spacing w:after="0" w:before="160"/>
      </w:pPr>
    </w:p>
    <w:p>
      <w:pPr>
        <w:pStyle w:val="Heading2"/>
        <w:spacing w:after="120" w:before="280"/>
      </w:pPr>
      <w:r>
        <w:rPr>
          <w:rFonts w:ascii="Arial" w:cs="Arial" w:eastAsia="Arial" w:hAnsi="Arial"/>
          <w:b/>
          <w:bCs/>
          <w:color w:val="0E7C7B"/>
          <w:sz w:val="26"/>
          <w:szCs w:val="26"/>
        </w:rPr>
        <w:t xml:space="preserve">1.4  Technology Stack Overview</w:t>
      </w:r>
    </w:p>
    <w:p>
      <w:pPr>
        <w:spacing w:after="80" w:before="60"/>
        <w:jc w:val="both"/>
      </w:pPr>
      <w:r>
        <w:rPr>
          <w:rFonts w:ascii="Arial" w:cs="Arial" w:eastAsia="Arial" w:hAnsi="Arial"/>
          <w:color w:val="1A1A2E"/>
          <w:sz w:val="22"/>
          <w:szCs w:val="22"/>
        </w:rPr>
        <w:t xml:space="preserve">Twsela is built on a modern, performant stack chosen for scalability and maintainability: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Backend Framework</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Java 17+ with Spring Boot 3.x</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Vanilla JavaScript (ES6+), Vite Bundler, Tailwind CSS</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Primary Database</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Relational (MySQL / PostgreSQL) — 100 core tables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Caching Layer</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 — session management, API rate limiting, route caching</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Infrastructure</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Nginx reverse proxy — static asset serving + routing to Spring Boot</w:t>
            </w:r>
          </w:p>
        </w:tc>
      </w:tr>
    </w:tbl>
    <w:p>
      <w:r>
        <w:br w:type="page"/>
      </w:r>
    </w:p>
    <w:p>
      <w:pPr>
        <w:pStyle w:val="Heading1"/>
        <w:spacing w:after="140" w:before="400"/>
      </w:pPr>
      <w:r>
        <w:rPr>
          <w:rFonts w:ascii="Arial" w:cs="Arial" w:eastAsia="Arial" w:hAnsi="Arial"/>
          <w:b/>
          <w:bCs/>
          <w:color w:val="1B4F8A"/>
          <w:sz w:val="32"/>
          <w:szCs w:val="32"/>
        </w:rPr>
        <w:t xml:space="preserve">02. Database Architecture</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2.1  Architectural Philosophy</w:t>
      </w:r>
    </w:p>
    <w:p>
      <w:pPr>
        <w:spacing w:after="80" w:before="60"/>
        <w:jc w:val="both"/>
      </w:pPr>
      <w:r>
        <w:rPr>
          <w:rFonts w:ascii="Arial" w:cs="Arial" w:eastAsia="Arial" w:hAnsi="Arial"/>
          <w:color w:val="1A1A2E"/>
          <w:sz w:val="22"/>
          <w:szCs w:val="22"/>
        </w:rPr>
        <w:t xml:space="preserve">The Twsela database is a strictly relational model containing exactly 100 core tables. This model was simplified from a larger legacy schema to remove feature bloat, focusing entirely on performance, strict foreign key constraints, and clean data isolation.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Design Principle</w:t>
            </w:r>
          </w:p>
          <w:p>
            <w:pPr>
              <w:spacing w:after="40" w:before="0"/>
            </w:pPr>
            <w:r>
              <w:rPr>
                <w:rFonts w:ascii="Arial" w:cs="Arial" w:eastAsia="Arial" w:hAnsi="Arial"/>
                <w:color w:val="1A1A2E"/>
                <w:sz w:val="20"/>
                <w:szCs w:val="20"/>
              </w:rPr>
              <w:t xml:space="preserve">100 core tables — no more, no less.</w:t>
            </w:r>
          </w:p>
          <w:p>
            <w:pPr>
              <w:spacing w:after="40" w:before="0"/>
            </w:pPr>
            <w:r>
              <w:rPr>
                <w:rFonts w:ascii="Arial" w:cs="Arial" w:eastAsia="Arial" w:hAnsi="Arial"/>
                <w:color w:val="1A1A2E"/>
                <w:sz w:val="20"/>
                <w:szCs w:val="20"/>
              </w:rPr>
              <w:t xml:space="preserve">Strict referential integrity enforced at the database level.</w:t>
            </w:r>
          </w:p>
          <w:p>
            <w:pPr>
              <w:spacing w:after="40" w:before="0"/>
            </w:pPr>
            <w:r>
              <w:rPr>
                <w:rFonts w:ascii="Arial" w:cs="Arial" w:eastAsia="Arial" w:hAnsi="Arial"/>
                <w:color w:val="1A1A2E"/>
                <w:sz w:val="20"/>
                <w:szCs w:val="20"/>
              </w:rPr>
              <w:t xml:space="preserve">Queries scoped by tenant_id at the Repository layer using Hibernate filters or explicit WHERE clauses.</w:t>
            </w:r>
          </w:p>
        </w:tc>
      </w:tr>
    </w:tbl>
    <w:p>
      <w:pPr>
        <w:spacing w:after="0" w:before="160"/>
      </w:pPr>
    </w:p>
    <w:p>
      <w:pPr>
        <w:pStyle w:val="Heading2"/>
        <w:spacing w:after="120" w:before="280"/>
      </w:pPr>
      <w:r>
        <w:rPr>
          <w:rFonts w:ascii="Arial" w:cs="Arial" w:eastAsia="Arial" w:hAnsi="Arial"/>
          <w:b/>
          <w:bCs/>
          <w:color w:val="0E7C7B"/>
          <w:sz w:val="26"/>
          <w:szCs w:val="26"/>
        </w:rPr>
        <w:t xml:space="preserve">2.2  Multi-Tenancy Strategy</w:t>
      </w:r>
    </w:p>
    <w:p>
      <w:pPr>
        <w:spacing w:after="80" w:before="60"/>
        <w:jc w:val="both"/>
      </w:pPr>
      <w:r>
        <w:rPr>
          <w:rFonts w:ascii="Arial" w:cs="Arial" w:eastAsia="Arial" w:hAnsi="Arial"/>
          <w:color w:val="1A1A2E"/>
          <w:sz w:val="22"/>
          <w:szCs w:val="22"/>
        </w:rPr>
        <w:t xml:space="preserve">Twsela supports a multi-tenant architecture. Most operational tables (e.g., shipments, invoices, vehicles) include a tenant_id column. Queries are strictly scoped by tenant_id at the Repository layer. Global tables (like tenants, users, currencies) are accessed system-wide but managed only by the Owner.</w:t>
      </w:r>
    </w:p>
    <w:p>
      <w:pPr>
        <w:pStyle w:val="Heading2"/>
        <w:spacing w:after="120" w:before="280"/>
      </w:pPr>
      <w:r>
        <w:rPr>
          <w:rFonts w:ascii="Arial" w:cs="Arial" w:eastAsia="Arial" w:hAnsi="Arial"/>
          <w:b/>
          <w:bCs/>
          <w:color w:val="0E7C7B"/>
          <w:sz w:val="26"/>
          <w:szCs w:val="26"/>
        </w:rPr>
        <w:t xml:space="preserve">2.3  Primary and Foreign Keys</w:t>
      </w:r>
    </w:p>
    <w:p>
      <w:pPr>
        <w:spacing w:after="80" w:before="60"/>
        <w:jc w:val="both"/>
      </w:pPr>
      <w:r>
        <w:rPr>
          <w:rFonts w:ascii="Arial" w:cs="Arial" w:eastAsia="Arial" w:hAnsi="Arial"/>
          <w:color w:val="1A1A2E"/>
          <w:sz w:val="22"/>
          <w:szCs w:val="22"/>
        </w:rPr>
        <w:t xml:space="preserve">All tables utilize BIGINT auto-incrementing IDs or UUIDs for primary keys. UUIDs are heavily preferred for public-facing entities (shipments, invoices) to prevent IDOR vulnerabilities. Strict referential integrity is enforced at the database level. Deletions cascade for minor child records, but are restricted for critical financial or operational records.</w:t>
      </w:r>
    </w:p>
    <w:p>
      <w:pPr>
        <w:pStyle w:val="Heading2"/>
        <w:spacing w:after="120" w:before="280"/>
      </w:pPr>
      <w:r>
        <w:rPr>
          <w:rFonts w:ascii="Arial" w:cs="Arial" w:eastAsia="Arial" w:hAnsi="Arial"/>
          <w:b/>
          <w:bCs/>
          <w:color w:val="0E7C7B"/>
          <w:sz w:val="26"/>
          <w:szCs w:val="26"/>
        </w:rPr>
        <w:t xml:space="preserve">2.4  Indexing Strategy</w:t>
      </w:r>
    </w:p>
    <w:p>
      <w:pPr>
        <w:spacing w:after="0" w:before="80"/>
      </w:pPr>
    </w:p>
    <w:p>
      <w:pPr>
        <w:pStyle w:val="ListParagraph"/>
        <w:numPr>
          <w:ilvl w:val="0"/>
          <w:numId w:val="2"/>
        </w:numPr>
      </w:pPr>
      <w:r>
        <w:rPr>
          <w:rFonts w:ascii="Arial" w:cs="Arial" w:eastAsia="Arial" w:hAnsi="Arial"/>
          <w:color w:val="1A1A2E"/>
          <w:sz w:val="22"/>
          <w:szCs w:val="22"/>
        </w:rPr>
        <w:t xml:space="preserve">All Foreign Keys are indexed.</w:t>
      </w:r>
    </w:p>
    <w:p>
      <w:pPr>
        <w:pStyle w:val="ListParagraph"/>
        <w:numPr>
          <w:ilvl w:val="0"/>
          <w:numId w:val="2"/>
        </w:numPr>
      </w:pPr>
      <w:r>
        <w:rPr>
          <w:rFonts w:ascii="Arial" w:cs="Arial" w:eastAsia="Arial" w:hAnsi="Arial"/>
          <w:color w:val="1A1A2E"/>
          <w:sz w:val="22"/>
          <w:szCs w:val="22"/>
        </w:rPr>
        <w:t xml:space="preserve">Composite indexes are heavily utilised — e.g., shipments has a composite index on tenant_id + merchant_id + status to dramatically speed up Merchant Dashboard queries.</w:t>
      </w:r>
    </w:p>
    <w:p>
      <w:pPr>
        <w:pStyle w:val="ListParagraph"/>
        <w:numPr>
          <w:ilvl w:val="0"/>
          <w:numId w:val="2"/>
        </w:numPr>
      </w:pPr>
      <w:r>
        <w:rPr>
          <w:rFonts w:ascii="Arial" w:cs="Arial" w:eastAsia="Arial" w:hAnsi="Arial"/>
          <w:color w:val="1A1A2E"/>
          <w:sz w:val="22"/>
          <w:szCs w:val="22"/>
        </w:rPr>
        <w:t xml:space="preserve">Temporal columns such as created_at are indexed where time-series queries are frequent (e.g., shipment_status_history, payment_transactions).</w:t>
      </w:r>
    </w:p>
    <w:p>
      <w:r>
        <w:br w:type="page"/>
      </w:r>
    </w:p>
    <w:p>
      <w:pPr>
        <w:pStyle w:val="Heading1"/>
        <w:spacing w:after="140" w:before="400"/>
      </w:pPr>
      <w:r>
        <w:rPr>
          <w:rFonts w:ascii="Arial" w:cs="Arial" w:eastAsia="Arial" w:hAnsi="Arial"/>
          <w:b/>
          <w:bCs/>
          <w:color w:val="1B4F8A"/>
          <w:sz w:val="32"/>
          <w:szCs w:val="32"/>
        </w:rPr>
        <w:t xml:space="preserve">03. DB: Core Tenancy &amp; Users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3.1  Tenancy Tables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Stores the root entities of isolated business units using the system.</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`tenant_users`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Associative entity linking users to tenants. A single user may belong to multiple tenants (e.g., a regional manager).</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`tenant_configurations`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JSON or key-value pairs defining specific rules per tenant (e.g., default currency, timezone).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`tenant_branding`</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Stores URLs to logos and colour hex codes to white-label the frontend interface.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`tenant_invitations`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Tracks pending email invites for users to join a specific tenant workspace.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`tenant_audit_logs`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Immutable log tracking sensitive changes within a tenant's domain.</w:t>
            </w:r>
          </w:p>
        </w:tc>
      </w:tr>
    </w:tbl>
    <w:p>
      <w:pPr>
        <w:spacing w:after="0" w:before="160"/>
      </w:pPr>
    </w:p>
    <w:p>
      <w:pPr>
        <w:pStyle w:val="Heading2"/>
        <w:spacing w:after="120" w:before="280"/>
      </w:pPr>
      <w:r>
        <w:rPr>
          <w:rFonts w:ascii="Arial" w:cs="Arial" w:eastAsia="Arial" w:hAnsi="Arial"/>
          <w:b/>
          <w:bCs/>
          <w:color w:val="0E7C7B"/>
          <w:sz w:val="26"/>
          <w:szCs w:val="26"/>
        </w:rPr>
        <w:t xml:space="preserve">3.2  User &amp; Security Tables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`users`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master authentication table. Contains email, password_hash (BCrypt), and base profile information.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`roles`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Defines system-level access roles (Owner, Admin, Courier, etc.).</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`user_statuses`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Lookup table defining allowed states: Active, Suspended, Banned, Pending.</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`account_lockouts`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Tracks failed login attempts to mitigate brute-force attacks via temporary IP or account bans.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`security_events`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Logs security lifecycle events: password resets, MFA activations, and JWT issuances.</w:t>
            </w:r>
          </w:p>
        </w:tc>
      </w:tr>
    </w:tbl>
    <w:p>
      <w:r>
        <w:br w:type="page"/>
      </w:r>
    </w:p>
    <w:p>
      <w:pPr>
        <w:pStyle w:val="Heading1"/>
        <w:spacing w:after="140" w:before="400"/>
      </w:pPr>
      <w:r>
        <w:rPr>
          <w:rFonts w:ascii="Arial" w:cs="Arial" w:eastAsia="Arial" w:hAnsi="Arial"/>
          <w:b/>
          <w:bCs/>
          <w:color w:val="1B4F8A"/>
          <w:sz w:val="32"/>
          <w:szCs w:val="32"/>
        </w:rPr>
        <w:t xml:space="preserve">04. DB: Merchants &amp; Ecommerce</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4.1  Merchant Entities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`merchant_details`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 1:1 extension of the users table for merchants. Stores business registration numbers, tax IDs, default pickup locations, and API settings.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`subscription_plans`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Defines the SaaS tiers (e.g., Basic, Enterprise), dictating maximum monthly API calls or discounted shipping rates.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`merchant_subscriptions`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Links a merchant to a plan, tracking billing cycles, renewal dates, and active status.</w:t>
            </w:r>
          </w:p>
        </w:tc>
      </w:tr>
    </w:tbl>
    <w:p>
      <w:pPr>
        <w:spacing w:after="0" w:before="160"/>
      </w:pPr>
    </w:p>
    <w:p>
      <w:pPr>
        <w:pStyle w:val="Heading2"/>
        <w:spacing w:after="120" w:before="280"/>
      </w:pPr>
      <w:r>
        <w:rPr>
          <w:rFonts w:ascii="Arial" w:cs="Arial" w:eastAsia="Arial" w:hAnsi="Arial"/>
          <w:b/>
          <w:bCs/>
          <w:color w:val="0E7C7B"/>
          <w:sz w:val="26"/>
          <w:szCs w:val="26"/>
        </w:rPr>
        <w:t xml:space="preserve">4.2  Ecommerce Integrations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`ecommerce_connections`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Stores encrypted API tokens and webhook secrets for external platforms (Shopify, Magento, WooCommerce) pushing orders into Twsela.</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`ecommerce_orders`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Staging table for raw payloads from external platforms — a buffer before formal validation and conversion into a Twsela shipment.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Integration Flow</w:t>
            </w:r>
          </w:p>
          <w:p>
            <w:pPr>
              <w:spacing w:after="40" w:before="0"/>
            </w:pPr>
            <w:r>
              <w:rPr>
                <w:rFonts w:ascii="Arial" w:cs="Arial" w:eastAsia="Arial" w:hAnsi="Arial"/>
                <w:color w:val="1A1A2E"/>
                <w:sz w:val="20"/>
                <w:szCs w:val="20"/>
              </w:rPr>
              <w:t xml:space="preserve">1. External platform (e.g., Shopify) sends order payload → ecommerce_orders (staging).</w:t>
            </w:r>
          </w:p>
          <w:p>
            <w:pPr>
              <w:spacing w:after="40" w:before="0"/>
            </w:pPr>
            <w:r>
              <w:rPr>
                <w:rFonts w:ascii="Arial" w:cs="Arial" w:eastAsia="Arial" w:hAnsi="Arial"/>
                <w:color w:val="1A1A2E"/>
                <w:sz w:val="20"/>
                <w:szCs w:val="20"/>
              </w:rPr>
              <w:t xml:space="preserve">2. Validation service promotes the record to the shipments table.</w:t>
            </w:r>
          </w:p>
          <w:p>
            <w:pPr>
              <w:spacing w:after="40" w:before="0"/>
            </w:pPr>
            <w:r>
              <w:rPr>
                <w:rFonts w:ascii="Arial" w:cs="Arial" w:eastAsia="Arial" w:hAnsi="Arial"/>
                <w:color w:val="1A1A2E"/>
                <w:sz w:val="20"/>
                <w:szCs w:val="20"/>
              </w:rPr>
              <w:t xml:space="preserve">3. Failures remain in staging for retry or manual intervention.</w:t>
            </w:r>
          </w:p>
        </w:tc>
      </w:tr>
    </w:tbl>
    <w:p>
      <w:r>
        <w:br w:type="page"/>
      </w:r>
    </w:p>
    <w:p>
      <w:pPr>
        <w:pStyle w:val="Heading1"/>
        <w:spacing w:after="140" w:before="400"/>
      </w:pPr>
      <w:r>
        <w:rPr>
          <w:rFonts w:ascii="Arial" w:cs="Arial" w:eastAsia="Arial" w:hAnsi="Arial"/>
          <w:b/>
          <w:bCs/>
          <w:color w:val="1B4F8A"/>
          <w:sz w:val="32"/>
          <w:szCs w:val="32"/>
        </w:rPr>
        <w:t xml:space="preserve">05. DB: Shipments &amp; Fulfillment</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5.1  Core Shipment Tracking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`shipments`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single most critical table. Links Merchants, Recipients, and routing data. Contains tracking numbers, total costs, COD amounts, and current execution state.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`shipment_statuses`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Lookup dictionary defining the state machine: PENDING, PICKED_UP, IN_TRANSIT, OUT_FOR_DELIVERY, DELIVERED, RETURNED.</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`shipment_status_history`</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Strict append-only log of every status transition — includes responsible user ID, timestamp, and geo-coordinates if updated by a Courier.</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`shipment_package_details`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Physical characteristics: weight, length, width, height, and fragility indicators.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`shipment_manifests`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Grouping entity creating a 'bag' or 'pallet' of shipments handled together during hub-to-hub transit.</w:t>
            </w:r>
          </w:p>
        </w:tc>
      </w:tr>
    </w:tbl>
    <w:p>
      <w:pPr>
        <w:spacing w:after="0" w:before="160"/>
      </w:pPr>
    </w:p>
    <w:p>
      <w:pPr>
        <w:pStyle w:val="Heading2"/>
        <w:spacing w:after="120" w:before="280"/>
      </w:pPr>
      <w:r>
        <w:rPr>
          <w:rFonts w:ascii="Arial" w:cs="Arial" w:eastAsia="Arial" w:hAnsi="Arial"/>
          <w:b/>
          <w:bCs/>
          <w:color w:val="0E7C7B"/>
          <w:sz w:val="26"/>
          <w:szCs w:val="26"/>
        </w:rPr>
        <w:t xml:space="preserve">5.2  Fulfillment Operations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`fulfillment_orders`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High-level instructions for pick-and-pack services from Twsela's warehousing space.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`fulfillment_order_items`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Exact SKU and quantity mapping linking a fulfillment order to warehouse inventory.</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`return_shipments`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Tracks reverse logistics when a delivery fails or a recipient initiates a return, linking back to the original shipments record.</w:t>
            </w:r>
          </w:p>
        </w:tc>
      </w:tr>
    </w:tbl>
    <w:p>
      <w:r>
        <w:br w:type="page"/>
      </w:r>
    </w:p>
    <w:p>
      <w:pPr>
        <w:pStyle w:val="Heading1"/>
        <w:spacing w:after="140" w:before="400"/>
      </w:pPr>
      <w:r>
        <w:rPr>
          <w:rFonts w:ascii="Arial" w:cs="Arial" w:eastAsia="Arial" w:hAnsi="Arial"/>
          <w:b/>
          <w:bCs/>
          <w:color w:val="1B4F8A"/>
          <w:sz w:val="32"/>
          <w:szCs w:val="32"/>
        </w:rPr>
        <w:t xml:space="preserve">06. DB: Couriers &amp; Routing</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6.1  Courier Entities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`courier_details`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Extends the users table for couriers. Stores driving licence numbers, expiry dates, employment type, and links to assigned zones.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`courier_location_history`</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High-volume table tracking GPS coordinate pings — used for live tracking, route compliance, and distance-travelled calculations.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`courier_ratings`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Post-delivery feedback from recipients or merchants. Used to calculate performance scores and bonus eligibility.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`courier_zones`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Maps a courier to one or more zones, dictating permitted operating areas.</w:t>
            </w:r>
          </w:p>
        </w:tc>
      </w:tr>
    </w:tbl>
    <w:p>
      <w:pPr>
        <w:spacing w:after="0" w:before="160"/>
      </w:pPr>
    </w:p>
    <w:p>
      <w:pPr>
        <w:pStyle w:val="Heading2"/>
        <w:spacing w:after="120" w:before="280"/>
      </w:pPr>
      <w:r>
        <w:rPr>
          <w:rFonts w:ascii="Arial" w:cs="Arial" w:eastAsia="Arial" w:hAnsi="Arial"/>
          <w:b/>
          <w:bCs/>
          <w:color w:val="0E7C7B"/>
          <w:sz w:val="26"/>
          <w:szCs w:val="26"/>
        </w:rPr>
        <w:t xml:space="preserve">6.2  Routing, Dispatch &amp; Assignment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`optimized_routes`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Generated sequence of stops assigned to a courier for a specific shift.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`pick_waves`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Groupings of shipments requiring simultaneous pickup from a merchant or warehouse.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`pickup_schedules`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Pre-defined time windows during which merchants have requested courier collection.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`assignment_rules`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Configurable logic engine rules (max distance, max weight, priority) for auto-assignment.</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`assignment_scores`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Calculated ranking scores determining the best-fit courier for each delivery.</w:t>
            </w:r>
          </w:p>
        </w:tc>
      </w:tr>
    </w:tbl>
    <w:p>
      <w:pPr>
        <w:spacing w:after="0" w:before="160"/>
      </w:pPr>
    </w:p>
    <w:p>
      <w:pPr>
        <w:pStyle w:val="Heading2"/>
        <w:spacing w:after="120" w:before="280"/>
      </w:pPr>
      <w:r>
        <w:rPr>
          <w:rFonts w:ascii="Arial" w:cs="Arial" w:eastAsia="Arial" w:hAnsi="Arial"/>
          <w:b/>
          <w:bCs/>
          <w:color w:val="0E7C7B"/>
          <w:sz w:val="26"/>
          <w:szCs w:val="26"/>
        </w:rPr>
        <w:t xml:space="preserve">6.3  Partner Networks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`third_party_partners`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External logistics companies used for areas outside the primary fleet's coverage.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`partner_handoffs`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transfer of custody from Twsela to a third-party partner, including tracking number mappings.</w:t>
            </w:r>
          </w:p>
        </w:tc>
      </w:tr>
    </w:tbl>
    <w:p>
      <w:r>
        <w:br w:type="page"/>
      </w:r>
    </w:p>
    <w:p>
      <w:pPr>
        <w:pStyle w:val="Heading1"/>
        <w:spacing w:after="140" w:before="400"/>
      </w:pPr>
      <w:r>
        <w:rPr>
          <w:rFonts w:ascii="Arial" w:cs="Arial" w:eastAsia="Arial" w:hAnsi="Arial"/>
          <w:b/>
          <w:bCs/>
          <w:color w:val="1B4F8A"/>
          <w:sz w:val="32"/>
          <w:szCs w:val="32"/>
        </w:rPr>
        <w:t xml:space="preserve">07. DB: Delivery Management</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7.1  Logistics Execution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`delivery_bookings`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Specific reservations for delivery attempts, linking a shipment to a date and time slot.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`delivery_attempts`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every physical delivery attempt. Crucial for SLA tracking. Distinguishes Success, Customer Not Home, Refused, etc.</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`delivery_proofs`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Stores Proof of Delivery (PoD) metadata — signature URLs, recipient photos, or OTP verification records.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`delivery_redirects`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Allows a recipient to change the delivery address or instructions while the package is in transit.</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`delivery_time_slots`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Pre-defined delivery windows selectable by recipients (e.g., 09:00–13:00, 14:00–18:00).</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`delivery_preferences`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Recipient-specific instructions (e.g., 'Leave at front door', 'Call upon arrival').</w:t>
            </w:r>
          </w:p>
        </w:tc>
      </w:tr>
    </w:tbl>
    <w:p>
      <w:pPr>
        <w:spacing w:after="0" w:before="160"/>
      </w:pPr>
    </w:p>
    <w:p>
      <w:pPr>
        <w:pStyle w:val="Heading2"/>
        <w:spacing w:after="120" w:before="280"/>
      </w:pPr>
      <w:r>
        <w:rPr>
          <w:rFonts w:ascii="Arial" w:cs="Arial" w:eastAsia="Arial" w:hAnsi="Arial"/>
          <w:b/>
          <w:bCs/>
          <w:color w:val="0E7C7B"/>
          <w:sz w:val="26"/>
          <w:szCs w:val="26"/>
        </w:rPr>
        <w:t xml:space="preserve">7.2  Pricing Logic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`delivery_pricing`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Stores rule-based cost calculations for each shipment — base rate, weight surcharges, zone-to-zone tariffs, and COD collection fees.</w:t>
            </w:r>
          </w:p>
        </w:tc>
      </w:tr>
    </w:tbl>
    <w:p>
      <w:r>
        <w:br w:type="page"/>
      </w:r>
    </w:p>
    <w:p>
      <w:pPr>
        <w:pStyle w:val="Heading1"/>
        <w:spacing w:after="140" w:before="400"/>
      </w:pPr>
      <w:r>
        <w:rPr>
          <w:rFonts w:ascii="Arial" w:cs="Arial" w:eastAsia="Arial" w:hAnsi="Arial"/>
          <w:b/>
          <w:bCs/>
          <w:color w:val="1B4F8A"/>
          <w:sz w:val="32"/>
          <w:szCs w:val="32"/>
        </w:rPr>
        <w:t xml:space="preserve">08. DB: Recipients &amp; Addresses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8.1  Recipient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`recipient_profiles`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Distinct entities representing end customers. Enables cross-merchant recognition to optimise future deliveries.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`recipient_details`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Contact information, primary phone numbers, and alternative contacts linked to a profile.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`recipient_addresses`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Highly normalised location structure — street, building, floor, apartment, city, region, postal code, and exact lat/long coordinates.</w:t>
            </w:r>
          </w:p>
        </w:tc>
      </w:tr>
    </w:tbl>
    <w:p>
      <w:pPr>
        <w:spacing w:after="0" w:before="160"/>
      </w:pPr>
    </w:p>
    <w:p>
      <w:pPr>
        <w:pStyle w:val="Heading2"/>
        <w:spacing w:after="120" w:before="280"/>
      </w:pPr>
      <w:r>
        <w:rPr>
          <w:rFonts w:ascii="Arial" w:cs="Arial" w:eastAsia="Arial" w:hAnsi="Arial"/>
          <w:b/>
          <w:bCs/>
          <w:color w:val="0E7C7B"/>
          <w:sz w:val="26"/>
          <w:szCs w:val="26"/>
        </w:rPr>
        <w:t xml:space="preserve">8.2  Regional Mapping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`zones`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Geographic areas defined by polygons or postal code ranges. The fundamental unit for pricing and courier assignment.</w:t>
            </w:r>
          </w:p>
        </w:tc>
      </w:tr>
    </w:tbl>
    <w:p>
      <w:r>
        <w:br w:type="page"/>
      </w:r>
    </w:p>
    <w:p>
      <w:pPr>
        <w:pStyle w:val="Heading1"/>
        <w:spacing w:after="140" w:before="400"/>
      </w:pPr>
      <w:r>
        <w:rPr>
          <w:rFonts w:ascii="Arial" w:cs="Arial" w:eastAsia="Arial" w:hAnsi="Arial"/>
          <w:b/>
          <w:bCs/>
          <w:color w:val="1B4F8A"/>
          <w:sz w:val="32"/>
          <w:szCs w:val="32"/>
        </w:rPr>
        <w:t xml:space="preserve">09. DB: Financials &amp; Invoicing</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9.1  Core Accounting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`invoices`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Official billing documents generated for merchants, aggregating all shipping charges over a billing cycle.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`invoice_items`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Line-by-line breakdown of charges (Delivery Fee, COD Processing Fee, Tax/VAT, etc.).</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`e_invoices`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Immutable, digitally signed records complying with local tax authority regulations for electronic invoicing.</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`currencies`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Authorised fiat currencies and current exchange rates for multi-currency billing.</w:t>
            </w:r>
          </w:p>
        </w:tc>
      </w:tr>
    </w:tbl>
    <w:p>
      <w:pPr>
        <w:spacing w:after="0" w:before="160"/>
      </w:pPr>
    </w:p>
    <w:p>
      <w:pPr>
        <w:pStyle w:val="Heading2"/>
        <w:spacing w:after="120" w:before="280"/>
      </w:pPr>
      <w:r>
        <w:rPr>
          <w:rFonts w:ascii="Arial" w:cs="Arial" w:eastAsia="Arial" w:hAnsi="Arial"/>
          <w:b/>
          <w:bCs/>
          <w:color w:val="0E7C7B"/>
          <w:sz w:val="26"/>
          <w:szCs w:val="26"/>
        </w:rPr>
        <w:t xml:space="preserve">9.2  Payment Flows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`payment_transactions`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Central ledger recording every money movement — deposits, withdrawals, payments, and fees.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`payment_methods`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Securely tokenised references to merchant credit cards or bank accounts (raw data stored in payment gateway vault).</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`payment_intents`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Pre-authorised payment gateway sessions waiting for final capture or cancellation.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`payment_refunds`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Links to a payment_transaction, recording money returned to a merchant due to disputes or overcharges.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Security Note</w:t>
            </w:r>
          </w:p>
          <w:p>
            <w:pPr>
              <w:spacing w:after="40" w:before="0"/>
            </w:pPr>
            <w:r>
              <w:rPr>
                <w:rFonts w:ascii="Arial" w:cs="Arial" w:eastAsia="Arial" w:hAnsi="Arial"/>
                <w:color w:val="1A1A2E"/>
                <w:sz w:val="20"/>
                <w:szCs w:val="20"/>
              </w:rPr>
              <w:t xml:space="preserve">Twsela never stores raw card numbers or bank account details.</w:t>
            </w:r>
          </w:p>
          <w:p>
            <w:pPr>
              <w:spacing w:after="40" w:before="0"/>
            </w:pPr>
            <w:r>
              <w:rPr>
                <w:rFonts w:ascii="Arial" w:cs="Arial" w:eastAsia="Arial" w:hAnsi="Arial"/>
                <w:color w:val="1A1A2E"/>
                <w:sz w:val="20"/>
                <w:szCs w:val="20"/>
              </w:rPr>
              <w:t xml:space="preserve">Payment methods are stored as tokenised references pointing to the payment gateway's vault (e.g., Stripe).</w:t>
            </w:r>
          </w:p>
          <w:p>
            <w:pPr>
              <w:spacing w:after="40" w:before="0"/>
            </w:pPr>
            <w:r>
              <w:rPr>
                <w:rFonts w:ascii="Arial" w:cs="Arial" w:eastAsia="Arial" w:hAnsi="Arial"/>
                <w:color w:val="1A1A2E"/>
                <w:sz w:val="20"/>
                <w:szCs w:val="20"/>
              </w:rPr>
              <w:t xml:space="preserve">PCI-DSS scope is minimised by design.</w:t>
            </w:r>
          </w:p>
        </w:tc>
      </w:tr>
    </w:tbl>
    <w:p>
      <w:r>
        <w:br w:type="page"/>
      </w:r>
    </w:p>
    <w:p>
      <w:pPr>
        <w:pStyle w:val="Heading1"/>
        <w:spacing w:after="140" w:before="400"/>
      </w:pPr>
      <w:r>
        <w:rPr>
          <w:rFonts w:ascii="Arial" w:cs="Arial" w:eastAsia="Arial" w:hAnsi="Arial"/>
          <w:b/>
          <w:bCs/>
          <w:color w:val="1B4F8A"/>
          <w:sz w:val="32"/>
          <w:szCs w:val="32"/>
        </w:rPr>
        <w:t xml:space="preserve">10. DB: Wallets &amp; Settlements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10.1  Digital Wallets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`wallets`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Virtual accounts for Users (Merchants, Couriers). Merchants accumulate COD funds; Couriers hold physically collected cash.</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`wallet_transactions`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Ledger of wallet balance changes. Must always balance to zero across the system (double-entry principle).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`cash_movement_ledger`</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Tracks physical cash handoffs — e.g., when a Courier surrenders collected COD to the Warehouse cashier.</w:t>
            </w:r>
          </w:p>
        </w:tc>
      </w:tr>
    </w:tbl>
    <w:p>
      <w:pPr>
        <w:spacing w:after="0" w:before="160"/>
      </w:pPr>
    </w:p>
    <w:p>
      <w:pPr>
        <w:pStyle w:val="Heading2"/>
        <w:spacing w:after="120" w:before="280"/>
      </w:pPr>
      <w:r>
        <w:rPr>
          <w:rFonts w:ascii="Arial" w:cs="Arial" w:eastAsia="Arial" w:hAnsi="Arial"/>
          <w:b/>
          <w:bCs/>
          <w:color w:val="0E7C7B"/>
          <w:sz w:val="26"/>
          <w:szCs w:val="26"/>
        </w:rPr>
        <w:t xml:space="preserve">10.2  Payouts &amp; Settlements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`payouts`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 request by a Merchant or Courier to withdraw their wallet balance to a real-world bank account.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`payout_items`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Specific earnings or COD collections being withdrawn in a single payout request.</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`payout_statuses`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Lookup tracking the payout lifecycle: Pending Approval → Sent to Bank → Cleared / Failed.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`settlement_batches`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Groupings of approved payouts into a single bulk transfer file sent to the corporate bank.</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`settlement_items`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Individual lines within a settlement batch file.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Settlement Flow</w:t>
            </w:r>
          </w:p>
          <w:p>
            <w:pPr>
              <w:spacing w:after="40" w:before="0"/>
            </w:pPr>
            <w:r>
              <w:rPr>
                <w:rFonts w:ascii="Arial" w:cs="Arial" w:eastAsia="Arial" w:hAnsi="Arial"/>
                <w:color w:val="1A1A2E"/>
                <w:sz w:val="20"/>
                <w:szCs w:val="20"/>
              </w:rPr>
              <w:t xml:space="preserve">1. Merchant / Courier raises payout request → payouts (Pending Approval).</w:t>
            </w:r>
          </w:p>
          <w:p>
            <w:pPr>
              <w:spacing w:after="40" w:before="0"/>
            </w:pPr>
            <w:r>
              <w:rPr>
                <w:rFonts w:ascii="Arial" w:cs="Arial" w:eastAsia="Arial" w:hAnsi="Arial"/>
                <w:color w:val="1A1A2E"/>
                <w:sz w:val="20"/>
                <w:szCs w:val="20"/>
              </w:rPr>
              <w:t xml:space="preserve">2. Finance team approves → status advances to Sent to Bank.</w:t>
            </w:r>
          </w:p>
          <w:p>
            <w:pPr>
              <w:spacing w:after="40" w:before="0"/>
            </w:pPr>
            <w:r>
              <w:rPr>
                <w:rFonts w:ascii="Arial" w:cs="Arial" w:eastAsia="Arial" w:hAnsi="Arial"/>
                <w:color w:val="1A1A2E"/>
                <w:sz w:val="20"/>
                <w:szCs w:val="20"/>
              </w:rPr>
              <w:t xml:space="preserve">3. Approved payouts are batched → settlement_batches + settlement_items.</w:t>
            </w:r>
          </w:p>
          <w:p>
            <w:pPr>
              <w:spacing w:after="40" w:before="0"/>
            </w:pPr>
            <w:r>
              <w:rPr>
                <w:rFonts w:ascii="Arial" w:cs="Arial" w:eastAsia="Arial" w:hAnsi="Arial"/>
                <w:color w:val="1A1A2E"/>
                <w:sz w:val="20"/>
                <w:szCs w:val="20"/>
              </w:rPr>
              <w:t xml:space="preserve">4. Bank confirms transfer → status set to Cleared (or Failed on error).</w:t>
            </w:r>
          </w:p>
        </w:tc>
      </w:tr>
    </w:tbl>
    <w:p>
      <w:r>
        <w:br w:type="page"/>
      </w:r>
    </w:p>
    <w:p>
      <w:pPr>
        <w:pStyle w:val="Heading1"/>
        <w:spacing w:after="140" w:before="400"/>
      </w:pPr>
      <w:r>
        <w:rPr>
          <w:rFonts w:ascii="Arial" w:cs="Arial" w:eastAsia="Arial" w:hAnsi="Arial"/>
          <w:b/>
          <w:bCs/>
          <w:color w:val="1B4F8A"/>
          <w:sz w:val="32"/>
          <w:szCs w:val="32"/>
        </w:rPr>
        <w:t xml:space="preserve">11. DB: Carriers &amp; Contracts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11.1  Carrier Management</w:t>
      </w:r>
    </w:p>
    <w:p>
      <w:pPr>
        <w:spacing w:after="80" w:before="60"/>
        <w:jc w:val="both"/>
      </w:pPr>
      <w:r>
        <w:rPr>
          <w:rFonts w:ascii="Arial" w:cs="Arial" w:eastAsia="Arial" w:hAnsi="Arial"/>
          <w:color w:val="1A1A2E"/>
          <w:sz w:val="22"/>
          <w:szCs w:val="22"/>
        </w:rPr>
        <w:t xml:space="preserve">External carrier integrations are managed through the following tables, allowing Twsela to route shipments to third-party fulfillment companies seamlessly: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Records of external fulfillment companies (e.g., FedEx, local couriers) integrated into the system.</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`carrier_shipments`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Maps an internal Twsela shipment to an external carrier's tracking sequence and API reference.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`carrier_rates`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Standardised cost tables provided by carriers, used to calculate expected third-party fulfillment costs.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`carrier_zone_mappings`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Translates Twsela's internal zones to the proprietary zoning system of an external carrier.</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`carrier_selection_rules`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Configurable rules dictating when to route a shipment to the internal fleet vs. an external carrier (e.g., 'If destination is Zone C, use DHL').</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`carrier_webhook_logs`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 payloads received from carrier push notifications updating shipment statuses.</w:t>
            </w:r>
          </w:p>
        </w:tc>
      </w:tr>
    </w:tbl>
    <w:p>
      <w:pPr>
        <w:spacing w:after="0" w:before="160"/>
      </w:pPr>
    </w:p>
    <w:p>
      <w:pPr>
        <w:pStyle w:val="Heading2"/>
        <w:spacing w:after="120" w:before="280"/>
      </w:pPr>
      <w:r>
        <w:rPr>
          <w:rFonts w:ascii="Arial" w:cs="Arial" w:eastAsia="Arial" w:hAnsi="Arial"/>
          <w:b/>
          <w:bCs/>
          <w:color w:val="0E7C7B"/>
          <w:sz w:val="26"/>
          <w:szCs w:val="26"/>
        </w:rPr>
        <w:t xml:space="preserve">11.2  Legal &amp; SLA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`contracts`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Signed business agreements defining terms between Twsela and a Merchant, or Twsela and a Carrier.</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`contract_sla_terms`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Machine-readable SLA commitments derived from a contract (e.g., 'Max delivery time: 48 hours for Zone A'). Monitored automatically to flag breaches.</w:t>
            </w:r>
          </w:p>
        </w:tc>
      </w:tr>
    </w:tbl>
    <w:p>
      <w:r>
        <w:br w:type="page"/>
      </w:r>
    </w:p>
    <w:p>
      <w:pPr>
        <w:pStyle w:val="Heading1"/>
        <w:spacing w:after="140" w:before="400"/>
      </w:pPr>
      <w:r>
        <w:rPr>
          <w:rFonts w:ascii="Arial" w:cs="Arial" w:eastAsia="Arial" w:hAnsi="Arial"/>
          <w:b/>
          <w:bCs/>
          <w:color w:val="1B4F8A"/>
          <w:sz w:val="32"/>
          <w:szCs w:val="32"/>
        </w:rPr>
        <w:t xml:space="preserve">12. DB: Warehouses &amp; Inventory</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12.1  Facilities &amp; Topology</w:t>
      </w:r>
    </w:p>
    <w:p>
      <w:pPr>
        <w:spacing w:after="80" w:before="60"/>
        <w:jc w:val="both"/>
      </w:pPr>
      <w:r>
        <w:rPr>
          <w:rFonts w:ascii="Arial" w:cs="Arial" w:eastAsia="Arial" w:hAnsi="Arial"/>
          <w:color w:val="1A1A2E"/>
          <w:sz w:val="22"/>
          <w:szCs w:val="22"/>
        </w:rPr>
        <w:t xml:space="preserve">The warehouse data model is organised from the facility level down to the granular bin level, enabling precise package tracking within any hub:</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`warehouses`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Physical operating hubs. Contains address, capacity, and operational hours.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`warehouse_zones`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Logical areas within a warehouse (e.g., Inbound, Outbound, High Value, Cold Storage).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`storage_bins`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Extremely granular locations (e.g., Aisle 3, Shelf B, Bin 12) representing the exact physical resting place of a package or SKU.</w:t>
            </w:r>
          </w:p>
        </w:tc>
      </w:tr>
    </w:tbl>
    <w:p>
      <w:pPr>
        <w:spacing w:after="0" w:before="160"/>
      </w:pPr>
    </w:p>
    <w:p>
      <w:pPr>
        <w:pStyle w:val="Heading2"/>
        <w:spacing w:after="120" w:before="280"/>
      </w:pPr>
      <w:r>
        <w:rPr>
          <w:rFonts w:ascii="Arial" w:cs="Arial" w:eastAsia="Arial" w:hAnsi="Arial"/>
          <w:b/>
          <w:bCs/>
          <w:color w:val="0E7C7B"/>
          <w:sz w:val="26"/>
          <w:szCs w:val="26"/>
        </w:rPr>
        <w:t xml:space="preserve">12.2  Inventory Tracking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`warehouse_inventory`</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Current stock level of a specific item or merchant's goods residing in a specific storage_bin.</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`inventory_movements`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log recording every item shift — from bin to bin, or from bin to vehicle.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`receiving_orders`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Authorisations to accept inbound stock from a merchant's supplier into the warehouse.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`receiving_order_items`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Line-item details verifying what was expected vs. what was actually received and scanned.</w:t>
            </w:r>
          </w:p>
        </w:tc>
      </w:tr>
    </w:tbl>
    <w:p>
      <w:r>
        <w:br w:type="page"/>
      </w:r>
    </w:p>
    <w:p>
      <w:pPr>
        <w:pStyle w:val="Heading1"/>
        <w:spacing w:after="140" w:before="400"/>
      </w:pPr>
      <w:r>
        <w:rPr>
          <w:rFonts w:ascii="Arial" w:cs="Arial" w:eastAsia="Arial" w:hAnsi="Arial"/>
          <w:b/>
          <w:bCs/>
          <w:color w:val="1B4F8A"/>
          <w:sz w:val="32"/>
          <w:szCs w:val="32"/>
        </w:rPr>
        <w:t xml:space="preserve">13. DB: Vehicles &amp; Fleet</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13.1  Fleet Management</w:t>
      </w:r>
    </w:p>
    <w:p>
      <w:pPr>
        <w:spacing w:after="80" w:before="60"/>
        <w:jc w:val="both"/>
      </w:pPr>
      <w:r>
        <w:rPr>
          <w:rFonts w:ascii="Arial" w:cs="Arial" w:eastAsia="Arial" w:hAnsi="Arial"/>
          <w:color w:val="1A1A2E"/>
          <w:sz w:val="22"/>
          <w:szCs w:val="22"/>
        </w:rPr>
        <w:t xml:space="preserve">The fleet management subsystem tracks all physical transportation assets, their assignment to couriers, and their operational health: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`vehicles`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Core data for physical transportation assets — VIN, licence plate, make, model, capacity (volume/weight), and ownership status (Company Owned vs. Leased).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`vehicle_assignments`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linking a vehicle to a specific courier for a given timeframe or shift. Establishes liability.</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`vehicle_maintenance`</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 of all services, repairs, oil changes, and inspections performed, ensuring safety and uptime.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`fuel_logs`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Tracking fuel consumption, costs, and odometer readings — critical for calculating true cost-per-delivery and auditing courier behaviour.</w:t>
            </w:r>
          </w:p>
        </w:tc>
      </w:tr>
    </w:tbl>
    <w:p>
      <w:r>
        <w:br w:type="page"/>
      </w:r>
    </w:p>
    <w:p>
      <w:pPr>
        <w:pStyle w:val="Heading1"/>
        <w:spacing w:after="140" w:before="400"/>
      </w:pPr>
      <w:r>
        <w:rPr>
          <w:rFonts w:ascii="Arial" w:cs="Arial" w:eastAsia="Arial" w:hAnsi="Arial"/>
          <w:b/>
          <w:bCs/>
          <w:color w:val="1B4F8A"/>
          <w:sz w:val="32"/>
          <w:szCs w:val="32"/>
        </w:rPr>
        <w:t xml:space="preserve">14. DB: Notifications &amp; Webhooks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14.1  Communications</w:t>
      </w:r>
    </w:p>
    <w:p>
      <w:pPr>
        <w:spacing w:after="80" w:before="60"/>
        <w:jc w:val="both"/>
      </w:pPr>
      <w:r>
        <w:rPr>
          <w:rFonts w:ascii="Arial" w:cs="Arial" w:eastAsia="Arial" w:hAnsi="Arial"/>
          <w:color w:val="1A1A2E"/>
          <w:sz w:val="22"/>
          <w:szCs w:val="22"/>
        </w:rPr>
        <w:t xml:space="preserve">All outbound communications — email, SMS, and push — flow through a structured pipeline with full auditability: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`notifications`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Records of generated messages (Email, SMS, Push) intended for a user or recipient.</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`notification_templates`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Templates with variable substitution (e.g., 'Hi {{name}}, your order {{trackingNumber}} is out for delivery!').</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`notification_preferences`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User settings dictating opt-ins for specific channels (e.g., 'Send SMS, do not send Email').</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`notification_log`</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trail of every notification generated and its dispatch status.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`notification_delivery_log`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Receipts or callbacks from third-party providers (Twilio, SendGrid) confirming delivery or failure.</w:t>
            </w:r>
          </w:p>
        </w:tc>
      </w:tr>
    </w:tbl>
    <w:p>
      <w:pPr>
        <w:spacing w:after="0" w:before="160"/>
      </w:pPr>
    </w:p>
    <w:p>
      <w:pPr>
        <w:pStyle w:val="Heading2"/>
        <w:spacing w:after="120" w:before="280"/>
      </w:pPr>
      <w:r>
        <w:rPr>
          <w:rFonts w:ascii="Arial" w:cs="Arial" w:eastAsia="Arial" w:hAnsi="Arial"/>
          <w:b/>
          <w:bCs/>
          <w:color w:val="0E7C7B"/>
          <w:sz w:val="26"/>
          <w:szCs w:val="26"/>
        </w:rPr>
        <w:t xml:space="preserve">14.2  API Events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`webhook_subscriptions`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URLs registered by Merchants to listen for specific Twsela system events (e.g., shipment.delivered).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`webhook_events`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actual JSON payloads prepared and fired to subscribed merchant URLs.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`payment_webhook_logs`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Raw logs of asynchronous callbacks from payment gateways (e.g., Stripe payment_intent.succeeded), acting as the source of truth for payment reconciliation.</w:t>
            </w:r>
          </w:p>
        </w:tc>
      </w:tr>
    </w:tbl>
    <w:p>
      <w:r>
        <w:br w:type="page"/>
      </w:r>
    </w:p>
    <w:p>
      <w:pPr>
        <w:pStyle w:val="Heading1"/>
        <w:spacing w:after="140" w:before="400"/>
      </w:pPr>
      <w:r>
        <w:rPr>
          <w:rFonts w:ascii="Arial" w:cs="Arial" w:eastAsia="Arial" w:hAnsi="Arial"/>
          <w:b/>
          <w:bCs/>
          <w:color w:val="1B4F8A"/>
          <w:sz w:val="32"/>
          <w:szCs w:val="32"/>
        </w:rPr>
        <w:t xml:space="preserve">15. DB: System, Support &amp; Logs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15.1  Customer Support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`support_tickets`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Issues raised by Merchants or Recipients (e.g., Missing Package, Billing Dispute).</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`ticket_messages`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threaded conversation between support agents and the user regarding a specific support_ticket.</w:t>
            </w:r>
          </w:p>
        </w:tc>
      </w:tr>
    </w:tbl>
    <w:p>
      <w:pPr>
        <w:spacing w:after="0" w:before="160"/>
      </w:pPr>
    </w:p>
    <w:p>
      <w:pPr>
        <w:pStyle w:val="Heading2"/>
        <w:spacing w:after="120" w:before="280"/>
      </w:pPr>
      <w:r>
        <w:rPr>
          <w:rFonts w:ascii="Arial" w:cs="Arial" w:eastAsia="Arial" w:hAnsi="Arial"/>
          <w:b/>
          <w:bCs/>
          <w:color w:val="0E7C7B"/>
          <w:sz w:val="26"/>
          <w:szCs w:val="26"/>
        </w:rPr>
        <w:t xml:space="preserve">15.2  Devices &amp; Technical Ops</w:t>
      </w:r>
    </w:p>
    <w:p>
      <w:pPr>
        <w:spacing w:after="80" w:before="60"/>
        <w:jc w:val="both"/>
      </w:pPr>
      <w:r>
        <w:rPr>
          <w:rFonts w:ascii="Arial" w:cs="Arial" w:eastAsia="Arial" w:hAnsi="Arial"/>
          <w:color w:val="1A1A2E"/>
          <w:sz w:val="22"/>
          <w:szCs w:val="22"/>
        </w:rPr>
        <w:t xml:space="preserve">System-level infrastructure and operational log tables underpin platform reliability and security: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`device_registrations`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Metadata for mobile devices running the Twsela app, linked to users for debugging and push delivery.</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`device_tokens`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FCM (Firebase Cloud Messaging) or APNs tokens required to send push notifications to a registered device.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`system_settings`</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Global key-value configurations (e.g., MAINTENANCE_MODE_ENABLED=false) loaded into Redis on startup.</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`system_health_checks`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heartbeat records from services and databases to monitor uptime.</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`system_audit_log`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Master, immutable ledger of critical actions performed by Owner/Admin roles. Never deleted.</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`usage_tracking`</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Aggregated metrics (e.g., shipments created via API per day) used for analytics.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`ip_blacklist`</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IP addresses blocked at the application or firewall level due to malicious behaviour or excessive rate limiting.</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`api_keys`</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Bearer tokens issued to Merchants for machine-to-machine integrations.</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`api_key_usage_log`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Tracks request volume per api_key for rate limiting and billing in tiered subscription_plans.</w:t>
            </w:r>
          </w:p>
        </w:tc>
      </w:tr>
    </w:tbl>
    <w:p>
      <w:r>
        <w:br w:type="page"/>
      </w:r>
    </w:p>
    <w:p>
      <w:pPr>
        <w:pStyle w:val="Heading1"/>
        <w:spacing w:after="140" w:before="400"/>
      </w:pPr>
      <w:r>
        <w:rPr>
          <w:rFonts w:ascii="Arial" w:cs="Arial" w:eastAsia="Arial" w:hAnsi="Arial"/>
          <w:b/>
          <w:bCs/>
          <w:color w:val="1B4F8A"/>
          <w:sz w:val="32"/>
          <w:szCs w:val="32"/>
        </w:rPr>
        <w:t xml:space="preserve">16. Backend Architecture</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16.1  Technology Stack</w:t>
      </w:r>
    </w:p>
    <w:p>
      <w:pPr>
        <w:spacing w:after="80" w:before="60"/>
        <w:jc w:val="both"/>
      </w:pPr>
      <w:r>
        <w:rPr>
          <w:rFonts w:ascii="Arial" w:cs="Arial" w:eastAsia="Arial" w:hAnsi="Arial"/>
          <w:color w:val="1A1A2E"/>
          <w:sz w:val="22"/>
          <w:szCs w:val="22"/>
        </w:rPr>
        <w:t xml:space="preserve">The Twsela backend is a robust, monolithic REST API built on Java 17 utilising the Spring Boot 3.x framework. It leverages Spring Web, Spring Data JPA, and Spring Security for a comprehensive, enterprise-grade foundation.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Deployment Model</w:t>
            </w:r>
          </w:p>
          <w:p>
            <w:pPr>
              <w:spacing w:after="40" w:before="0"/>
            </w:pPr>
            <w:r>
              <w:rPr>
                <w:rFonts w:ascii="Arial" w:cs="Arial" w:eastAsia="Arial" w:hAnsi="Arial"/>
                <w:color w:val="1A1A2E"/>
                <w:sz w:val="20"/>
                <w:szCs w:val="20"/>
              </w:rPr>
              <w:t xml:space="preserve">Monolithic deployment — all modules packaged as a single .jar executable.</w:t>
            </w:r>
          </w:p>
          <w:p>
            <w:pPr>
              <w:spacing w:after="40" w:before="0"/>
            </w:pPr>
            <w:r>
              <w:rPr>
                <w:rFonts w:ascii="Arial" w:cs="Arial" w:eastAsia="Arial" w:hAnsi="Arial"/>
                <w:color w:val="1A1A2E"/>
                <w:sz w:val="20"/>
                <w:szCs w:val="20"/>
              </w:rPr>
              <w:t xml:space="preserve">Domain boundaries enforced at the source code level to prevent spaghetti coupling.</w:t>
            </w:r>
          </w:p>
          <w:p>
            <w:pPr>
              <w:spacing w:after="40" w:before="0"/>
            </w:pPr>
            <w:r>
              <w:rPr>
                <w:rFonts w:ascii="Arial" w:cs="Arial" w:eastAsia="Arial" w:hAnsi="Arial"/>
                <w:color w:val="1A1A2E"/>
                <w:sz w:val="20"/>
                <w:szCs w:val="20"/>
              </w:rPr>
              <w:t xml:space="preserve">Easily extractable to microservices in future if scale demands arise.</w:t>
            </w:r>
          </w:p>
        </w:tc>
      </w:tr>
    </w:tbl>
    <w:p>
      <w:pPr>
        <w:spacing w:after="0" w:before="160"/>
      </w:pPr>
    </w:p>
    <w:p>
      <w:pPr>
        <w:pStyle w:val="Heading2"/>
        <w:spacing w:after="120" w:before="280"/>
      </w:pPr>
      <w:r>
        <w:rPr>
          <w:rFonts w:ascii="Arial" w:cs="Arial" w:eastAsia="Arial" w:hAnsi="Arial"/>
          <w:b/>
          <w:bCs/>
          <w:color w:val="0E7C7B"/>
          <w:sz w:val="26"/>
          <w:szCs w:val="26"/>
        </w:rPr>
        <w:t xml:space="preserve">16.2  Layered Architecture</w:t>
      </w:r>
    </w:p>
    <w:p>
      <w:pPr>
        <w:spacing w:after="80" w:before="60"/>
        <w:jc w:val="both"/>
      </w:pPr>
      <w:r>
        <w:rPr>
          <w:rFonts w:ascii="Arial" w:cs="Arial" w:eastAsia="Arial" w:hAnsi="Arial"/>
          <w:color w:val="1A1A2E"/>
          <w:sz w:val="22"/>
          <w:szCs w:val="22"/>
        </w:rPr>
        <w:t xml:space="preserve">The application strictly enforces separation of concerns via a traditional multi-tier architecture. Each layer has a single, well-defined responsibility: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Layer/Step</w:t>
            </w:r>
          </w:p>
        </w:tc>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19"/>
                <w:szCs w:val="19"/>
              </w:rPr>
              <w:t xml:space="preserve">1</w:t>
            </w:r>
          </w:p>
        </w:tc>
        <w:tc>
          <w:tcPr>
            <w:tcW w:type="dxa" w:w="20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color w:val="0E7C7B"/>
                <w:sz w:val="18"/>
                <w:szCs w:val="18"/>
              </w:rPr>
              <w:t xml:space="preserve">Controllers (/controllers)</w:t>
            </w:r>
          </w:p>
        </w:tc>
        <w:tc>
          <w:tcPr>
            <w:tcW w:type="dxa" w:w="57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Handle HTTP requests and responses. Responsible for input validation via @Valid and routing to the appropriate Service.</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2</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color w:val="0E7C7B"/>
                <w:sz w:val="18"/>
                <w:szCs w:val="18"/>
              </w:rPr>
              <w:t xml:space="preserve">Services (/services)</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Contain all business rules and complex logic. Manage transactional boundaries via @Transactional.</w:t>
            </w:r>
          </w:p>
        </w:tc>
      </w:tr>
      <w:tr>
        <w:tc>
          <w:tcPr>
            <w:tcW w:type="dxa" w:w="1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19"/>
                <w:szCs w:val="19"/>
              </w:rPr>
              <w:t xml:space="preserve">3</w:t>
            </w:r>
          </w:p>
        </w:tc>
        <w:tc>
          <w:tcPr>
            <w:tcW w:type="dxa" w:w="20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color w:val="0E7C7B"/>
                <w:sz w:val="18"/>
                <w:szCs w:val="18"/>
              </w:rPr>
              <w:t xml:space="preserve">Repositories (/repositories)</w:t>
            </w:r>
          </w:p>
        </w:tc>
        <w:tc>
          <w:tcPr>
            <w:tcW w:type="dxa" w:w="57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Interfaces extending JpaRepository. Contains custom JPQL and native queries for data access.</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4</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color w:val="0E7C7B"/>
                <w:sz w:val="18"/>
                <w:szCs w:val="18"/>
              </w:rPr>
              <w:t xml:space="preserve">Entities (/entities)</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POJOs annotated with @Entity, directly mapping to the 100 database tables.</w:t>
            </w:r>
          </w:p>
        </w:tc>
      </w:tr>
      <w:tr>
        <w:tc>
          <w:tcPr>
            <w:tcW w:type="dxa" w:w="16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b/>
                <w:bCs/>
                <w:color w:val="1B4F8A"/>
                <w:sz w:val="19"/>
                <w:szCs w:val="19"/>
              </w:rPr>
              <w:t xml:space="preserve">5</w:t>
            </w:r>
          </w:p>
        </w:tc>
        <w:tc>
          <w:tcPr>
            <w:tcW w:type="dxa" w:w="200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Courier New" w:cs="Courier New" w:eastAsia="Courier New" w:hAnsi="Courier New"/>
                <w:color w:val="0E7C7B"/>
                <w:sz w:val="18"/>
                <w:szCs w:val="18"/>
              </w:rPr>
              <w:t xml:space="preserve">DTOs (/dtos)</w:t>
            </w:r>
          </w:p>
        </w:tc>
        <w:tc>
          <w:tcPr>
            <w:tcW w:type="dxa" w:w="5760"/>
            <w:tcBorders>
              <w:top w:val="single" w:color="C0CDD8" w:sz="1"/>
              <w:left w:val="single" w:color="C0CDD8" w:sz="1"/>
              <w:bottom w:val="single" w:color="C0CDD8" w:sz="1"/>
              <w:right w:val="single" w:color="C0CDD8" w:sz="1"/>
            </w:tcBorders>
            <w:shd w:fill="D6E4F0" w:val="clear"/>
            <w:tcMar>
              <w:top w:type="dxa" w:w="80"/>
              <w:left w:type="dxa" w:w="120"/>
              <w:bottom w:type="dxa" w:w="80"/>
              <w:right w:type="dxa" w:w="120"/>
            </w:tcMar>
          </w:tcPr>
          <w:p>
            <w:r>
              <w:rPr>
                <w:rFonts w:ascii="Arial" w:cs="Arial" w:eastAsia="Arial" w:hAnsi="Arial"/>
                <w:color w:val="1A1A2E"/>
                <w:sz w:val="20"/>
                <w:szCs w:val="20"/>
              </w:rPr>
              <w:t xml:space="preserve">Data Transfer Objects isolating the API contract from the internal database schema.</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6</w:t>
            </w:r>
          </w:p>
        </w:tc>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color w:val="0E7C7B"/>
                <w:sz w:val="18"/>
                <w:szCs w:val="18"/>
              </w:rPr>
              <w:t xml:space="preserve">Mappers (/mappers)</w:t>
            </w:r>
          </w:p>
        </w:tc>
        <w:tc>
          <w:tcPr>
            <w:tcW w:type="dxa" w:w="5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MapStruct interfaces automating the translation between Entities and DTOs.</w:t>
            </w:r>
          </w:p>
        </w:tc>
      </w:tr>
    </w:tbl>
    <w:p>
      <w:pPr>
        <w:spacing w:after="0" w:before="160"/>
      </w:pPr>
    </w:p>
    <w:p>
      <w:pPr>
        <w:pStyle w:val="Heading2"/>
        <w:spacing w:after="120" w:before="280"/>
      </w:pPr>
      <w:r>
        <w:rPr>
          <w:rFonts w:ascii="Arial" w:cs="Arial" w:eastAsia="Arial" w:hAnsi="Arial"/>
          <w:b/>
          <w:bCs/>
          <w:color w:val="0E7C7B"/>
          <w:sz w:val="26"/>
          <w:szCs w:val="26"/>
        </w:rPr>
        <w:t xml:space="preserve">16.3  Key Design Patterns</w:t>
      </w:r>
    </w:p>
    <w:p>
      <w:pPr>
        <w:spacing w:after="80" w:before="60"/>
        <w:jc w:val="both"/>
      </w:pPr>
      <w:r>
        <w:rPr>
          <w:rFonts w:ascii="Arial" w:cs="Arial" w:eastAsia="Arial" w:hAnsi="Arial"/>
          <w:color w:val="1A1A2E"/>
          <w:sz w:val="22"/>
          <w:szCs w:val="22"/>
        </w:rPr>
        <w:t xml:space="preserve">Three core design patterns govern the most complex areas of the backend: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73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Application &amp; Rationale</w:t>
            </w:r>
          </w:p>
        </w:tc>
      </w:tr>
      <w:tr>
        <w:tc>
          <w:tcPr>
            <w:tcW w:type="dxa" w:w="20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Facade Pattern</w:t>
            </w:r>
          </w:p>
        </w:tc>
        <w:tc>
          <w:tcPr>
            <w:tcW w:type="dxa" w:w="73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Used in shipment creation. A ShipmentFacade coordinates tracking number generation, pricing calculation, carrier rule evaluation, and entity persistence — hiding all complexity from the Controller layer.</w:t>
            </w:r>
          </w:p>
        </w:tc>
      </w:tr>
      <w:tr>
        <w:tc>
          <w:tcPr>
            <w:tcW w:type="dxa" w:w="20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Strategy Pattern</w:t>
            </w:r>
          </w:p>
        </w:tc>
        <w:tc>
          <w:tcPr>
            <w:tcW w:type="dxa" w:w="73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Implemented in delivery_pricing. Different strategies (WeightBasedPricingStrategy, ZoneBasedPricingStrategy) are selected dynamically at runtime based on the merchant_subscriptions rules.</w:t>
            </w:r>
          </w:p>
        </w:tc>
      </w:tr>
      <w:tr>
        <w:tc>
          <w:tcPr>
            <w:tcW w:type="dxa" w:w="20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Observer Pattern</w:t>
            </w:r>
          </w:p>
        </w:tc>
        <w:tc>
          <w:tcPr>
            <w:tcW w:type="dxa" w:w="73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Heavy reliance on Spring Application Events. When a shipment is delivered, a ShipmentDeliveredEvent is published. Independent listeners handle SMS dispatch, wallet crediting, and webhook firing — ensuring full loose coupling.</w:t>
            </w:r>
          </w:p>
        </w:tc>
      </w:tr>
    </w:tbl>
    <w:p>
      <w:r>
        <w:br w:type="page"/>
      </w:r>
    </w:p>
    <w:p>
      <w:pPr>
        <w:pStyle w:val="Heading1"/>
        <w:spacing w:after="140" w:before="400"/>
      </w:pPr>
      <w:r>
        <w:rPr>
          <w:rFonts w:ascii="Arial" w:cs="Arial" w:eastAsia="Arial" w:hAnsi="Arial"/>
          <w:b/>
          <w:bCs/>
          <w:color w:val="1B4F8A"/>
          <w:sz w:val="32"/>
          <w:szCs w:val="32"/>
        </w:rPr>
        <w:t xml:space="preserve">17. Backend Security &amp; Auth</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17.1  JWT Authentication</w:t>
      </w:r>
    </w:p>
    <w:p>
      <w:pPr>
        <w:spacing w:after="80" w:before="60"/>
        <w:jc w:val="both"/>
      </w:pPr>
      <w:r>
        <w:rPr>
          <w:rFonts w:ascii="Arial" w:cs="Arial" w:eastAsia="Arial" w:hAnsi="Arial"/>
          <w:color w:val="1A1A2E"/>
          <w:sz w:val="22"/>
          <w:szCs w:val="22"/>
        </w:rPr>
        <w:t xml:space="preserve">Twsela uses stateless JSON Web Tokens (JWT) for all API authentication. This eliminates server-side session storage and scales horizontally without sticky sessions.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Issuance</w:t>
            </w:r>
          </w:p>
        </w:tc>
        <w:tc>
          <w:tcPr>
            <w:tcW w:type="dxa" w:w="7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Upon successful credential verification at /auth/login, a JWT is generated containing the user's userId, tenantId, and role.</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Validation</w:t>
            </w:r>
          </w:p>
        </w:tc>
        <w:tc>
          <w:tcPr>
            <w:tcW w:type="dxa" w:w="7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protected request must include the Authorization: Bearer &lt;token&gt; header. A JwtAuthenticationFilter validates the signature using the server's private JWT_SECRET and establishes the SecurityContext.</w:t>
            </w:r>
          </w:p>
        </w:tc>
      </w:tr>
      <w:tr>
        <w:tc>
          <w:tcPr>
            <w:tcW w:type="dxa" w:w="1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Expiration</w:t>
            </w:r>
          </w:p>
        </w:tc>
        <w:tc>
          <w:tcPr>
            <w:tcW w:type="dxa" w:w="7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Tokens are short-lived. A separate refresh token flow maintains persistent sessions securely without long-lived access tokens.</w:t>
            </w:r>
          </w:p>
        </w:tc>
      </w:tr>
    </w:tbl>
    <w:p>
      <w:pPr>
        <w:spacing w:after="0" w:before="160"/>
      </w:pPr>
    </w:p>
    <w:p>
      <w:pPr>
        <w:pStyle w:val="Heading2"/>
        <w:spacing w:after="120" w:before="280"/>
      </w:pPr>
      <w:r>
        <w:rPr>
          <w:rFonts w:ascii="Arial" w:cs="Arial" w:eastAsia="Arial" w:hAnsi="Arial"/>
          <w:b/>
          <w:bCs/>
          <w:color w:val="0E7C7B"/>
          <w:sz w:val="26"/>
          <w:szCs w:val="26"/>
        </w:rPr>
        <w:t xml:space="preserve">17.2  Role-Based Access Control (RBAC)</w:t>
      </w:r>
    </w:p>
    <w:p>
      <w:pPr>
        <w:spacing w:after="80" w:before="60"/>
        <w:jc w:val="both"/>
      </w:pPr>
      <w:r>
        <w:rPr>
          <w:rFonts w:ascii="Arial" w:cs="Arial" w:eastAsia="Arial" w:hAnsi="Arial"/>
          <w:color w:val="1A1A2E"/>
          <w:sz w:val="22"/>
          <w:szCs w:val="22"/>
        </w:rPr>
        <w:t xml:space="preserve">Method-level security is enforced across all Controllers and Services using Spring Security annotations. For example, @PreAuthorize("hasRole('ADMIN') or hasRole('OWNER')") prevents Couriers or Merchants from accessing global invoice generation endpoints.</w:t>
      </w:r>
    </w:p>
    <w:p>
      <w:pPr>
        <w:spacing w:after="0" w:before="160"/>
      </w:pPr>
    </w:p>
    <w:p>
      <w:pPr>
        <w:pStyle w:val="Heading2"/>
        <w:spacing w:after="120" w:before="280"/>
      </w:pPr>
      <w:r>
        <w:rPr>
          <w:rFonts w:ascii="Arial" w:cs="Arial" w:eastAsia="Arial" w:hAnsi="Arial"/>
          <w:b/>
          <w:bCs/>
          <w:color w:val="0E7C7B"/>
          <w:sz w:val="26"/>
          <w:szCs w:val="26"/>
        </w:rPr>
        <w:t xml:space="preserve">17.3  Data Protection Mechanisms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 / Entity</w:t>
            </w:r>
          </w:p>
        </w:tc>
        <w:tc>
          <w:tcPr>
            <w:tcW w:type="dxa" w:w="6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Password Hashing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Passwords in the users table are secured using BCrypt with a strong work factor (strength 10+). Plain-text passwords never enter logs or memory outside the authentication flow.</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CORS Configuration</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Cross-Origin Resource Sharing is strictly whitelisted to specific frontend portal domains (e.g., admin.twsela.com, merchant.twsela.com).</w:t>
            </w:r>
          </w:p>
        </w:tc>
      </w:tr>
      <w:tr>
        <w:tc>
          <w:tcPr>
            <w:tcW w:type="dxa" w:w="2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Rate Limiting</w:t>
            </w:r>
          </w:p>
        </w:tc>
        <w:tc>
          <w:tcPr>
            <w:tcW w:type="dxa" w:w="6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Critical endpoints (login, API key usage) are protected by a Redis-backed rate limiter, utilising the ip_blacklist table for repeat offenders.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Courier New" w:cs="Courier New" w:eastAsia="Courier New" w:hAnsi="Courier New"/>
                <w:b/>
                <w:bCs/>
                <w:color w:val="0E7C7B"/>
                <w:sz w:val="18"/>
                <w:szCs w:val="18"/>
              </w:rPr>
              <w:t xml:space="preserve">CSRF</w:t>
            </w:r>
          </w:p>
        </w:tc>
        <w:tc>
          <w:tcPr>
            <w:tcW w:type="dxa" w:w="6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Disabled due to the stateless JWT architecture, provided cookies are not used as the primary token transport mechanism.</w:t>
            </w:r>
          </w:p>
        </w:tc>
      </w:tr>
    </w:tbl>
    <w:p>
      <w:r>
        <w:br w:type="page"/>
      </w:r>
    </w:p>
    <w:p>
      <w:pPr>
        <w:pStyle w:val="Heading1"/>
        <w:spacing w:after="140" w:before="400"/>
      </w:pPr>
      <w:r>
        <w:rPr>
          <w:rFonts w:ascii="Arial" w:cs="Arial" w:eastAsia="Arial" w:hAnsi="Arial"/>
          <w:b/>
          <w:bCs/>
          <w:color w:val="1B4F8A"/>
          <w:sz w:val="32"/>
          <w:szCs w:val="32"/>
        </w:rPr>
        <w:t xml:space="preserve">18. Backend API Design</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18.1  RESTful Principles</w:t>
      </w:r>
    </w:p>
    <w:p>
      <w:pPr>
        <w:spacing w:after="80" w:before="60"/>
        <w:jc w:val="both"/>
      </w:pPr>
      <w:r>
        <w:rPr>
          <w:rFonts w:ascii="Arial" w:cs="Arial" w:eastAsia="Arial" w:hAnsi="Arial"/>
          <w:color w:val="1A1A2E"/>
          <w:sz w:val="22"/>
          <w:szCs w:val="22"/>
        </w:rPr>
        <w:t xml:space="preserve">The API strictly adheres to level 2 REST maturity with proper HTTP verb semantics and status codes: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9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Semantic</w:t>
            </w:r>
          </w:p>
        </w:tc>
      </w:tr>
      <w:tr>
        <w:tc>
          <w:tcPr>
            <w:tcW w:type="dxa" w:w="14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GET</w:t>
            </w:r>
          </w:p>
        </w:tc>
        <w:tc>
          <w:tcPr>
            <w:tcW w:type="dxa" w:w="79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Idempotent retrieval of resources. No side effects.</w:t>
            </w:r>
          </w:p>
        </w:tc>
      </w:tr>
      <w:tr>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w:t>
            </w:r>
          </w:p>
        </w:tc>
        <w:tc>
          <w:tcPr>
            <w:tcW w:type="dxa" w:w="7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Creation of new resources.</w:t>
            </w:r>
          </w:p>
        </w:tc>
      </w:tr>
      <w:tr>
        <w:tc>
          <w:tcPr>
            <w:tcW w:type="dxa" w:w="14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PUT / PATCH</w:t>
            </w:r>
          </w:p>
        </w:tc>
        <w:tc>
          <w:tcPr>
            <w:tcW w:type="dxa" w:w="79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Updating existing resources (full or partial replacement).</w:t>
            </w:r>
          </w:p>
        </w:tc>
      </w:tr>
      <w:tr>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DELETE</w:t>
            </w:r>
          </w:p>
        </w:tc>
        <w:tc>
          <w:tcPr>
            <w:tcW w:type="dxa" w:w="7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Removal or deactivation — preferring soft deletes where audit trails are necessary.</w:t>
            </w:r>
          </w:p>
        </w:tc>
      </w:tr>
    </w:tbl>
    <w:p>
      <w:pPr>
        <w:spacing w:after="0" w:before="160"/>
      </w:pPr>
    </w:p>
    <w:p>
      <w:pPr>
        <w:pStyle w:val="Heading2"/>
        <w:spacing w:after="120" w:before="280"/>
      </w:pPr>
      <w:r>
        <w:rPr>
          <w:rFonts w:ascii="Arial" w:cs="Arial" w:eastAsia="Arial" w:hAnsi="Arial"/>
          <w:b/>
          <w:bCs/>
          <w:color w:val="0E7C7B"/>
          <w:sz w:val="26"/>
          <w:szCs w:val="26"/>
        </w:rPr>
        <w:t xml:space="preserve">18.2  Uniform Response Format</w:t>
      </w:r>
    </w:p>
    <w:p>
      <w:pPr>
        <w:spacing w:after="80" w:before="60"/>
        <w:jc w:val="both"/>
      </w:pPr>
      <w:r>
        <w:rPr>
          <w:rFonts w:ascii="Arial" w:cs="Arial" w:eastAsia="Arial" w:hAnsi="Arial"/>
          <w:color w:val="1A1A2E"/>
          <w:sz w:val="22"/>
          <w:szCs w:val="22"/>
        </w:rPr>
        <w:t xml:space="preserve">Every API endpoint responds with a standardised JSON wrapper to simplify frontend consumption and guarantee consistent error handling: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120"/>
              <w:left w:type="dxa" w:w="180"/>
              <w:bottom w:type="dxa" w:w="120"/>
              <w:right w:type="dxa" w:w="180"/>
            </w:tcMar>
          </w:tcPr>
          <w:p>
            <w:r>
              <w:rPr>
                <w:rFonts w:ascii="Courier New" w:cs="Courier New" w:eastAsia="Courier New" w:hAnsi="Courier New"/>
                <w:color w:val="F8F8F2"/>
                <w:sz w:val="18"/>
                <w:szCs w:val="18"/>
              </w:rPr>
              <w:t xml:space="preserve">{</w:t>
            </w:r>
          </w:p>
          <w:p>
            <w:r>
              <w:rPr>
                <w:rFonts w:ascii="Courier New" w:cs="Courier New" w:eastAsia="Courier New" w:hAnsi="Courier New"/>
                <w:color w:val="F8F8F2"/>
                <w:sz w:val="18"/>
                <w:szCs w:val="18"/>
              </w:rPr>
              <w:t xml:space="preserve">  "success": true,               // boolean indicator</w:t>
            </w:r>
          </w:p>
          <w:p>
            <w:r>
              <w:rPr>
                <w:rFonts w:ascii="Courier New" w:cs="Courier New" w:eastAsia="Courier New" w:hAnsi="Courier New"/>
                <w:color w:val="F8F8F2"/>
                <w:sz w:val="18"/>
                <w:szCs w:val="18"/>
              </w:rPr>
              <w:t xml:space="preserve">  "message": "Shipment created", // Human-readable info</w:t>
            </w:r>
          </w:p>
          <w:p>
            <w:r>
              <w:rPr>
                <w:rFonts w:ascii="Courier New" w:cs="Courier New" w:eastAsia="Courier New" w:hAnsi="Courier New"/>
                <w:color w:val="F8F8F2"/>
                <w:sz w:val="18"/>
                <w:szCs w:val="18"/>
              </w:rPr>
              <w:t xml:space="preserve">  "data": {                      // The requested payload or DTO</w:t>
            </w:r>
          </w:p>
          <w:p>
            <w:r>
              <w:rPr>
                <w:rFonts w:ascii="Courier New" w:cs="Courier New" w:eastAsia="Courier New" w:hAnsi="Courier New"/>
                <w:color w:val="F8F8F2"/>
                <w:sz w:val="18"/>
                <w:szCs w:val="18"/>
              </w:rPr>
              <w:t xml:space="preserve">    "id": "12345",</w:t>
            </w:r>
          </w:p>
          <w:p>
            <w:r>
              <w:rPr>
                <w:rFonts w:ascii="Courier New" w:cs="Courier New" w:eastAsia="Courier New" w:hAnsi="Courier New"/>
                <w:color w:val="F8F8F2"/>
                <w:sz w:val="18"/>
                <w:szCs w:val="18"/>
              </w:rPr>
              <w:t xml:space="preserve">    "tracking_number": "TW-9988"</w:t>
            </w:r>
          </w:p>
          <w:p>
            <w:r>
              <w:rPr>
                <w:rFonts w:ascii="Courier New" w:cs="Courier New" w:eastAsia="Courier New" w:hAnsi="Courier New"/>
                <w:color w:val="F8F8F2"/>
                <w:sz w:val="18"/>
                <w:szCs w:val="18"/>
              </w:rPr>
              <w:t xml:space="preserve">  },</w:t>
            </w:r>
          </w:p>
          <w:p>
            <w:r>
              <w:rPr>
                <w:rFonts w:ascii="Courier New" w:cs="Courier New" w:eastAsia="Courier New" w:hAnsi="Courier New"/>
                <w:color w:val="F8F8F2"/>
                <w:sz w:val="18"/>
                <w:szCs w:val="18"/>
              </w:rPr>
              <w:t xml:space="preserve">  "errors": []                   // Structured error messages if success is false</w:t>
            </w:r>
          </w:p>
          <w:p>
            <w:r>
              <w:rPr>
                <w:rFonts w:ascii="Courier New" w:cs="Courier New" w:eastAsia="Courier New" w:hAnsi="Courier New"/>
                <w:color w:val="F8F8F2"/>
                <w:sz w:val="18"/>
                <w:szCs w:val="18"/>
              </w:rPr>
              <w:t xml:space="preserve">}</w:t>
            </w:r>
          </w:p>
        </w:tc>
      </w:tr>
    </w:tbl>
    <w:p>
      <w:pPr>
        <w:spacing w:after="0" w:before="160"/>
      </w:pPr>
    </w:p>
    <w:p>
      <w:pPr>
        <w:pStyle w:val="Heading2"/>
        <w:spacing w:after="120" w:before="280"/>
      </w:pPr>
      <w:r>
        <w:rPr>
          <w:rFonts w:ascii="Arial" w:cs="Arial" w:eastAsia="Arial" w:hAnsi="Arial"/>
          <w:b/>
          <w:bCs/>
          <w:color w:val="0E7C7B"/>
          <w:sz w:val="26"/>
          <w:szCs w:val="26"/>
        </w:rPr>
        <w:t xml:space="preserve">18.3  Global Exception Handling</w:t>
      </w:r>
    </w:p>
    <w:p>
      <w:pPr>
        <w:spacing w:after="80" w:before="60"/>
        <w:jc w:val="both"/>
      </w:pPr>
      <w:r>
        <w:rPr>
          <w:rFonts w:ascii="Arial" w:cs="Arial" w:eastAsia="Arial" w:hAnsi="Arial"/>
          <w:color w:val="1A1A2E"/>
          <w:sz w:val="22"/>
          <w:szCs w:val="22"/>
        </w:rPr>
        <w:t xml:space="preserve">A central @ControllerAdvice class intercepts all exceptions thrown anywhere in the application, ensuring stack traces never leak to clients:</w:t>
      </w:r>
    </w:p>
    <w:p>
      <w:pPr>
        <w:spacing w:after="0" w:before="80"/>
      </w:pPr>
    </w:p>
    <w:p>
      <w:pPr>
        <w:pStyle w:val="ListParagraph"/>
        <w:numPr>
          <w:ilvl w:val="0"/>
          <w:numId w:val="2"/>
        </w:numPr>
      </w:pPr>
      <w:r>
        <w:rPr>
          <w:rFonts w:ascii="Arial" w:cs="Arial" w:eastAsia="Arial" w:hAnsi="Arial"/>
          <w:color w:val="1A1A2E"/>
          <w:sz w:val="22"/>
          <w:szCs w:val="22"/>
        </w:rPr>
        <w:t xml:space="preserve">Validation Errors: Extracts MethodArgumentNotValidException and maps field violations to the errors array.</w:t>
      </w:r>
    </w:p>
    <w:p>
      <w:pPr>
        <w:pStyle w:val="ListParagraph"/>
        <w:numPr>
          <w:ilvl w:val="0"/>
          <w:numId w:val="2"/>
        </w:numPr>
      </w:pPr>
      <w:r>
        <w:rPr>
          <w:rFonts w:ascii="Arial" w:cs="Arial" w:eastAsia="Arial" w:hAnsi="Arial"/>
          <w:color w:val="1A1A2E"/>
          <w:sz w:val="22"/>
          <w:szCs w:val="22"/>
        </w:rPr>
        <w:t xml:space="preserve">Security: Maps AccessDeniedException to a clean 403 response without stack traces.</w:t>
      </w:r>
    </w:p>
    <w:p>
      <w:pPr>
        <w:pStyle w:val="ListParagraph"/>
        <w:numPr>
          <w:ilvl w:val="0"/>
          <w:numId w:val="2"/>
        </w:numPr>
      </w:pPr>
      <w:r>
        <w:rPr>
          <w:rFonts w:ascii="Arial" w:cs="Arial" w:eastAsia="Arial" w:hAnsi="Arial"/>
          <w:color w:val="1A1A2E"/>
          <w:sz w:val="22"/>
          <w:szCs w:val="22"/>
        </w:rPr>
        <w:t xml:space="preserve">Business Exceptions: Custom exceptions like InsufficientFundsException or ResourceNotFoundException map to 400 or 404 respectively.</w:t>
      </w:r>
    </w:p>
    <w:p>
      <w:pPr>
        <w:pStyle w:val="ListParagraph"/>
        <w:numPr>
          <w:ilvl w:val="0"/>
          <w:numId w:val="2"/>
        </w:numPr>
      </w:pPr>
      <w:r>
        <w:rPr>
          <w:rFonts w:ascii="Arial" w:cs="Arial" w:eastAsia="Arial" w:hAnsi="Arial"/>
          <w:color w:val="1A1A2E"/>
          <w:sz w:val="22"/>
          <w:szCs w:val="22"/>
        </w:rPr>
        <w:t xml:space="preserve">Uncaught Exceptions: Generic Exception.class is caught, logged securely, and a generic 500 message is returned.</w:t>
      </w:r>
    </w:p>
    <w:p>
      <w:pPr>
        <w:spacing w:after="0" w:before="160"/>
      </w:pPr>
    </w:p>
    <w:p>
      <w:pPr>
        <w:pStyle w:val="Heading2"/>
        <w:spacing w:after="120" w:before="280"/>
      </w:pPr>
      <w:r>
        <w:rPr>
          <w:rFonts w:ascii="Arial" w:cs="Arial" w:eastAsia="Arial" w:hAnsi="Arial"/>
          <w:b/>
          <w:bCs/>
          <w:color w:val="0E7C7B"/>
          <w:sz w:val="26"/>
          <w:szCs w:val="26"/>
        </w:rPr>
        <w:t xml:space="preserve">18.4  Pagination, Sorting &amp; Filtering</w:t>
      </w:r>
    </w:p>
    <w:p>
      <w:pPr>
        <w:spacing w:after="80" w:before="60"/>
        <w:jc w:val="both"/>
      </w:pPr>
      <w:r>
        <w:rPr>
          <w:rFonts w:ascii="Arial" w:cs="Arial" w:eastAsia="Arial" w:hAnsi="Arial"/>
          <w:color w:val="1A1A2E"/>
          <w:sz w:val="22"/>
          <w:szCs w:val="22"/>
        </w:rPr>
        <w:t xml:space="preserve">All list endpoints utilise Spring Data Pageable. The URL structure follows the pattern below: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2B2B2B" w:val="clear"/>
            <w:tcMar>
              <w:top w:type="dxa" w:w="120"/>
              <w:left w:type="dxa" w:w="180"/>
              <w:bottom w:type="dxa" w:w="120"/>
              <w:right w:type="dxa" w:w="180"/>
            </w:tcMar>
          </w:tcPr>
          <w:p>
            <w:r>
              <w:rPr>
                <w:rFonts w:ascii="Courier New" w:cs="Courier New" w:eastAsia="Courier New" w:hAnsi="Courier New"/>
                <w:color w:val="F8F8F2"/>
                <w:sz w:val="18"/>
                <w:szCs w:val="18"/>
              </w:rPr>
              <w:t xml:space="preserve">GET /api/shipments?page=0&amp;size=20&amp;sort=createdAt,desc&amp;status=PENDING</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Returns a Page&lt;T&gt; object wrapped in the data payload:</w:t>
            </w:r>
          </w:p>
          <w:p>
            <w:r>
              <w:rPr>
                <w:rFonts w:ascii="Courier New" w:cs="Courier New" w:eastAsia="Courier New" w:hAnsi="Courier New"/>
                <w:color w:val="F8F8F2"/>
                <w:sz w:val="18"/>
                <w:szCs w:val="18"/>
              </w:rPr>
              <w:t xml:space="preserve">// { "totalElements": 500, "totalPages": 25, "content": [...] }</w:t>
            </w:r>
          </w:p>
        </w:tc>
      </w:tr>
    </w:tbl>
    <w:p>
      <w:r>
        <w:br w:type="page"/>
      </w:r>
    </w:p>
    <w:p>
      <w:pPr>
        <w:pStyle w:val="Heading1"/>
        <w:spacing w:after="140" w:before="400"/>
      </w:pPr>
      <w:r>
        <w:rPr>
          <w:rFonts w:ascii="Arial" w:cs="Arial" w:eastAsia="Arial" w:hAnsi="Arial"/>
          <w:b/>
          <w:bCs/>
          <w:color w:val="1B4F8A"/>
          <w:sz w:val="32"/>
          <w:szCs w:val="32"/>
        </w:rPr>
        <w:t xml:space="preserve">19. Backend Modules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19.1  Domain-Driven Boundaries</w:t>
      </w:r>
    </w:p>
    <w:p>
      <w:pPr>
        <w:spacing w:after="80" w:before="60"/>
        <w:jc w:val="both"/>
      </w:pPr>
      <w:r>
        <w:rPr>
          <w:rFonts w:ascii="Arial" w:cs="Arial" w:eastAsia="Arial" w:hAnsi="Arial"/>
          <w:color w:val="1A1A2E"/>
          <w:sz w:val="22"/>
          <w:szCs w:val="22"/>
        </w:rPr>
        <w:t xml:space="preserve">While deployed as a monolith, the source code is conceptually organised into domains to prevent cross-contamination of business logic. Each module owns its own Services and Repositories and communicates with other modules exclusively via events.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9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Auth &amp; Tenancy  (/auth, /tenant)</w:t>
            </w:r>
          </w:p>
        </w:tc>
        <w:tc>
          <w:tcPr>
            <w:tcW w:type="dxa" w:w="69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Handles users, roles, tenants, and tenant_users. Core responsibility is authentication, JWT generation, and scoping subsequent requests to the correct tenant_id.</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Core Logistics  (/logistics)</w:t>
            </w:r>
          </w:p>
        </w:tc>
        <w:tc>
          <w:tcPr>
            <w:tcW w:type="dxa" w:w="6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critical path. Manages shipments, shipment_statuses, delivery_bookings, and proof_of_delivery.</w:t>
            </w:r>
          </w:p>
        </w:tc>
      </w:tr>
      <w:tr>
        <w:tc>
          <w:tcPr>
            <w:tcW w:type="dxa" w:w="24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Routing &amp; Fleet  (/routing)</w:t>
            </w:r>
          </w:p>
        </w:tc>
        <w:tc>
          <w:tcPr>
            <w:tcW w:type="dxa" w:w="69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Handles courier_details, vehicles, zones, and optimized_routes. Computationally heavy due to geospatial logic and external mapping API calls.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Finance &amp; Billing  (/finance)</w:t>
            </w:r>
          </w:p>
        </w:tc>
        <w:tc>
          <w:tcPr>
            <w:tcW w:type="dxa" w:w="69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Strictly governs invoices, payment_transactions, and wallets. Dictates ACID compliance and relies on database-level row locking to prevent race conditions during wallet deductions.</w:t>
            </w:r>
          </w:p>
        </w:tc>
      </w:tr>
    </w:tbl>
    <w:p>
      <w:pPr>
        <w:spacing w:after="0" w:before="160"/>
      </w:pPr>
    </w:p>
    <w:p>
      <w:pPr>
        <w:pStyle w:val="Heading2"/>
        <w:spacing w:after="120" w:before="280"/>
      </w:pPr>
      <w:r>
        <w:rPr>
          <w:rFonts w:ascii="Arial" w:cs="Arial" w:eastAsia="Arial" w:hAnsi="Arial"/>
          <w:b/>
          <w:bCs/>
          <w:color w:val="0E7C7B"/>
          <w:sz w:val="26"/>
          <w:szCs w:val="26"/>
        </w:rPr>
        <w:t xml:space="preserve">19.2  Inter-Module Event Architecture</w:t>
      </w:r>
    </w:p>
    <w:p>
      <w:pPr>
        <w:spacing w:after="80" w:before="60"/>
        <w:jc w:val="both"/>
      </w:pPr>
      <w:r>
        <w:rPr>
          <w:rFonts w:ascii="Arial" w:cs="Arial" w:eastAsia="Arial" w:hAnsi="Arial"/>
          <w:color w:val="1A1A2E"/>
          <w:sz w:val="22"/>
          <w:szCs w:val="22"/>
        </w:rPr>
        <w:t xml:space="preserve">Modules do not call each other's Repositories directly. All cross-module communication is achieved via Spring Application Events, enforcing high cohesion and low coupling: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Example: Delivery Completion Flow</w:t>
            </w:r>
          </w:p>
          <w:p>
            <w:pPr>
              <w:spacing w:after="40" w:before="0"/>
            </w:pPr>
            <w:r>
              <w:rPr>
                <w:rFonts w:ascii="Arial" w:cs="Arial" w:eastAsia="Arial" w:hAnsi="Arial"/>
                <w:color w:val="1A1A2E"/>
                <w:sz w:val="20"/>
                <w:szCs w:val="20"/>
              </w:rPr>
              <w:t xml:space="preserve">1. Logistics module marks a shipment as DELIVERED.</w:t>
            </w:r>
          </w:p>
          <w:p>
            <w:pPr>
              <w:spacing w:after="40" w:before="0"/>
            </w:pPr>
            <w:r>
              <w:rPr>
                <w:rFonts w:ascii="Arial" w:cs="Arial" w:eastAsia="Arial" w:hAnsi="Arial"/>
                <w:color w:val="1A1A2E"/>
                <w:sz w:val="20"/>
                <w:szCs w:val="20"/>
              </w:rPr>
              <w:t xml:space="preserve">2. It publishes a ShipmentDeliveredEvent to the Spring ApplicationContext.</w:t>
            </w:r>
          </w:p>
          <w:p>
            <w:pPr>
              <w:spacing w:after="40" w:before="0"/>
            </w:pPr>
            <w:r>
              <w:rPr>
                <w:rFonts w:ascii="Arial" w:cs="Arial" w:eastAsia="Arial" w:hAnsi="Arial"/>
                <w:color w:val="1A1A2E"/>
                <w:sz w:val="20"/>
                <w:szCs w:val="20"/>
              </w:rPr>
              <w:t xml:space="preserve">3. Finance module listener asynchronously credits the Merchant's wallet.</w:t>
            </w:r>
          </w:p>
          <w:p>
            <w:pPr>
              <w:spacing w:after="40" w:before="0"/>
            </w:pPr>
            <w:r>
              <w:rPr>
                <w:rFonts w:ascii="Arial" w:cs="Arial" w:eastAsia="Arial" w:hAnsi="Arial"/>
                <w:color w:val="1A1A2E"/>
                <w:sz w:val="20"/>
                <w:szCs w:val="20"/>
              </w:rPr>
              <w:t xml:space="preserve">4. Notification module listener asynchronously dispatches an SMS to the recipient.</w:t>
            </w:r>
          </w:p>
          <w:p>
            <w:pPr>
              <w:spacing w:after="40" w:before="0"/>
            </w:pPr>
            <w:r>
              <w:rPr>
                <w:rFonts w:ascii="Arial" w:cs="Arial" w:eastAsia="Arial" w:hAnsi="Arial"/>
                <w:color w:val="1A1A2E"/>
                <w:sz w:val="20"/>
                <w:szCs w:val="20"/>
              </w:rPr>
              <w:t xml:space="preserve">5. Neither the Finance nor Notification module ever touches the Logistics repository directly.</w:t>
            </w:r>
          </w:p>
        </w:tc>
      </w:tr>
    </w:tbl>
    <w:p>
      <w:r>
        <w:br w:type="page"/>
      </w:r>
    </w:p>
    <w:p>
      <w:pPr>
        <w:pStyle w:val="Heading1"/>
        <w:spacing w:after="140" w:before="400"/>
      </w:pPr>
      <w:r>
        <w:rPr>
          <w:rFonts w:ascii="Arial" w:cs="Arial" w:eastAsia="Arial" w:hAnsi="Arial"/>
          <w:b/>
          <w:bCs/>
          <w:color w:val="1B4F8A"/>
          <w:sz w:val="32"/>
          <w:szCs w:val="32"/>
        </w:rPr>
        <w:t xml:space="preserve">20. Backend Integrations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20.1  SMS &amp; Communication (Twilio)</w:t>
      </w:r>
    </w:p>
    <w:p>
      <w:pPr>
        <w:spacing w:after="80" w:before="60"/>
        <w:jc w:val="both"/>
      </w:pPr>
      <w:r>
        <w:rPr>
          <w:rFonts w:ascii="Arial" w:cs="Arial" w:eastAsia="Arial" w:hAnsi="Arial"/>
          <w:color w:val="1A1A2E"/>
          <w:sz w:val="22"/>
          <w:szCs w:val="22"/>
        </w:rPr>
        <w:t xml:space="preserve">Twilio is integrated via its official Java SDK. All Twilio API calls are wrapped in CompletableFuture for asynchronous execution, with results logged to notification_delivery_log.</w:t>
      </w:r>
    </w:p>
    <w:p>
      <w:pPr>
        <w:spacing w:after="0" w:before="80"/>
      </w:pPr>
    </w:p>
    <w:p>
      <w:pPr>
        <w:pStyle w:val="ListParagraph"/>
        <w:numPr>
          <w:ilvl w:val="0"/>
          <w:numId w:val="2"/>
        </w:numPr>
      </w:pPr>
      <w:r>
        <w:rPr>
          <w:rFonts w:ascii="Arial" w:cs="Arial" w:eastAsia="Arial" w:hAnsi="Arial"/>
          <w:color w:val="1A1A2E"/>
          <w:sz w:val="22"/>
          <w:szCs w:val="22"/>
        </w:rPr>
        <w:t xml:space="preserve">Dispatches OTPs during Courier delivery confirmation.</w:t>
      </w:r>
    </w:p>
    <w:p>
      <w:pPr>
        <w:pStyle w:val="ListParagraph"/>
        <w:numPr>
          <w:ilvl w:val="0"/>
          <w:numId w:val="2"/>
        </w:numPr>
      </w:pPr>
      <w:r>
        <w:rPr>
          <w:rFonts w:ascii="Arial" w:cs="Arial" w:eastAsia="Arial" w:hAnsi="Arial"/>
          <w:color w:val="1A1A2E"/>
          <w:sz w:val="22"/>
          <w:szCs w:val="22"/>
        </w:rPr>
        <w:t xml:space="preserve">Handles recipient shipment status notifications.</w:t>
      </w:r>
    </w:p>
    <w:p>
      <w:pPr>
        <w:pStyle w:val="ListParagraph"/>
        <w:numPr>
          <w:ilvl w:val="0"/>
          <w:numId w:val="2"/>
        </w:numPr>
      </w:pPr>
      <w:r>
        <w:rPr>
          <w:rFonts w:ascii="Arial" w:cs="Arial" w:eastAsia="Arial" w:hAnsi="Arial"/>
          <w:color w:val="1A1A2E"/>
          <w:sz w:val="22"/>
          <w:szCs w:val="22"/>
        </w:rPr>
        <w:t xml:space="preserve">Failure callbacks are captured and trigger retry or escalation logic.</w:t>
      </w:r>
    </w:p>
    <w:p>
      <w:pPr>
        <w:spacing w:after="0" w:before="160"/>
      </w:pPr>
    </w:p>
    <w:p>
      <w:pPr>
        <w:pStyle w:val="Heading2"/>
        <w:spacing w:after="120" w:before="280"/>
      </w:pPr>
      <w:r>
        <w:rPr>
          <w:rFonts w:ascii="Arial" w:cs="Arial" w:eastAsia="Arial" w:hAnsi="Arial"/>
          <w:b/>
          <w:bCs/>
          <w:color w:val="0E7C7B"/>
          <w:sz w:val="26"/>
          <w:szCs w:val="26"/>
        </w:rPr>
        <w:t xml:space="preserve">20.2  Payment Gateways (Stripe / Regional Providers)</w:t>
      </w:r>
    </w:p>
    <w:p>
      <w:pPr>
        <w:spacing w:after="80" w:before="60"/>
        <w:jc w:val="both"/>
      </w:pPr>
      <w:r>
        <w:rPr>
          <w:rFonts w:ascii="Arial" w:cs="Arial" w:eastAsia="Arial" w:hAnsi="Arial"/>
          <w:color w:val="1A1A2E"/>
          <w:sz w:val="22"/>
          <w:szCs w:val="22"/>
        </w:rPr>
        <w:t xml:space="preserve">Payments are processed via API calls to create payment_intents. Real-time status changes are captured via Webhooks. Twsela exposes specific listener endpoints that verify payload signatures using HMAC against a known secret before parsing data into payment_webhook_logs and updating payment_transactions.</w:t>
      </w:r>
    </w:p>
    <w:p>
      <w:pPr>
        <w:spacing w:after="0" w:before="160"/>
      </w:pPr>
    </w:p>
    <w:p>
      <w:pPr>
        <w:pStyle w:val="Heading2"/>
        <w:spacing w:after="120" w:before="280"/>
      </w:pPr>
      <w:r>
        <w:rPr>
          <w:rFonts w:ascii="Arial" w:cs="Arial" w:eastAsia="Arial" w:hAnsi="Arial"/>
          <w:b/>
          <w:bCs/>
          <w:color w:val="0E7C7B"/>
          <w:sz w:val="26"/>
          <w:szCs w:val="26"/>
        </w:rPr>
        <w:t xml:space="preserve">20.3  Geographical Routing (Google Maps / Mapbox)</w:t>
      </w:r>
    </w:p>
    <w:p>
      <w:pPr>
        <w:spacing w:after="80" w:before="60"/>
        <w:jc w:val="both"/>
      </w:pPr>
      <w:r>
        <w:rPr>
          <w:rFonts w:ascii="Arial" w:cs="Arial" w:eastAsia="Arial" w:hAnsi="Arial"/>
          <w:color w:val="1A1A2E"/>
          <w:sz w:val="22"/>
          <w:szCs w:val="22"/>
        </w:rPr>
        <w:t xml:space="preserve">The Routing module integrates with external mapping APIs for two core functions:</w:t>
      </w:r>
    </w:p>
    <w:p>
      <w:pPr>
        <w:spacing w:after="0" w:before="80"/>
      </w:pPr>
    </w:p>
    <w:p>
      <w:pPr>
        <w:pStyle w:val="ListParagraph"/>
        <w:numPr>
          <w:ilvl w:val="0"/>
          <w:numId w:val="2"/>
        </w:numPr>
      </w:pPr>
      <w:r>
        <w:rPr>
          <w:rFonts w:ascii="Arial" w:cs="Arial" w:eastAsia="Arial" w:hAnsi="Arial"/>
          <w:color w:val="1A1A2E"/>
          <w:sz w:val="22"/>
          <w:szCs w:val="22"/>
        </w:rPr>
        <w:t xml:space="preserve">Geocoding: Addresses in recipient_addresses are converted to exact latitude/longitude coordinates.</w:t>
      </w:r>
    </w:p>
    <w:p>
      <w:pPr>
        <w:pStyle w:val="ListParagraph"/>
        <w:numPr>
          <w:ilvl w:val="0"/>
          <w:numId w:val="2"/>
        </w:numPr>
      </w:pPr>
      <w:r>
        <w:rPr>
          <w:rFonts w:ascii="Arial" w:cs="Arial" w:eastAsia="Arial" w:hAnsi="Arial"/>
          <w:color w:val="1A1A2E"/>
          <w:sz w:val="22"/>
          <w:szCs w:val="22"/>
        </w:rPr>
        <w:t xml:space="preserve">Distance Matrix: Route optimisation queries external APIs to order a courier's pick_waves efficiently, minimising total travel distance.</w:t>
      </w:r>
    </w:p>
    <w:p>
      <w:pPr>
        <w:spacing w:after="0" w:before="160"/>
      </w:pPr>
    </w:p>
    <w:p>
      <w:pPr>
        <w:pStyle w:val="Heading2"/>
        <w:spacing w:after="120" w:before="280"/>
      </w:pPr>
      <w:r>
        <w:rPr>
          <w:rFonts w:ascii="Arial" w:cs="Arial" w:eastAsia="Arial" w:hAnsi="Arial"/>
          <w:b/>
          <w:bCs/>
          <w:color w:val="0E7C7B"/>
          <w:sz w:val="26"/>
          <w:szCs w:val="26"/>
        </w:rPr>
        <w:t xml:space="preserve">20.4  Caching (Redis)</w:t>
      </w:r>
    </w:p>
    <w:p>
      <w:pPr>
        <w:spacing w:after="80" w:before="60"/>
        <w:jc w:val="both"/>
      </w:pPr>
      <w:r>
        <w:rPr>
          <w:rFonts w:ascii="Arial" w:cs="Arial" w:eastAsia="Arial" w:hAnsi="Arial"/>
          <w:color w:val="1A1A2E"/>
          <w:sz w:val="22"/>
          <w:szCs w:val="22"/>
        </w:rPr>
        <w:t xml:space="preserve">Spring Cache is configured with Redis via Lettuce/Jedis. Two distinct caching strategies are employed: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Cache Type</w:t>
            </w:r>
          </w:p>
        </w:tc>
        <w:tc>
          <w:tcPr>
            <w:tcW w:type="dxa" w:w="7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Reference Data Cache</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Rarely-changing data (zones, roles, system_settings, currencies) is cached to bypass database hits entirely. Invalidated explicitly on admin updates.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Session State Cache</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limiting counters and pending OTPs are stored in Redis with aggressive TTLs (Time-to-Live) to ensure they expire automatically and never persist to the database.</w:t>
            </w:r>
          </w:p>
        </w:tc>
      </w:tr>
    </w:tbl>
    <w:p>
      <w:r>
        <w:br w:type="page"/>
      </w:r>
    </w:p>
    <w:p>
      <w:pPr>
        <w:pStyle w:val="Heading1"/>
        <w:spacing w:after="140" w:before="400"/>
      </w:pPr>
      <w:r>
        <w:rPr>
          <w:rFonts w:ascii="Arial" w:cs="Arial" w:eastAsia="Arial" w:hAnsi="Arial"/>
          <w:b/>
          <w:bCs/>
          <w:color w:val="1B4F8A"/>
          <w:sz w:val="32"/>
          <w:szCs w:val="32"/>
        </w:rPr>
        <w:t xml:space="preserve">21. Frontend Architecture</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21.1  Architectural Paradigm</w:t>
      </w:r>
    </w:p>
    <w:p>
      <w:pPr>
        <w:spacing w:after="80" w:before="60"/>
        <w:jc w:val="both"/>
      </w:pPr>
      <w:r>
        <w:rPr>
          <w:rFonts w:ascii="Arial" w:cs="Arial" w:eastAsia="Arial" w:hAnsi="Arial"/>
          <w:color w:val="1A1A2E"/>
          <w:sz w:val="22"/>
          <w:szCs w:val="22"/>
        </w:rPr>
        <w:t xml:space="preserve">The Twsela frontend deliberately abandons heavy JavaScript frameworks (React, Angular, Vue) in favour of Vanilla JavaScript (ES6+). This choice was made to ensure absolute control over the DOM, minimise bundle size, and provide lightning-fast load times for mobile browser access — a critical requirement for Couriers operating in areas with limited 4G connectivity.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
              <w:left w:val="single" w:color="0E7C7B" w:sz="12"/>
              <w:bottom w:val="single" w:color="0E7C7B" w:sz="1"/>
              <w:right w:val="single" w:color="0E7C7B" w:sz="1"/>
            </w:tcBorders>
            <w:shd w:fill="D0EDED" w:val="clear"/>
            <w:tcMar>
              <w:top w:type="dxa" w:w="100"/>
              <w:left w:type="dxa" w:w="200"/>
              <w:bottom w:type="dxa" w:w="100"/>
              <w:right w:type="dxa" w:w="200"/>
            </w:tcMar>
          </w:tcPr>
          <w:p>
            <w:pPr>
              <w:spacing w:after="60" w:before="0"/>
            </w:pPr>
            <w:r>
              <w:rPr>
                <w:rFonts w:ascii="Arial" w:cs="Arial" w:eastAsia="Arial" w:hAnsi="Arial"/>
                <w:b/>
                <w:bCs/>
                <w:color w:val="0E7C7B"/>
                <w:sz w:val="20"/>
                <w:szCs w:val="20"/>
              </w:rPr>
              <w:t xml:space="preserve">ℹ  Design Philosophy</w:t>
            </w:r>
          </w:p>
          <w:p>
            <w:pPr>
              <w:spacing w:after="40" w:before="0"/>
            </w:pPr>
            <w:r>
              <w:rPr>
                <w:rFonts w:ascii="Arial" w:cs="Arial" w:eastAsia="Arial" w:hAnsi="Arial"/>
                <w:color w:val="1A1A2E"/>
                <w:sz w:val="20"/>
                <w:szCs w:val="20"/>
              </w:rPr>
              <w:t xml:space="preserve">Zero framework overhead — no virtual DOM, no runtime hydration costs.</w:t>
            </w:r>
          </w:p>
          <w:p>
            <w:pPr>
              <w:spacing w:after="40" w:before="0"/>
            </w:pPr>
            <w:r>
              <w:rPr>
                <w:rFonts w:ascii="Arial" w:cs="Arial" w:eastAsia="Arial" w:hAnsi="Arial"/>
                <w:color w:val="1A1A2E"/>
                <w:sz w:val="20"/>
                <w:szCs w:val="20"/>
              </w:rPr>
              <w:t xml:space="preserve">Sub-second page loads even on 3G-throttled mobile connections.</w:t>
            </w:r>
          </w:p>
          <w:p>
            <w:pPr>
              <w:spacing w:after="40" w:before="0"/>
            </w:pPr>
            <w:r>
              <w:rPr>
                <w:rFonts w:ascii="Arial" w:cs="Arial" w:eastAsia="Arial" w:hAnsi="Arial"/>
                <w:color w:val="1A1A2E"/>
                <w:sz w:val="20"/>
                <w:szCs w:val="20"/>
              </w:rPr>
              <w:t xml:space="preserve">Full DOM control allows hyper-optimised event handling and minimal memory footprint.</w:t>
            </w:r>
          </w:p>
        </w:tc>
      </w:tr>
    </w:tbl>
    <w:p>
      <w:pPr>
        <w:spacing w:after="0" w:before="160"/>
      </w:pPr>
    </w:p>
    <w:p>
      <w:pPr>
        <w:pStyle w:val="Heading2"/>
        <w:spacing w:after="120" w:before="280"/>
      </w:pPr>
      <w:r>
        <w:rPr>
          <w:rFonts w:ascii="Arial" w:cs="Arial" w:eastAsia="Arial" w:hAnsi="Arial"/>
          <w:b/>
          <w:bCs/>
          <w:color w:val="0E7C7B"/>
          <w:sz w:val="26"/>
          <w:szCs w:val="26"/>
        </w:rPr>
        <w:t xml:space="preserve">21.2  Vite Build System</w:t>
      </w:r>
    </w:p>
    <w:p>
      <w:pPr>
        <w:spacing w:after="80" w:before="60"/>
        <w:jc w:val="both"/>
      </w:pPr>
      <w:r>
        <w:rPr>
          <w:rFonts w:ascii="Arial" w:cs="Arial" w:eastAsia="Arial" w:hAnsi="Arial"/>
          <w:color w:val="1A1A2E"/>
          <w:sz w:val="22"/>
          <w:szCs w:val="22"/>
        </w:rPr>
        <w:t xml:space="preserve">Vite serves as the build tool and development server. It handles JS minification, CSS purging via Tailwind, and asset content-hashing. Under the hood, Rollup efficiently compiles and chunks standard ES modules (import / export) for production delivery.</w:t>
      </w:r>
    </w:p>
    <w:p>
      <w:pPr>
        <w:spacing w:after="0" w:before="160"/>
      </w:pPr>
    </w:p>
    <w:p>
      <w:pPr>
        <w:pStyle w:val="Heading2"/>
        <w:spacing w:after="120" w:before="280"/>
      </w:pPr>
      <w:r>
        <w:rPr>
          <w:rFonts w:ascii="Arial" w:cs="Arial" w:eastAsia="Arial" w:hAnsi="Arial"/>
          <w:b/>
          <w:bCs/>
          <w:color w:val="0E7C7B"/>
          <w:sz w:val="26"/>
          <w:szCs w:val="26"/>
        </w:rPr>
        <w:t xml:space="preserve">21.3  Directory Layout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/frontend/admin/, /frontend/courier/</w:t>
            </w:r>
          </w:p>
        </w:tc>
        <w:tc>
          <w:tcPr>
            <w:tcW w:type="dxa" w:w="6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HTML entry points. No inline JS. Each page loads exactly one page controller script.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/frontend/src/js/pages/</w:t>
            </w:r>
          </w:p>
        </w:tc>
        <w:tc>
          <w:tcPr>
            <w:tcW w:type="dxa" w:w="6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Page-specific controllers. One controller per HTML file.</w:t>
            </w:r>
          </w:p>
        </w:tc>
      </w:tr>
      <w:tr>
        <w:tc>
          <w:tcPr>
            <w:tcW w:type="dxa" w:w="2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/frontend/src/js/services/</w:t>
            </w:r>
          </w:p>
        </w:tc>
        <w:tc>
          <w:tcPr>
            <w:tcW w:type="dxa" w:w="6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Reusable logic — API calls (api_service.js) and authentication helpers.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/frontend/src/js/shared/</w:t>
            </w:r>
          </w:p>
        </w:tc>
        <w:tc>
          <w:tcPr>
            <w:tcW w:type="dxa" w:w="6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 formatters, date parsers, and UI component generators (e.g., Toast notifications, modals).</w:t>
            </w:r>
          </w:p>
        </w:tc>
      </w:tr>
      <w:tr>
        <w:tc>
          <w:tcPr>
            <w:tcW w:type="dxa" w:w="2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/frontend/src/css/</w:t>
            </w:r>
          </w:p>
        </w:tc>
        <w:tc>
          <w:tcPr>
            <w:tcW w:type="dxa" w:w="6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Global Tailwind directives and minimal custom CSS overrides.</w:t>
            </w:r>
          </w:p>
        </w:tc>
      </w:tr>
    </w:tbl>
    <w:p>
      <w:pPr>
        <w:spacing w:after="0" w:before="160"/>
      </w:pPr>
    </w:p>
    <w:p>
      <w:pPr>
        <w:pStyle w:val="Heading2"/>
        <w:spacing w:after="120" w:before="280"/>
      </w:pPr>
      <w:r>
        <w:rPr>
          <w:rFonts w:ascii="Arial" w:cs="Arial" w:eastAsia="Arial" w:hAnsi="Arial"/>
          <w:b/>
          <w:bCs/>
          <w:color w:val="0E7C7B"/>
          <w:sz w:val="26"/>
          <w:szCs w:val="26"/>
        </w:rPr>
        <w:t xml:space="preserve">21.4  DOM Manipulation &amp; Event Delegation</w:t>
      </w:r>
    </w:p>
    <w:p>
      <w:pPr>
        <w:spacing w:after="80" w:before="60"/>
        <w:jc w:val="both"/>
      </w:pPr>
      <w:r>
        <w:rPr>
          <w:rFonts w:ascii="Arial" w:cs="Arial" w:eastAsia="Arial" w:hAnsi="Arial"/>
          <w:color w:val="1A1A2E"/>
          <w:sz w:val="22"/>
          <w:szCs w:val="22"/>
        </w:rPr>
        <w:t xml:space="preserve">Instead of attaching addEventListener to hundreds of individual elements, Twsela uses Event Delegation on wrapper elements (e.g., &lt;table id="shipment-table"&gt;). Data attributes (data-action="delete", data-id="123") dictate JS behaviour, keeping the memory footprint incredibly low and the code maintainable.</w:t>
      </w:r>
    </w:p>
    <w:p>
      <w:r>
        <w:br w:type="page"/>
      </w:r>
    </w:p>
    <w:p>
      <w:pPr>
        <w:pStyle w:val="Heading1"/>
        <w:spacing w:after="140" w:before="400"/>
      </w:pPr>
      <w:r>
        <w:rPr>
          <w:rFonts w:ascii="Arial" w:cs="Arial" w:eastAsia="Arial" w:hAnsi="Arial"/>
          <w:b/>
          <w:bCs/>
          <w:color w:val="1B4F8A"/>
          <w:sz w:val="32"/>
          <w:szCs w:val="32"/>
        </w:rPr>
        <w:t xml:space="preserve">22. Frontend State &amp; API Integration</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22.1  Centralised API Service (api_service.js)</w:t>
      </w:r>
    </w:p>
    <w:p>
      <w:pPr>
        <w:spacing w:after="80" w:before="60"/>
        <w:jc w:val="both"/>
      </w:pPr>
      <w:r>
        <w:rPr>
          <w:rFonts w:ascii="Arial" w:cs="Arial" w:eastAsia="Arial" w:hAnsi="Arial"/>
          <w:color w:val="1A1A2E"/>
          <w:sz w:val="22"/>
          <w:szCs w:val="22"/>
        </w:rPr>
        <w:t xml:space="preserve">A single Vanilla JS utility module wraps the native fetch API to enforce uniform, consistent communication with the Spring Boot backend: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Authorization Injection</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Automatically appends the JWT from localStorage to the Authorization: Bearer header on every authenticated outgoing request.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Error Interception</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 401 Unauthorized response is returned, the utility globally clears the session and redirects to the login page — no duplicate logic in individual pages.</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Response Parsing</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Unwraps the standard {success, data, message, errors} envelope. If success is false, it automatically triggers a UI Toast notification displaying backend errors.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Loading States</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Triggers global DOM loaders (spinner overlay) or specific button loaders (data-loading="true") to prevent duplicate form submissions.</w:t>
            </w:r>
          </w:p>
        </w:tc>
      </w:tr>
    </w:tbl>
    <w:p>
      <w:pPr>
        <w:spacing w:after="0" w:before="160"/>
      </w:pPr>
    </w:p>
    <w:p>
      <w:pPr>
        <w:pStyle w:val="Heading2"/>
        <w:spacing w:after="120" w:before="280"/>
      </w:pPr>
      <w:r>
        <w:rPr>
          <w:rFonts w:ascii="Arial" w:cs="Arial" w:eastAsia="Arial" w:hAnsi="Arial"/>
          <w:b/>
          <w:bCs/>
          <w:color w:val="0E7C7B"/>
          <w:sz w:val="26"/>
          <w:szCs w:val="26"/>
        </w:rPr>
        <w:t xml:space="preserve">22.2  State Management Techniques</w:t>
      </w:r>
    </w:p>
    <w:p>
      <w:pPr>
        <w:spacing w:after="80" w:before="60"/>
        <w:jc w:val="both"/>
      </w:pPr>
      <w:r>
        <w:rPr>
          <w:rFonts w:ascii="Arial" w:cs="Arial" w:eastAsia="Arial" w:hAnsi="Arial"/>
          <w:color w:val="1A1A2E"/>
          <w:sz w:val="22"/>
          <w:szCs w:val="22"/>
        </w:rPr>
        <w:t xml:space="preserve">Without a framework like Redux or Vuex, state synchronisation relies on three complementary mechanisms:</w:t>
      </w:r>
    </w:p>
    <w:p>
      <w:pPr>
        <w:spacing w:after="0" w:before="80"/>
      </w:pPr>
    </w:p>
    <w:p>
      <w:pPr>
        <w:pStyle w:val="ListParagraph"/>
        <w:numPr>
          <w:ilvl w:val="0"/>
          <w:numId w:val="2"/>
        </w:numPr>
      </w:pPr>
      <w:r>
        <w:rPr>
          <w:rFonts w:ascii="Arial" w:cs="Arial" w:eastAsia="Arial" w:hAnsi="Arial"/>
          <w:color w:val="1A1A2E"/>
          <w:sz w:val="22"/>
          <w:szCs w:val="22"/>
        </w:rPr>
        <w:t xml:space="preserve">LocalStorage / SessionStorage: Tokens, basic user profile data (Name, Avatar), and the active tenant_id are cached client-side.</w:t>
      </w:r>
    </w:p>
    <w:p>
      <w:pPr>
        <w:pStyle w:val="ListParagraph"/>
        <w:numPr>
          <w:ilvl w:val="0"/>
          <w:numId w:val="2"/>
        </w:numPr>
      </w:pPr>
      <w:r>
        <w:rPr>
          <w:rFonts w:ascii="Arial" w:cs="Arial" w:eastAsia="Arial" w:hAnsi="Arial"/>
          <w:color w:val="1A1A2E"/>
          <w:sz w:val="22"/>
          <w:szCs w:val="22"/>
        </w:rPr>
        <w:t xml:space="preserve">URL Parameters: window.location.search is parsed to pass IDs between pages (e.g., /shipment-details.html?id=123).</w:t>
      </w:r>
    </w:p>
    <w:p>
      <w:pPr>
        <w:pStyle w:val="ListParagraph"/>
        <w:numPr>
          <w:ilvl w:val="0"/>
          <w:numId w:val="2"/>
        </w:numPr>
      </w:pPr>
      <w:r>
        <w:rPr>
          <w:rFonts w:ascii="Arial" w:cs="Arial" w:eastAsia="Arial" w:hAnsi="Arial"/>
          <w:color w:val="1A1A2E"/>
          <w:sz w:val="22"/>
          <w:szCs w:val="22"/>
        </w:rPr>
        <w:t xml:space="preserve">Data Attributes: The DOM itself is the source of truth for rendered lists. A &lt;tr&gt; element contains data-id="123", which a global click listener extracts to perform API delete actions.</w:t>
      </w:r>
    </w:p>
    <w:p>
      <w:r>
        <w:br w:type="page"/>
      </w:r>
    </w:p>
    <w:p>
      <w:pPr>
        <w:pStyle w:val="Heading1"/>
        <w:spacing w:after="140" w:before="400"/>
      </w:pPr>
      <w:r>
        <w:rPr>
          <w:rFonts w:ascii="Arial" w:cs="Arial" w:eastAsia="Arial" w:hAnsi="Arial"/>
          <w:b/>
          <w:bCs/>
          <w:color w:val="1B4F8A"/>
          <w:sz w:val="32"/>
          <w:szCs w:val="32"/>
        </w:rPr>
        <w:t xml:space="preserve">23. Frontend Role Portals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23.1  Multi-Portal Logical Separation</w:t>
      </w:r>
    </w:p>
    <w:p>
      <w:pPr>
        <w:spacing w:after="80" w:before="60"/>
        <w:jc w:val="both"/>
      </w:pPr>
      <w:r>
        <w:rPr>
          <w:rFonts w:ascii="Arial" w:cs="Arial" w:eastAsia="Arial" w:hAnsi="Arial"/>
          <w:color w:val="1A1A2E"/>
          <w:sz w:val="22"/>
          <w:szCs w:val="22"/>
        </w:rPr>
        <w:t xml:space="preserve">To avoid deeply nested role-checking logic, the application routing is physically divided into four distinct portals, each serving a specific user persona: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77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Focus &amp; Characteristics</w:t>
            </w:r>
          </w:p>
        </w:tc>
      </w:tr>
      <w:tr>
        <w:tc>
          <w:tcPr>
            <w:tcW w:type="dxa" w:w="1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7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Command centre. Dashboards for total volume, revenue, user management, and system configuration. Desktop-first, data-dense layouts.</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/merchant</w:t>
            </w:r>
          </w:p>
        </w:tc>
        <w:tc>
          <w:tcPr>
            <w:tcW w:type="dxa" w:w="7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Focused on order creation, API key generation, wallet withdrawals, and bulk CSV uploads. Desktop and tablet optimised.</w:t>
            </w:r>
          </w:p>
        </w:tc>
      </w:tr>
      <w:tr>
        <w:tc>
          <w:tcPr>
            <w:tcW w:type="dxa" w:w="16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/courier</w:t>
            </w:r>
          </w:p>
        </w:tc>
        <w:tc>
          <w:tcPr>
            <w:tcW w:type="dxa" w:w="77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Mobile-first, highly responsive interface for the active route, barcode scanning via device camera (HTML5 API), and signature PoD capture (Canvas API).</w:t>
            </w:r>
          </w:p>
        </w:tc>
      </w:tr>
      <w:tr>
        <w:tc>
          <w:tcPr>
            <w:tcW w:type="dxa" w:w="1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/warehouse</w:t>
            </w:r>
          </w:p>
        </w:tc>
        <w:tc>
          <w:tcPr>
            <w:tcW w:type="dxa" w:w="77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Optimised for high-speed data entry, barcode scanning, bin allocation, and dispatch manifesting. Designed for large touchscreens and handheld scanners.</w:t>
            </w:r>
          </w:p>
        </w:tc>
      </w:tr>
    </w:tbl>
    <w:p>
      <w:pPr>
        <w:spacing w:after="0" w:before="160"/>
      </w:pPr>
    </w:p>
    <w:p>
      <w:pPr>
        <w:pStyle w:val="Heading2"/>
        <w:spacing w:after="120" w:before="280"/>
      </w:pPr>
      <w:r>
        <w:rPr>
          <w:rFonts w:ascii="Arial" w:cs="Arial" w:eastAsia="Arial" w:hAnsi="Arial"/>
          <w:b/>
          <w:bCs/>
          <w:color w:val="0E7C7B"/>
          <w:sz w:val="26"/>
          <w:szCs w:val="26"/>
        </w:rPr>
        <w:t xml:space="preserve">23.2  Shared Component Strategy</w:t>
      </w:r>
    </w:p>
    <w:p>
      <w:pPr>
        <w:spacing w:after="80" w:before="60"/>
        <w:jc w:val="both"/>
      </w:pPr>
      <w:r>
        <w:rPr>
          <w:rFonts w:ascii="Arial" w:cs="Arial" w:eastAsia="Arial" w:hAnsi="Arial"/>
          <w:color w:val="1A1A2E"/>
          <w:sz w:val="22"/>
          <w:szCs w:val="22"/>
        </w:rPr>
        <w:t xml:space="preserve">Despite physical separation, the Vite build system allows UI components to be shared across all portals, ensuring consistency without code duplication:</w:t>
      </w:r>
    </w:p>
    <w:p>
      <w:pPr>
        <w:spacing w:after="0" w:before="80"/>
      </w:pPr>
    </w:p>
    <w:p>
      <w:pPr>
        <w:pStyle w:val="ListParagraph"/>
        <w:numPr>
          <w:ilvl w:val="0"/>
          <w:numId w:val="2"/>
        </w:numPr>
      </w:pPr>
      <w:r>
        <w:rPr>
          <w:rFonts w:ascii="Arial" w:cs="Arial" w:eastAsia="Arial" w:hAnsi="Arial"/>
          <w:color w:val="1A1A2E"/>
          <w:sz w:val="22"/>
          <w:szCs w:val="22"/>
        </w:rPr>
        <w:t xml:space="preserve">Navigation (Sidebar/Topbar): Rendered dynamically from a JSON config tailored per role.</w:t>
      </w:r>
    </w:p>
    <w:p>
      <w:pPr>
        <w:pStyle w:val="ListParagraph"/>
        <w:numPr>
          <w:ilvl w:val="0"/>
          <w:numId w:val="2"/>
        </w:numPr>
      </w:pPr>
      <w:r>
        <w:rPr>
          <w:rFonts w:ascii="Arial" w:cs="Arial" w:eastAsia="Arial" w:hAnsi="Arial"/>
          <w:color w:val="1A1A2E"/>
          <w:sz w:val="22"/>
          <w:szCs w:val="22"/>
        </w:rPr>
        <w:t xml:space="preserve">Data Tables: A shared JS utility generates sortable, paginated HTML tables consistently across all portals from any data array.</w:t>
      </w:r>
    </w:p>
    <w:p>
      <w:pPr>
        <w:pStyle w:val="ListParagraph"/>
        <w:numPr>
          <w:ilvl w:val="0"/>
          <w:numId w:val="2"/>
        </w:numPr>
      </w:pPr>
      <w:r>
        <w:rPr>
          <w:rFonts w:ascii="Arial" w:cs="Arial" w:eastAsia="Arial" w:hAnsi="Arial"/>
          <w:color w:val="1A1A2E"/>
          <w:sz w:val="22"/>
          <w:szCs w:val="22"/>
        </w:rPr>
        <w:t xml:space="preserve">Modals &amp; Toasts: Common dialogue wrappers invoked via global JavaScript functions.</w:t>
      </w:r>
    </w:p>
    <w:p>
      <w:pPr>
        <w:spacing w:after="0" w:before="160"/>
      </w:pPr>
    </w:p>
    <w:p>
      <w:pPr>
        <w:pStyle w:val="Heading2"/>
        <w:spacing w:after="120" w:before="280"/>
      </w:pPr>
      <w:r>
        <w:rPr>
          <w:rFonts w:ascii="Arial" w:cs="Arial" w:eastAsia="Arial" w:hAnsi="Arial"/>
          <w:b/>
          <w:bCs/>
          <w:color w:val="0E7C7B"/>
          <w:sz w:val="26"/>
          <w:szCs w:val="26"/>
        </w:rPr>
        <w:t xml:space="preserve">23.3  Role Validation on Load</w:t>
      </w:r>
    </w:p>
    <w:p>
      <w:pPr>
        <w:spacing w:after="80" w:before="60"/>
        <w:jc w:val="both"/>
      </w:pPr>
      <w:r>
        <w:rPr>
          <w:rFonts w:ascii="Arial" w:cs="Arial" w:eastAsia="Arial" w:hAnsi="Arial"/>
          <w:color w:val="1A1A2E"/>
          <w:sz w:val="22"/>
          <w:szCs w:val="22"/>
        </w:rPr>
        <w:t xml:space="preserve">Every HTML page invokes an init() function on DOMContentLoaded. This function reads the JWT from localStorage, decodes the payload, checks the role claim against the required role for that portal, and immediately redirects unauthorised users — before any page data is fetched or rendered.</w:t>
      </w:r>
    </w:p>
    <w:p>
      <w:r>
        <w:br w:type="page"/>
      </w:r>
    </w:p>
    <w:p>
      <w:pPr>
        <w:pStyle w:val="Heading1"/>
        <w:spacing w:after="140" w:before="400"/>
      </w:pPr>
      <w:r>
        <w:rPr>
          <w:rFonts w:ascii="Arial" w:cs="Arial" w:eastAsia="Arial" w:hAnsi="Arial"/>
          <w:b/>
          <w:bCs/>
          <w:color w:val="1B4F8A"/>
          <w:sz w:val="32"/>
          <w:szCs w:val="32"/>
        </w:rPr>
        <w:t xml:space="preserve">24. Frontend UI/UX Standards</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24.1  Tailwind CSS Utility Configuration</w:t>
      </w:r>
    </w:p>
    <w:p>
      <w:pPr>
        <w:spacing w:after="80" w:before="60"/>
        <w:jc w:val="both"/>
      </w:pPr>
      <w:r>
        <w:rPr>
          <w:rFonts w:ascii="Arial" w:cs="Arial" w:eastAsia="Arial" w:hAnsi="Arial"/>
          <w:color w:val="1A1A2E"/>
          <w:sz w:val="22"/>
          <w:szCs w:val="22"/>
        </w:rPr>
        <w:t xml:space="preserve">The project relies on a heavily customised tailwind.config.js to enforce a consistent design system across all portals:</w:t>
      </w:r>
    </w:p>
    <w:p>
      <w:pPr>
        <w:spacing w:after="0" w:before="80"/>
      </w:pPr>
    </w:p>
    <w:p>
      <w:pPr>
        <w:pStyle w:val="ListParagraph"/>
        <w:numPr>
          <w:ilvl w:val="0"/>
          <w:numId w:val="2"/>
        </w:numPr>
      </w:pPr>
      <w:r>
        <w:rPr>
          <w:rFonts w:ascii="Arial" w:cs="Arial" w:eastAsia="Arial" w:hAnsi="Arial"/>
          <w:color w:val="1A1A2E"/>
          <w:sz w:val="22"/>
          <w:szCs w:val="22"/>
        </w:rPr>
        <w:t xml:space="preserve">Colors: Primary brand colours, status colours (Success Green, Error Red, Warning Yellow) are globally defined as design tokens.</w:t>
      </w:r>
    </w:p>
    <w:p>
      <w:pPr>
        <w:pStyle w:val="ListParagraph"/>
        <w:numPr>
          <w:ilvl w:val="0"/>
          <w:numId w:val="2"/>
        </w:numPr>
      </w:pPr>
      <w:r>
        <w:rPr>
          <w:rFonts w:ascii="Arial" w:cs="Arial" w:eastAsia="Arial" w:hAnsi="Arial"/>
          <w:color w:val="1A1A2E"/>
          <w:sz w:val="22"/>
          <w:szCs w:val="22"/>
        </w:rPr>
        <w:t xml:space="preserve">Typography: Standardised font families targeting readability across varied mobile device screens.</w:t>
      </w:r>
    </w:p>
    <w:p>
      <w:pPr>
        <w:spacing w:after="0" w:before="160"/>
      </w:pPr>
    </w:p>
    <w:p>
      <w:pPr>
        <w:pStyle w:val="Heading2"/>
        <w:spacing w:after="120" w:before="280"/>
      </w:pPr>
      <w:r>
        <w:rPr>
          <w:rFonts w:ascii="Arial" w:cs="Arial" w:eastAsia="Arial" w:hAnsi="Arial"/>
          <w:b/>
          <w:bCs/>
          <w:color w:val="0E7C7B"/>
          <w:sz w:val="26"/>
          <w:szCs w:val="26"/>
        </w:rPr>
        <w:t xml:space="preserve">24.2  RTL (Right-to-Left) Arabic Support</w:t>
      </w:r>
    </w:p>
    <w:p>
      <w:pPr>
        <w:spacing w:after="80" w:before="60"/>
        <w:jc w:val="both"/>
      </w:pPr>
      <w:r>
        <w:rPr>
          <w:rFonts w:ascii="Arial" w:cs="Arial" w:eastAsia="Arial" w:hAnsi="Arial"/>
          <w:color w:val="1A1A2E"/>
          <w:sz w:val="22"/>
          <w:szCs w:val="22"/>
        </w:rPr>
        <w:t xml:space="preserve">Arabic-first RTL support is a core product requirement, not an afterthought. It is implemented at the foundational level: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7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Document Direction</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The &lt;body&gt; tag permanently enforces dir="rtl" across all portals.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Logical CSS Properties</w:t>
            </w:r>
          </w:p>
        </w:tc>
        <w:tc>
          <w:tcPr>
            <w:tcW w:type="dxa" w:w="7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Tailwind's start and end utilities (ps-4, me-2, border-s-2) are used exclusively over physical directions (left / right) to correctly mirror layouts.</w:t>
            </w:r>
          </w:p>
        </w:tc>
      </w:tr>
      <w:tr>
        <w:tc>
          <w:tcPr>
            <w:tcW w:type="dxa" w:w="2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Arabic Typography</w:t>
            </w:r>
          </w:p>
        </w:tc>
        <w:tc>
          <w:tcPr>
            <w:tcW w:type="dxa" w:w="7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Noto Sans Arabic is used (served locally or via Google Fonts) for optimal rendering of complex Arabic ligatures and diacritics.</w:t>
            </w:r>
          </w:p>
        </w:tc>
      </w:tr>
    </w:tbl>
    <w:p>
      <w:pPr>
        <w:spacing w:after="0" w:before="160"/>
      </w:pPr>
    </w:p>
    <w:p>
      <w:pPr>
        <w:pStyle w:val="Heading2"/>
        <w:spacing w:after="120" w:before="280"/>
      </w:pPr>
      <w:r>
        <w:rPr>
          <w:rFonts w:ascii="Arial" w:cs="Arial" w:eastAsia="Arial" w:hAnsi="Arial"/>
          <w:b/>
          <w:bCs/>
          <w:color w:val="0E7C7B"/>
          <w:sz w:val="26"/>
          <w:szCs w:val="26"/>
        </w:rPr>
        <w:t xml:space="preserve">24.3  Responsive Design Checkpoints</w:t>
      </w:r>
    </w:p>
    <w:p>
      <w:pPr>
        <w:spacing w:after="80" w:before="60"/>
        <w:jc w:val="both"/>
      </w:pPr>
      <w:r>
        <w:rPr>
          <w:rFonts w:ascii="Arial" w:cs="Arial" w:eastAsia="Arial" w:hAnsi="Arial"/>
          <w:color w:val="1A1A2E"/>
          <w:sz w:val="22"/>
          <w:szCs w:val="22"/>
        </w:rPr>
        <w:t xml:space="preserve">A strict mobile-first approach governs all styling decisions:</w:t>
      </w:r>
    </w:p>
    <w:p>
      <w:pPr>
        <w:spacing w:after="0" w:before="80"/>
      </w:pPr>
    </w:p>
    <w:p>
      <w:pPr>
        <w:pStyle w:val="ListParagraph"/>
        <w:numPr>
          <w:ilvl w:val="0"/>
          <w:numId w:val="2"/>
        </w:numPr>
      </w:pPr>
      <w:r>
        <w:rPr>
          <w:rFonts w:ascii="Arial" w:cs="Arial" w:eastAsia="Arial" w:hAnsi="Arial"/>
          <w:color w:val="1A1A2E"/>
          <w:sz w:val="22"/>
          <w:szCs w:val="22"/>
        </w:rPr>
        <w:t xml:space="preserve">Mobile First (&lt; 768px): Base Tailwind classes target mobile screens. Absolutely critical for the Courier and Warehouse portals used in the field.</w:t>
      </w:r>
    </w:p>
    <w:p>
      <w:pPr>
        <w:pStyle w:val="ListParagraph"/>
        <w:numPr>
          <w:ilvl w:val="0"/>
          <w:numId w:val="2"/>
        </w:numPr>
      </w:pPr>
      <w:r>
        <w:rPr>
          <w:rFonts w:ascii="Arial" w:cs="Arial" w:eastAsia="Arial" w:hAnsi="Arial"/>
          <w:color w:val="1A1A2E"/>
          <w:sz w:val="22"/>
          <w:szCs w:val="22"/>
        </w:rPr>
        <w:t xml:space="preserve">Desktop Enhancement: md: and lg: prefixes are strictly reserved for the Admin and Merchant portals, which assume a desktop or tablet viewing context.</w:t>
      </w:r>
    </w:p>
    <w:p>
      <w:pPr>
        <w:spacing w:after="0" w:before="160"/>
      </w:pPr>
    </w:p>
    <w:p>
      <w:pPr>
        <w:pStyle w:val="Heading2"/>
        <w:spacing w:after="120" w:before="280"/>
      </w:pPr>
      <w:r>
        <w:rPr>
          <w:rFonts w:ascii="Arial" w:cs="Arial" w:eastAsia="Arial" w:hAnsi="Arial"/>
          <w:b/>
          <w:bCs/>
          <w:color w:val="0E7C7B"/>
          <w:sz w:val="26"/>
          <w:szCs w:val="26"/>
        </w:rPr>
        <w:t xml:space="preserve">24.4  Form Validation &amp; Feedback</w:t>
      </w:r>
    </w:p>
    <w:p>
      <w:pPr>
        <w:spacing w:after="80" w:before="60"/>
        <w:jc w:val="both"/>
      </w:pPr>
      <w:r>
        <w:rPr>
          <w:rFonts w:ascii="Arial" w:cs="Arial" w:eastAsia="Arial" w:hAnsi="Arial"/>
          <w:color w:val="1A1A2E"/>
          <w:sz w:val="22"/>
          <w:szCs w:val="22"/>
        </w:rPr>
        <w:t xml:space="preserve">A two-layer validation strategy provides both accessibility and reliability:</w:t>
      </w:r>
    </w:p>
    <w:p>
      <w:pPr>
        <w:spacing w:after="0" w:before="80"/>
      </w:pPr>
    </w:p>
    <w:p>
      <w:pPr>
        <w:pStyle w:val="ListParagraph"/>
        <w:numPr>
          <w:ilvl w:val="0"/>
          <w:numId w:val="2"/>
        </w:numPr>
      </w:pPr>
      <w:r>
        <w:rPr>
          <w:rFonts w:ascii="Arial" w:cs="Arial" w:eastAsia="Arial" w:hAnsi="Arial"/>
          <w:color w:val="1A1A2E"/>
          <w:sz w:val="22"/>
          <w:szCs w:val="22"/>
        </w:rPr>
        <w:t xml:space="preserve">Primary: Native HTML5 validation (required, type="email", pattern) — zero JavaScript overhead.</w:t>
      </w:r>
    </w:p>
    <w:p>
      <w:pPr>
        <w:pStyle w:val="ListParagraph"/>
        <w:numPr>
          <w:ilvl w:val="0"/>
          <w:numId w:val="2"/>
        </w:numPr>
      </w:pPr>
      <w:r>
        <w:rPr>
          <w:rFonts w:ascii="Arial" w:cs="Arial" w:eastAsia="Arial" w:hAnsi="Arial"/>
          <w:color w:val="1A1A2E"/>
          <w:sz w:val="22"/>
          <w:szCs w:val="22"/>
        </w:rPr>
        <w:t xml:space="preserve">Secondary: A shared JS utility intercepts the submit event. If the form is invalid, custom Tailwind-styled error tooltips appear on the offending fields. Only valid payloads proceed to the API service.</w:t>
      </w:r>
    </w:p>
    <w:p>
      <w:r>
        <w:br w:type="page"/>
      </w:r>
    </w:p>
    <w:p>
      <w:pPr>
        <w:pStyle w:val="Heading1"/>
        <w:spacing w:after="140" w:before="400"/>
      </w:pPr>
      <w:r>
        <w:rPr>
          <w:rFonts w:ascii="Arial" w:cs="Arial" w:eastAsia="Arial" w:hAnsi="Arial"/>
          <w:b/>
          <w:bCs/>
          <w:color w:val="1B4F8A"/>
          <w:sz w:val="32"/>
          <w:szCs w:val="32"/>
        </w:rPr>
        <w:t xml:space="preserve">25. DevOps &amp; Deployment</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25.1  Deployment Architecture</w:t>
      </w:r>
    </w:p>
    <w:p>
      <w:pPr>
        <w:spacing w:after="80" w:before="60"/>
        <w:jc w:val="both"/>
      </w:pPr>
      <w:r>
        <w:rPr>
          <w:rFonts w:ascii="Arial" w:cs="Arial" w:eastAsia="Arial" w:hAnsi="Arial"/>
          <w:color w:val="1A1A2E"/>
          <w:sz w:val="22"/>
          <w:szCs w:val="22"/>
        </w:rPr>
        <w:t xml:space="preserve">Twsela is deployed via standard Virtual Private Servers (VPS) or Cloud instances. The architecture is intentionally straightforward — a single server stack that is easy to reason about, maintain, and scale vertically.</w:t>
      </w:r>
    </w:p>
    <w:p>
      <w:pPr>
        <w:spacing w:after="0" w:before="160"/>
      </w:pPr>
    </w:p>
    <w:p>
      <w:pPr>
        <w:pStyle w:val="Heading2"/>
        <w:spacing w:after="120" w:before="280"/>
      </w:pPr>
      <w:r>
        <w:rPr>
          <w:rFonts w:ascii="Arial" w:cs="Arial" w:eastAsia="Arial" w:hAnsi="Arial"/>
          <w:b/>
          <w:bCs/>
          <w:color w:val="0E7C7B"/>
          <w:sz w:val="26"/>
          <w:szCs w:val="26"/>
        </w:rPr>
        <w:t xml:space="preserve">25.2  Nginx Reverse Proxy Configuration</w:t>
      </w:r>
    </w:p>
    <w:p>
      <w:pPr>
        <w:spacing w:after="80" w:before="60"/>
        <w:jc w:val="both"/>
      </w:pPr>
      <w:r>
        <w:rPr>
          <w:rFonts w:ascii="Arial" w:cs="Arial" w:eastAsia="Arial" w:hAnsi="Arial"/>
          <w:color w:val="1A1A2E"/>
          <w:sz w:val="22"/>
          <w:szCs w:val="22"/>
        </w:rPr>
        <w:t xml:space="preserve">Nginx acts as the gatekeeper for all inbound traffic, performing four key roles:</w:t>
      </w:r>
    </w:p>
    <w:p>
      <w:pPr>
        <w:spacing w:after="0" w:before="80"/>
      </w:pPr>
    </w:p>
    <w:p>
      <w:pPr>
        <w:pStyle w:val="ListParagraph"/>
        <w:numPr>
          <w:ilvl w:val="0"/>
          <w:numId w:val="2"/>
        </w:numPr>
      </w:pPr>
      <w:r>
        <w:rPr>
          <w:rFonts w:ascii="Arial" w:cs="Arial" w:eastAsia="Arial" w:hAnsi="Arial"/>
          <w:color w:val="1A1A2E"/>
          <w:sz w:val="22"/>
          <w:szCs w:val="22"/>
        </w:rPr>
        <w:t xml:space="preserve">Listens on ports 80/443 and enforces HTTPS redirects (HTTP → HTTPS for all traffic).</w:t>
      </w:r>
    </w:p>
    <w:p>
      <w:pPr>
        <w:pStyle w:val="ListParagraph"/>
        <w:numPr>
          <w:ilvl w:val="0"/>
          <w:numId w:val="2"/>
        </w:numPr>
      </w:pPr>
      <w:r>
        <w:rPr>
          <w:rFonts w:ascii="Arial" w:cs="Arial" w:eastAsia="Arial" w:hAnsi="Arial"/>
          <w:color w:val="1A1A2E"/>
          <w:sz w:val="22"/>
          <w:szCs w:val="22"/>
        </w:rPr>
        <w:t xml:space="preserve">Serves pre-compiled Vanilla JS/CSS assets from the Vite output directory directly from memory — no application server involved for static content.</w:t>
      </w:r>
    </w:p>
    <w:p>
      <w:pPr>
        <w:pStyle w:val="ListParagraph"/>
        <w:numPr>
          <w:ilvl w:val="0"/>
          <w:numId w:val="2"/>
        </w:numPr>
      </w:pPr>
      <w:r>
        <w:rPr>
          <w:rFonts w:ascii="Arial" w:cs="Arial" w:eastAsia="Arial" w:hAnsi="Arial"/>
          <w:color w:val="1A1A2E"/>
          <w:sz w:val="22"/>
          <w:szCs w:val="22"/>
        </w:rPr>
        <w:t xml:space="preserve">Routes all traffic hitting /api/* to the internal Spring Boot application on localhost:8080.</w:t>
      </w:r>
    </w:p>
    <w:p>
      <w:pPr>
        <w:pStyle w:val="ListParagraph"/>
        <w:numPr>
          <w:ilvl w:val="0"/>
          <w:numId w:val="2"/>
        </w:numPr>
      </w:pPr>
      <w:r>
        <w:rPr>
          <w:rFonts w:ascii="Arial" w:cs="Arial" w:eastAsia="Arial" w:hAnsi="Arial"/>
          <w:color w:val="1A1A2E"/>
          <w:sz w:val="22"/>
          <w:szCs w:val="22"/>
        </w:rPr>
        <w:t xml:space="preserve">Implements rate limiting, connection timeouts, and GZIP compression on static assets.</w:t>
      </w:r>
    </w:p>
    <w:p>
      <w:pPr>
        <w:spacing w:after="0" w:before="160"/>
      </w:pPr>
    </w:p>
    <w:p>
      <w:pPr>
        <w:pStyle w:val="Heading2"/>
        <w:spacing w:after="120" w:before="280"/>
      </w:pPr>
      <w:r>
        <w:rPr>
          <w:rFonts w:ascii="Arial" w:cs="Arial" w:eastAsia="Arial" w:hAnsi="Arial"/>
          <w:b/>
          <w:bCs/>
          <w:color w:val="0E7C7B"/>
          <w:sz w:val="26"/>
          <w:szCs w:val="26"/>
        </w:rPr>
        <w:t xml:space="preserve">25.3  SSL / TLS Encryption</w:t>
      </w:r>
    </w:p>
    <w:p>
      <w:pPr>
        <w:spacing w:after="80" w:before="60"/>
        <w:jc w:val="both"/>
      </w:pPr>
      <w:r>
        <w:rPr>
          <w:rFonts w:ascii="Arial" w:cs="Arial" w:eastAsia="Arial" w:hAnsi="Arial"/>
          <w:color w:val="1A1A2E"/>
          <w:sz w:val="22"/>
          <w:szCs w:val="22"/>
        </w:rPr>
        <w:t xml:space="preserve">All traffic is secured via Let's Encrypt / Certbot. Certificates are configured in the Nginx server block, ensuring end-to-end encryption from the browser to the reverse proxy. Certificates auto-renew via a scheduled cron task.</w:t>
      </w:r>
    </w:p>
    <w:p>
      <w:pPr>
        <w:spacing w:after="0" w:before="160"/>
      </w:pPr>
    </w:p>
    <w:p>
      <w:pPr>
        <w:pStyle w:val="Heading2"/>
        <w:spacing w:after="120" w:before="280"/>
      </w:pPr>
      <w:r>
        <w:rPr>
          <w:rFonts w:ascii="Arial" w:cs="Arial" w:eastAsia="Arial" w:hAnsi="Arial"/>
          <w:b/>
          <w:bCs/>
          <w:color w:val="0E7C7B"/>
          <w:sz w:val="26"/>
          <w:szCs w:val="26"/>
        </w:rPr>
        <w:t xml:space="preserve">25.4  CI/CD Pipeline</w:t>
      </w:r>
    </w:p>
    <w:p>
      <w:pPr>
        <w:spacing w:after="80" w:before="60"/>
        <w:jc w:val="both"/>
      </w:pPr>
      <w:r>
        <w:rPr>
          <w:rFonts w:ascii="Arial" w:cs="Arial" w:eastAsia="Arial" w:hAnsi="Arial"/>
          <w:color w:val="1A1A2E"/>
          <w:sz w:val="22"/>
          <w:szCs w:val="22"/>
        </w:rPr>
        <w:t xml:space="preserve">GitHub Actions automates the entire deployment pipeline on pushes to the main or staging branches: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1 — Backend Build</w:t>
            </w:r>
          </w:p>
        </w:tc>
        <w:tc>
          <w:tcPr>
            <w:tcW w:type="dxa" w:w="7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Executes Maven (mvn clean package). Runs all JUnit unit tests. Build halts immediately on test failure — no broken code reaches staging.</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2 — Frontend Build</w:t>
            </w:r>
          </w:p>
        </w:tc>
        <w:tc>
          <w:tcPr>
            <w:tcW w:type="dxa" w:w="7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Executes Vite build (npm run build). Produces an optimised, content-hashed /dist output folder.</w:t>
            </w:r>
          </w:p>
        </w:tc>
      </w:tr>
      <w:tr>
        <w:tc>
          <w:tcPr>
            <w:tcW w:type="dxa" w:w="1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3 — Deployment</w:t>
            </w:r>
          </w:p>
        </w:tc>
        <w:tc>
          <w:tcPr>
            <w:tcW w:type="dxa" w:w="7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Uses SSH to securely transfer the compiled /dist assets and the .jar executable to the target server.</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4 — Restart</w:t>
            </w:r>
          </w:p>
        </w:tc>
        <w:tc>
          <w:tcPr>
            <w:tcW w:type="dxa" w:w="7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Gracefully restarts the systemd service managing the Java process and reloads Nginx configuration.</w:t>
            </w:r>
          </w:p>
        </w:tc>
      </w:tr>
    </w:tbl>
    <w:p>
      <w:r>
        <w:br w:type="page"/>
      </w:r>
    </w:p>
    <w:p>
      <w:pPr>
        <w:pStyle w:val="Heading1"/>
        <w:spacing w:after="140" w:before="400"/>
      </w:pPr>
      <w:r>
        <w:rPr>
          <w:rFonts w:ascii="Arial" w:cs="Arial" w:eastAsia="Arial" w:hAnsi="Arial"/>
          <w:b/>
          <w:bCs/>
          <w:color w:val="1B4F8A"/>
          <w:sz w:val="32"/>
          <w:szCs w:val="32"/>
        </w:rPr>
        <w:t xml:space="preserve">26. Monitoring &amp; Maintenance</w:t>
      </w:r>
    </w:p>
    <w:p>
      <w:pPr>
        <w:pBdr>
          <w:bottom w:val="single" w:color="1B4F8A" w:sz="6" w:space="1"/>
        </w:pBdr>
        <w:spacing w:after="120" w:before="0"/>
      </w:pPr>
      <w:r>
        <w:t xml:space="preserve"/>
      </w:r>
    </w:p>
    <w:p>
      <w:pPr>
        <w:pStyle w:val="Heading2"/>
        <w:spacing w:after="120" w:before="280"/>
      </w:pPr>
      <w:r>
        <w:rPr>
          <w:rFonts w:ascii="Arial" w:cs="Arial" w:eastAsia="Arial" w:hAnsi="Arial"/>
          <w:b/>
          <w:bCs/>
          <w:color w:val="0E7C7B"/>
          <w:sz w:val="26"/>
          <w:szCs w:val="26"/>
        </w:rPr>
        <w:t xml:space="preserve">26.1  System Monitoring (Grafana &amp; Prometheus)</w:t>
      </w:r>
    </w:p>
    <w:p>
      <w:pPr>
        <w:spacing w:after="80" w:before="60"/>
        <w:jc w:val="both"/>
      </w:pPr>
      <w:r>
        <w:rPr>
          <w:rFonts w:ascii="Arial" w:cs="Arial" w:eastAsia="Arial" w:hAnsi="Arial"/>
          <w:color w:val="1A1A2E"/>
          <w:sz w:val="22"/>
          <w:szCs w:val="22"/>
        </w:rPr>
        <w:t xml:space="preserve">The Spring Boot Actuator module exposes a /metrics endpoint consumed by the monitoring stack: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Prometheus</w:t>
            </w:r>
          </w:p>
        </w:tc>
        <w:tc>
          <w:tcPr>
            <w:tcW w:type="dxa" w:w="75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Scrapes the /metrics endpoint periodically, storing JVM memory usage, HTTP response times, active DB connections, and custom business metrics (e.g., shipments/hour).</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Grafana</w:t>
            </w:r>
          </w:p>
        </w:tc>
        <w:tc>
          <w:tcPr>
            <w:tcW w:type="dxa" w:w="75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Visualises Prometheus data via dashboards. Alerts notify Administrators via Slack or Email when anomalies are detected (e.g., error rate spike, memory threshold breach).</w:t>
            </w:r>
          </w:p>
        </w:tc>
      </w:tr>
    </w:tbl>
    <w:p>
      <w:pPr>
        <w:spacing w:after="0" w:before="160"/>
      </w:pPr>
    </w:p>
    <w:p>
      <w:pPr>
        <w:pStyle w:val="Heading2"/>
        <w:spacing w:after="120" w:before="280"/>
      </w:pPr>
      <w:r>
        <w:rPr>
          <w:rFonts w:ascii="Arial" w:cs="Arial" w:eastAsia="Arial" w:hAnsi="Arial"/>
          <w:b/>
          <w:bCs/>
          <w:color w:val="0E7C7B"/>
          <w:sz w:val="26"/>
          <w:szCs w:val="26"/>
        </w:rPr>
        <w:t xml:space="preserve">26.2  Log Management Strategy</w:t>
      </w:r>
    </w:p>
    <w:p>
      <w:pPr>
        <w:spacing w:after="80" w:before="60"/>
        <w:jc w:val="both"/>
      </w:pPr>
      <w:r>
        <w:rPr>
          <w:rFonts w:ascii="Arial" w:cs="Arial" w:eastAsia="Arial" w:hAnsi="Arial"/>
          <w:color w:val="1A1A2E"/>
          <w:sz w:val="22"/>
          <w:szCs w:val="22"/>
        </w:rPr>
        <w:t xml:space="preserve">Logs are segregated by source, compressed, and rotated daily to prevent disk saturation: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Log Source</w:t>
            </w:r>
          </w:p>
        </w:tc>
        <w:tc>
          <w:tcPr>
            <w:tcW w:type="dxa" w:w="61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Spring Boot Application (twsela/logs/application.log)</w:t>
            </w:r>
          </w:p>
        </w:tc>
        <w:tc>
          <w:tcPr>
            <w:tcW w:type="dxa" w:w="6160"/>
            <w:tcBorders>
              <w:top w:val="single" w:color="C0CDD8" w:sz="1"/>
              <w:left w:val="single" w:color="C0CDD8" w:sz="1"/>
              <w:bottom w:val="single" w:color="C0CDD8" w:sz="1"/>
              <w:right w:val="single" w:color="C0CDD8"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Controlled via Logback. Set to INFO in production, DEBUG in staging. Sensitive data is explicitly masked before logging.</w:t>
            </w:r>
          </w:p>
        </w:tc>
      </w:tr>
      <w:tr>
        <w:tc>
          <w:tcPr>
            <w:tcW w:type="dxa" w:w="3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Nginx Access &amp; Error Logs</w:t>
            </w:r>
          </w:p>
        </w:tc>
        <w:tc>
          <w:tcPr>
            <w:tcW w:type="dxa" w:w="616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Monitored by Fail2Ban. Repeated 401 responses or aggressive scanning from a single IP triggers a temporary ban automatically injected into iptables.</w:t>
            </w:r>
          </w:p>
        </w:tc>
      </w:tr>
    </w:tbl>
    <w:p>
      <w:pPr>
        <w:spacing w:after="0" w:before="160"/>
      </w:pPr>
    </w:p>
    <w:p>
      <w:pPr>
        <w:pStyle w:val="Heading2"/>
        <w:spacing w:after="120" w:before="280"/>
      </w:pPr>
      <w:r>
        <w:rPr>
          <w:rFonts w:ascii="Arial" w:cs="Arial" w:eastAsia="Arial" w:hAnsi="Arial"/>
          <w:b/>
          <w:bCs/>
          <w:color w:val="0E7C7B"/>
          <w:sz w:val="26"/>
          <w:szCs w:val="26"/>
        </w:rPr>
        <w:t xml:space="preserve">26.3  Database Backup Policies</w:t>
      </w:r>
    </w:p>
    <w:p>
      <w:pPr>
        <w:spacing w:after="80" w:before="60"/>
        <w:jc w:val="both"/>
      </w:pPr>
      <w:r>
        <w:rPr>
          <w:rFonts w:ascii="Arial" w:cs="Arial" w:eastAsia="Arial" w:hAnsi="Arial"/>
          <w:color w:val="1A1A2E"/>
          <w:sz w:val="22"/>
          <w:szCs w:val="22"/>
        </w:rPr>
        <w:t xml:space="preserve">A daily CRON job executes the full backup pipeline to ensure data durability:</w:t>
      </w:r>
    </w:p>
    <w:p>
      <w:pPr>
        <w:spacing w:after="0" w:before="80"/>
      </w:pPr>
    </w:p>
    <w:p>
      <w:pPr>
        <w:pStyle w:val="ListParagraph"/>
        <w:numPr>
          <w:ilvl w:val="0"/>
          <w:numId w:val="2"/>
        </w:numPr>
      </w:pPr>
      <w:r>
        <w:rPr>
          <w:rFonts w:ascii="Arial" w:cs="Arial" w:eastAsia="Arial" w:hAnsi="Arial"/>
          <w:color w:val="1A1A2E"/>
          <w:sz w:val="22"/>
          <w:szCs w:val="22"/>
        </w:rPr>
        <w:t xml:space="preserve">Step 1: Full dump of all 100 core tables.</w:t>
      </w:r>
    </w:p>
    <w:p>
      <w:pPr>
        <w:pStyle w:val="ListParagraph"/>
        <w:numPr>
          <w:ilvl w:val="0"/>
          <w:numId w:val="2"/>
        </w:numPr>
      </w:pPr>
      <w:r>
        <w:rPr>
          <w:rFonts w:ascii="Arial" w:cs="Arial" w:eastAsia="Arial" w:hAnsi="Arial"/>
          <w:color w:val="1A1A2E"/>
          <w:sz w:val="22"/>
          <w:szCs w:val="22"/>
        </w:rPr>
        <w:t xml:space="preserve">Step 2: Compresses the dump securely using GPG encryption.</w:t>
      </w:r>
    </w:p>
    <w:p>
      <w:pPr>
        <w:pStyle w:val="ListParagraph"/>
        <w:numPr>
          <w:ilvl w:val="0"/>
          <w:numId w:val="2"/>
        </w:numPr>
      </w:pPr>
      <w:r>
        <w:rPr>
          <w:rFonts w:ascii="Arial" w:cs="Arial" w:eastAsia="Arial" w:hAnsi="Arial"/>
          <w:color w:val="1A1A2E"/>
          <w:sz w:val="22"/>
          <w:szCs w:val="22"/>
        </w:rPr>
        <w:t xml:space="preserve">Step 3: Off-sites the backup to an external storage volume — never co-located with the primary server.</w:t>
      </w:r>
    </w:p>
    <w:p>
      <w:pPr>
        <w:pStyle w:val="ListParagraph"/>
        <w:numPr>
          <w:ilvl w:val="0"/>
          <w:numId w:val="2"/>
        </w:numPr>
      </w:pPr>
      <w:r>
        <w:rPr>
          <w:rFonts w:ascii="Arial" w:cs="Arial" w:eastAsia="Arial" w:hAnsi="Arial"/>
          <w:color w:val="1A1A2E"/>
          <w:sz w:val="22"/>
          <w:szCs w:val="22"/>
        </w:rPr>
        <w:t xml:space="preserve">Step 4: Retains 30 days of daily backups and 12 months of monthly backups for compliance.</w:t>
      </w:r>
    </w:p>
    <w:p>
      <w:pPr>
        <w:spacing w:after="0" w:before="200"/>
      </w:pPr>
    </w:p>
    <w:p>
      <w:pPr>
        <w:pBdr>
          <w:bottom w:val="single" w:color="1B4F8A" w:sz="4" w:space="1"/>
        </w:pBdr>
        <w:spacing w:after="120" w:before="0"/>
      </w:pPr>
      <w:r>
        <w:t xml:space="preserve"/>
      </w:r>
    </w:p>
    <w:p>
      <w:pPr>
        <w:spacing w:after="120" w:before="120"/>
        <w:jc w:val="center"/>
      </w:pPr>
      <w:r>
        <w:rPr>
          <w:rFonts w:ascii="Arial" w:cs="Arial" w:eastAsia="Arial" w:hAnsi="Arial"/>
          <w:color w:val="555555"/>
          <w:sz w:val="18"/>
          <w:szCs w:val="18"/>
        </w:rPr>
        <w:t xml:space="preserve">— End of Documentation — All 26 sections complete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after="0" w:before="120"/>
      <w:jc w:val="right"/>
    </w:pPr>
    <w:r>
      <w:rPr>
        <w:rFonts w:ascii="Arial" w:cs="Arial" w:eastAsia="Arial" w:hAnsi="Arial"/>
        <w:color w:val="555555"/>
        <w:sz w:val="18"/>
        <w:szCs w:val="18"/>
      </w:rPr>
      <w:t xml:space="preserve">Confidential — Internal Use Only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120" w:before="0"/>
    </w:pPr>
    <w:r>
      <w:rPr>
        <w:rFonts w:ascii="Arial" w:cs="Arial" w:eastAsia="Arial" w:hAnsi="Arial"/>
        <w:color w:val="555555"/>
        <w:sz w:val="18"/>
        <w:szCs w:val="18"/>
      </w:rPr>
      <w:t xml:space="preserve">TWSELA CMS — Complete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C7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2026-04-29T03:43:21.779Z</dcterms:created>
  <dcterms:modified xsi:type="dcterms:W3CDTF">2026-04-29T03:43:21.780Z</dcterms:modified>
</cp:coreProperties>
</file>

<file path=docProps/custom.xml><?xml version="1.0" encoding="utf-8"?>
<Properties xmlns="http://schemas.openxmlformats.org/officeDocument/2006/custom-properties" xmlns:vt="http://schemas.openxmlformats.org/officeDocument/2006/docPropsVTypes"/>
</file>