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Target–Decoy Competition Analysis at 1% FDR using the Neural Rescoring Score</w:t>
      </w:r>
    </w:p>
    <w:p>
      <w:r>
        <w:rPr>
          <w:i/>
          <w:sz w:val="24"/>
        </w:rPr>
        <w:t>Comparative evaluation against Gabrielle’s pipeline on the Nine-Species benchmark with both global and local FDR control</w:t>
      </w:r>
    </w:p>
    <w:p>
      <w:r>
        <w:rPr>
          <w:b/>
        </w:rPr>
        <w:t xml:space="preserve">Author: </w:t>
      </w:r>
      <w:r>
        <w:t xml:space="preserve">Tasneem  •  </w:t>
      </w:r>
      <w:r>
        <w:rPr>
          <w:b/>
        </w:rPr>
        <w:t xml:space="preserve">Date: </w:t>
      </w:r>
      <w:r>
        <w:t xml:space="preserve">2026-05-20  •  </w:t>
      </w:r>
      <w:r>
        <w:rPr>
          <w:b/>
        </w:rPr>
        <w:t xml:space="preserve">Status: </w:t>
      </w:r>
      <w:r>
        <w:t>Draft for review</w:t>
      </w:r>
    </w:p>
    <w:p/>
    <w:p>
      <w:pPr>
        <w:pStyle w:val="Heading1"/>
      </w:pPr>
      <w:r>
        <w:rPr>
          <w:color w:val="1F3A5F"/>
        </w:rPr>
        <w:t>1. Motivation and Objective</w:t>
      </w:r>
    </w:p>
    <w:p>
      <w:r>
        <w:rPr>
          <w:b w:val="0"/>
          <w:i w:val="0"/>
          <w:sz w:val="22"/>
        </w:rPr>
        <w:t>De novo peptide identifications from the dual-encoder retrieval-and-rescoring pipeline are currently ranked by cosine similarity between the spectrum and peptide embeddings. While cosine similarity is a useful retrieval signal, it is not well-calibrated as a confidence score: its distribution depends strongly on charge state, peptide length, and the local geometry of the embedding space, which makes a single cosine threshold a poor proxy for the true error rate of the returned identifications.</w:t>
      </w:r>
    </w:p>
    <w:p>
      <w:r>
        <w:rPr>
          <w:b w:val="0"/>
          <w:i w:val="0"/>
          <w:sz w:val="22"/>
        </w:rPr>
        <w:t>We therefore propose to perform a Target–Decoy Competition (TDC) analysis on the retrieval output and to control the False Discovery Rate (FDR) at 1%, using the neural rescoring score — defined as the exponential of the log-probability geometric mean produced by the rescoring model — as the discriminating statistic. The same protocol will be executed against Gabrielle’s pipeline and against our test set (the Nine-Species benchmark) so that the two systems can be compared head-to-head at a matched, calibrated confidence level.</w:t>
      </w:r>
    </w:p>
    <w:p>
      <w:pPr>
        <w:pStyle w:val="Heading2"/>
      </w:pPr>
      <w:r>
        <w:rPr>
          <w:color w:val="1F3A5F"/>
        </w:rPr>
        <w:t>1.1 Why the rescoring score and not cosine?</w:t>
      </w:r>
    </w:p>
    <w:p>
      <w:pPr>
        <w:pStyle w:val="ListBullet"/>
        <w:ind w:left="425"/>
      </w:pPr>
      <w:r>
        <w:t>Cosine is a similarity in embedding space; its scale shifts with charge, length, and dataset, so an FDR threshold learnt on one slice does not transfer to another.</w:t>
      </w:r>
    </w:p>
    <w:p>
      <w:pPr>
        <w:pStyle w:val="ListBullet"/>
        <w:ind w:left="425"/>
      </w:pPr>
      <w:r>
        <w:t>The neural rescoring score s = exp((1/L) · Σ log p(aa_i | spectrum)) is the geometric mean of the model’s per-residue probabilities. It is length-normalised by construction and lives on [0, 1].</w:t>
      </w:r>
    </w:p>
    <w:p>
      <w:pPr>
        <w:pStyle w:val="ListBullet"/>
        <w:ind w:left="425"/>
      </w:pPr>
      <w:r>
        <w:t>Because it is derived from a likelihood, it behaves much more like a probabilistic confidence than cosine and is a more appropriate input to the decoy-competition machinery.</w:t>
      </w:r>
    </w:p>
    <w:p>
      <w:pPr>
        <w:pStyle w:val="Heading1"/>
      </w:pPr>
      <w:r>
        <w:rPr>
          <w:color w:val="1F3A5F"/>
        </w:rPr>
        <w:t>2. Scope and Deliverables</w:t>
      </w:r>
    </w:p>
    <w:p>
      <w:pPr>
        <w:pStyle w:val="ListBullet"/>
        <w:ind w:left="425"/>
      </w:pPr>
      <w:r>
        <w:t>Compute global FDR and local FDR (q-values and posterior error probabilities) for every PSM returned by our pipeline.</w:t>
      </w:r>
    </w:p>
    <w:p>
      <w:pPr>
        <w:pStyle w:val="ListBullet"/>
        <w:ind w:left="425"/>
      </w:pPr>
      <w:r>
        <w:t>Reproduce the same TDC protocol on Gabrielle’s pipeline using its own rescoring output, so both pipelines are scored on a like-for-like basis.</w:t>
      </w:r>
    </w:p>
    <w:p>
      <w:pPr>
        <w:pStyle w:val="ListBullet"/>
        <w:ind w:left="425"/>
      </w:pPr>
      <w:r>
        <w:t>Run the analysis on the Nine-Species benchmark (leave-one-species-out, as is standard for that benchmark).</w:t>
      </w:r>
    </w:p>
    <w:p>
      <w:pPr>
        <w:pStyle w:val="ListBullet"/>
        <w:ind w:left="425"/>
      </w:pPr>
      <w:r>
        <w:t>Report number of accepted PSMs at 1% global FDR per species and overall, with calibration and sensitivity plots.</w:t>
      </w:r>
    </w:p>
    <w:p>
      <w:pPr>
        <w:pStyle w:val="ListBullet"/>
        <w:ind w:left="425"/>
      </w:pPr>
      <w:r>
        <w:t>Produce a reusable script and notebook so the analysis can be re-run after any model retraining.</w:t>
      </w:r>
    </w:p>
    <w:p>
      <w:pPr>
        <w:pStyle w:val="Heading1"/>
      </w:pPr>
      <w:r>
        <w:rPr>
          <w:color w:val="1F3A5F"/>
        </w:rPr>
        <w:t>3. Definitions and Notation</w:t>
      </w:r>
    </w:p>
    <w:p>
      <w:r>
        <w:rPr>
          <w:b w:val="0"/>
          <w:i w:val="0"/>
          <w:sz w:val="22"/>
        </w:rPr>
        <w:t>Let a PSM be a (spectrum, candidate peptide) pair. For each PSM we record:</w:t>
      </w:r>
    </w:p>
    <w:p>
      <w:pPr>
        <w:pStyle w:val="ListBullet"/>
        <w:ind w:left="425"/>
      </w:pPr>
      <w:r>
        <w:t>label ∈ {target, decoy}</w:t>
      </w:r>
    </w:p>
    <w:p>
      <w:pPr>
        <w:pStyle w:val="ListBullet"/>
        <w:ind w:left="425"/>
      </w:pPr>
      <w:r>
        <w:t>rescoring score s = exp((1/L) · Σ_{i=1..L} log p(aa_i | spectrum, context))</w:t>
      </w:r>
    </w:p>
    <w:p>
      <w:pPr>
        <w:pStyle w:val="ListBullet"/>
        <w:ind w:left="425"/>
      </w:pPr>
      <w:r>
        <w:t>any auxiliary features used by the rescorer (kept for diagnostics only).</w:t>
      </w:r>
    </w:p>
    <w:p>
      <w:r>
        <w:rPr>
          <w:b w:val="0"/>
          <w:i/>
          <w:sz w:val="22"/>
        </w:rPr>
        <w:t>Global FDR at threshold t (target-decoy estimator):</w:t>
      </w:r>
    </w:p>
    <w:p>
      <w:pPr>
        <w:shd w:fill="F2F2F2"/>
      </w:pPr>
      <w:r>
        <w:rPr>
          <w:rFonts w:ascii="Consolas" w:hAnsi="Consolas"/>
          <w:sz w:val="20"/>
        </w:rPr>
        <w:t>FDR_global(t) = (#decoys with s ≥ t + 1) / max(1, #targets with s ≥ t)</w:t>
      </w:r>
    </w:p>
    <w:p>
      <w:r>
        <w:rPr>
          <w:b w:val="0"/>
          <w:i/>
          <w:sz w:val="22"/>
        </w:rPr>
        <w:t>The +1 correction (Storey-style) gives a conservative estimate when decoy counts are small. The q-value of a PSM is the minimum FDR at which that PSM would be accepted:</w:t>
      </w:r>
    </w:p>
    <w:p>
      <w:pPr>
        <w:shd w:fill="F2F2F2"/>
      </w:pPr>
      <w:r>
        <w:rPr>
          <w:rFonts w:ascii="Consolas" w:hAnsi="Consolas"/>
          <w:sz w:val="20"/>
        </w:rPr>
        <w:t>q(s_i) = min_{t ≤ s_i} FDR_global(t)</w:t>
      </w:r>
    </w:p>
    <w:p>
      <w:r>
        <w:rPr>
          <w:b w:val="0"/>
          <w:i/>
          <w:sz w:val="22"/>
        </w:rPr>
        <w:t>Local FDR (posterior error probability, PEP) at score s:</w:t>
      </w:r>
    </w:p>
    <w:p>
      <w:pPr>
        <w:shd w:fill="F2F2F2"/>
      </w:pPr>
      <w:r>
        <w:rPr>
          <w:rFonts w:ascii="Consolas" w:hAnsi="Consolas"/>
          <w:sz w:val="20"/>
        </w:rPr>
        <w:t>PEP(s) = P(decoy | s) = π0 · f_decoy(s) / ( π0 · f_decoy(s) + (1 − π0) · f_target(s) )</w:t>
      </w:r>
    </w:p>
    <w:p>
      <w:r>
        <w:rPr>
          <w:b w:val="0"/>
          <w:i/>
          <w:sz w:val="22"/>
        </w:rPr>
        <w:t>where f_target and f_decoy are smoothed score densities on the target and decoy subsets respectively, and π0 is the estimated null proportion among targets (estimated, e.g., with Storey’s method on the score histogram).</w:t>
      </w:r>
    </w:p>
    <w:p>
      <w:pPr>
        <w:pStyle w:val="Heading1"/>
      </w:pPr>
      <w:r>
        <w:rPr>
          <w:color w:val="1F3A5F"/>
        </w:rPr>
        <w:t>4. Decoy Generation Strategy</w:t>
      </w:r>
    </w:p>
    <w:p>
      <w:r>
        <w:rPr>
          <w:b w:val="0"/>
          <w:i w:val="0"/>
          <w:sz w:val="22"/>
        </w:rPr>
        <w:t>Decoys must be (a) indistinguishable from targets in any property the model could exploit a priori (composition, length distribution, mass), and (b) genuinely null with respect to the spectra. We will use shuffled-target decoys as the primary strategy and reversed-target decoys as a robustness check.</w:t>
      </w:r>
    </w:p>
    <w:p>
      <w:pPr>
        <w:pStyle w:val="ListBullet"/>
        <w:ind w:left="425"/>
      </w:pPr>
      <w:r>
        <w:t>Primary: shuffle the internal residues of each target peptide while keeping termini fixed; reject shuffles that collide with any target.</w:t>
      </w:r>
    </w:p>
    <w:p>
      <w:pPr>
        <w:pStyle w:val="ListBullet"/>
        <w:ind w:left="425"/>
      </w:pPr>
      <w:r>
        <w:t>Secondary (sanity): reverse the target sequence keeping termini fixed.</w:t>
      </w:r>
    </w:p>
    <w:p>
      <w:pPr>
        <w:pStyle w:val="ListBullet"/>
        <w:ind w:left="425"/>
      </w:pPr>
      <w:r>
        <w:t>Decoys inherit the precursor m/z window of their target; the rescoring model sees them with the same input format as targets.</w:t>
      </w:r>
    </w:p>
    <w:p>
      <w:pPr>
        <w:pStyle w:val="ListBullet"/>
        <w:ind w:left="425"/>
      </w:pPr>
      <w:r>
        <w:t>1:1 target:decoy ratio. Decoys are scored by the same rescoring model under identical conditions to targets.</w:t>
      </w:r>
    </w:p>
    <w:p>
      <w:r>
        <w:rPr>
          <w:b w:val="0"/>
          <w:i/>
          <w:sz w:val="22"/>
        </w:rPr>
        <w:t>Note: with both pipelines we must be careful that decoys are generated consistently. For Gabrielle’s pipeline we will use her decoy-generation routine if available, and otherwise apply the same shuffling procedure to her candidate sequences before passing them through her rescorer.</w:t>
      </w:r>
    </w:p>
    <w:p>
      <w:pPr>
        <w:pStyle w:val="Heading1"/>
      </w:pPr>
      <w:r>
        <w:rPr>
          <w:color w:val="1F3A5F"/>
        </w:rPr>
        <w:t>5. Datasets and Pipelines</w:t>
      </w:r>
    </w:p>
    <w:p>
      <w:pPr>
        <w:pStyle w:val="Heading2"/>
      </w:pPr>
      <w:r>
        <w:rPr>
          <w:color w:val="1F3A5F"/>
        </w:rPr>
        <w:t>5.1 Test set — Nine-Species benchmark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Species</w:t>
            </w:r>
          </w:p>
        </w:tc>
        <w:tc>
          <w:tcPr>
            <w:tcW w:type="dxa" w:w="2880"/>
            <w:shd w:fill="D9E2F3"/>
          </w:tcPr>
          <w:p>
            <w:r>
              <w:t>Role</w:t>
            </w:r>
          </w:p>
        </w:tc>
        <w:tc>
          <w:tcPr>
            <w:tcW w:type="dxa" w:w="2880"/>
            <w:shd w:fill="D9E2F3"/>
          </w:tcPr>
          <w:p>
            <w:r>
              <w:t>Notes / placeholder</w:t>
            </w:r>
          </w:p>
        </w:tc>
      </w:tr>
      <w:tr>
        <w:tc>
          <w:tcPr>
            <w:tcW w:type="dxa" w:w="2880"/>
          </w:tcPr>
          <w:p>
            <w:r>
              <w:t>Mus musculus</w:t>
            </w:r>
          </w:p>
        </w:tc>
        <w:tc>
          <w:tcPr>
            <w:tcW w:type="dxa" w:w="2880"/>
          </w:tcPr>
          <w:p>
            <w:r>
              <w:t>held-out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Homo sapiens</w:t>
            </w:r>
          </w:p>
        </w:tc>
        <w:tc>
          <w:tcPr>
            <w:tcW w:type="dxa" w:w="2880"/>
          </w:tcPr>
          <w:p>
            <w:r>
              <w:t>held-out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Saccharomyces cerevisiae</w:t>
            </w:r>
          </w:p>
        </w:tc>
        <w:tc>
          <w:tcPr>
            <w:tcW w:type="dxa" w:w="2880"/>
          </w:tcPr>
          <w:p>
            <w:r>
              <w:t>held-out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Methanosarcina mazei</w:t>
            </w:r>
          </w:p>
        </w:tc>
        <w:tc>
          <w:tcPr>
            <w:tcW w:type="dxa" w:w="2880"/>
          </w:tcPr>
          <w:p>
            <w:r>
              <w:t>held-out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Vigna mungo</w:t>
            </w:r>
          </w:p>
        </w:tc>
        <w:tc>
          <w:tcPr>
            <w:tcW w:type="dxa" w:w="2880"/>
          </w:tcPr>
          <w:p>
            <w:r>
              <w:t>held-out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Candidatus endoloripes</w:t>
            </w:r>
          </w:p>
        </w:tc>
        <w:tc>
          <w:tcPr>
            <w:tcW w:type="dxa" w:w="2880"/>
          </w:tcPr>
          <w:p>
            <w:r>
              <w:t>held-out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Bacillus subtilis</w:t>
            </w:r>
          </w:p>
        </w:tc>
        <w:tc>
          <w:tcPr>
            <w:tcW w:type="dxa" w:w="2880"/>
          </w:tcPr>
          <w:p>
            <w:r>
              <w:t>held-out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Solanum lycopersicum</w:t>
            </w:r>
          </w:p>
        </w:tc>
        <w:tc>
          <w:tcPr>
            <w:tcW w:type="dxa" w:w="2880"/>
          </w:tcPr>
          <w:p>
            <w:r>
              <w:t>held-out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Apis mellifera</w:t>
            </w:r>
          </w:p>
        </w:tc>
        <w:tc>
          <w:tcPr>
            <w:tcW w:type="dxa" w:w="2880"/>
          </w:tcPr>
          <w:p>
            <w:r>
              <w:t>held-out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5.2 Pipelines under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Pipeline</w:t>
            </w:r>
          </w:p>
        </w:tc>
        <w:tc>
          <w:tcPr>
            <w:tcW w:type="dxa" w:w="2880"/>
            <w:shd w:fill="D9E2F3"/>
          </w:tcPr>
          <w:p>
            <w:r>
              <w:t>Retrieval</w:t>
            </w:r>
          </w:p>
        </w:tc>
        <w:tc>
          <w:tcPr>
            <w:tcW w:type="dxa" w:w="2880"/>
            <w:shd w:fill="D9E2F3"/>
          </w:tcPr>
          <w:p>
            <w:r>
              <w:t>Rescoring / score used</w:t>
            </w:r>
          </w:p>
        </w:tc>
      </w:tr>
      <w:tr>
        <w:tc>
          <w:tcPr>
            <w:tcW w:type="dxa" w:w="2880"/>
          </w:tcPr>
          <w:p>
            <w:r>
              <w:t>Ours</w:t>
            </w:r>
          </w:p>
        </w:tc>
        <w:tc>
          <w:tcPr>
            <w:tcW w:type="dxa" w:w="2880"/>
          </w:tcPr>
          <w:p>
            <w:r>
              <w:t>Dual-encoder + HNSW (FAISS)</w:t>
            </w:r>
          </w:p>
        </w:tc>
        <w:tc>
          <w:tcPr>
            <w:tcW w:type="dxa" w:w="2880"/>
          </w:tcPr>
          <w:p>
            <w:r>
              <w:t>Neural rescoring: s = exp(mean log p)</w:t>
            </w:r>
          </w:p>
        </w:tc>
      </w:tr>
      <w:tr>
        <w:tc>
          <w:tcPr>
            <w:tcW w:type="dxa" w:w="2880"/>
          </w:tcPr>
          <w:p>
            <w:r>
              <w:t>Gabrielle’s</w:t>
            </w:r>
          </w:p>
        </w:tc>
        <w:tc>
          <w:tcPr>
            <w:tcW w:type="dxa" w:w="2880"/>
          </w:tcPr>
          <w:p>
            <w:r>
              <w:t>&lt;fill in&gt;</w:t>
            </w:r>
          </w:p>
        </w:tc>
        <w:tc>
          <w:tcPr>
            <w:tcW w:type="dxa" w:w="2880"/>
          </w:tcPr>
          <w:p>
            <w:r>
              <w:t>Her rescorer’s analogous neural score (exp mean log p); confirm exact definition.</w:t>
            </w:r>
          </w:p>
        </w:tc>
      </w:tr>
    </w:tbl>
    <w:p>
      <w:pPr>
        <w:pStyle w:val="Heading1"/>
      </w:pPr>
      <w:r>
        <w:rPr>
          <w:color w:val="1F3A5F"/>
        </w:rPr>
        <w:t>6. Analysis Protocol</w:t>
      </w:r>
    </w:p>
    <w:p>
      <w:pPr>
        <w:pStyle w:val="Heading2"/>
      </w:pPr>
      <w:r>
        <w:rPr>
          <w:color w:val="1F3A5F"/>
        </w:rPr>
        <w:t>6.1 Per-pipeline steps</w:t>
      </w:r>
    </w:p>
    <w:p>
      <w:pPr>
        <w:pStyle w:val="ListNumber"/>
      </w:pPr>
      <w:r>
        <w:t>Generate decoy peptide set (shuffled targets, 1:1 ratio).</w:t>
      </w:r>
    </w:p>
    <w:p>
      <w:pPr>
        <w:pStyle w:val="ListNumber"/>
      </w:pPr>
      <w:r>
        <w:t>Score all target and decoy candidates with the pipeline’s neural rescorer; record s = exp(mean log p) and metadata (charge, length, species).</w:t>
      </w:r>
    </w:p>
    <w:p>
      <w:pPr>
        <w:pStyle w:val="ListNumber"/>
      </w:pPr>
      <w:r>
        <w:t>Per spectrum, perform target–decoy competition: keep the single best-scoring candidate (target or decoy). This collapses each spectrum to one PSM and enforces the competition.</w:t>
      </w:r>
    </w:p>
    <w:p>
      <w:pPr>
        <w:pStyle w:val="ListNumber"/>
      </w:pPr>
      <w:r>
        <w:t>Sort competition winners by s in descending order.</w:t>
      </w:r>
    </w:p>
    <w:p>
      <w:pPr>
        <w:pStyle w:val="ListNumber"/>
      </w:pPr>
      <w:r>
        <w:t>Compute global FDR and q-values as in §3.</w:t>
      </w:r>
    </w:p>
    <w:p>
      <w:pPr>
        <w:pStyle w:val="ListNumber"/>
      </w:pPr>
      <w:r>
        <w:t>Fit f_target, f_decoy (kernel density or monotone spline) and estimate π0 to get local FDR / PEP per PSM.</w:t>
      </w:r>
    </w:p>
    <w:p>
      <w:pPr>
        <w:pStyle w:val="ListNumber"/>
      </w:pPr>
      <w:r>
        <w:t>Threshold at 1% global FDR; report the accepted set.</w:t>
      </w:r>
    </w:p>
    <w:p>
      <w:pPr>
        <w:pStyle w:val="Heading2"/>
      </w:pPr>
      <w:r>
        <w:rPr>
          <w:color w:val="1F3A5F"/>
        </w:rPr>
        <w:t>6.2 Cross-pipeline comparison</w:t>
      </w:r>
    </w:p>
    <w:p>
      <w:pPr>
        <w:pStyle w:val="ListBullet"/>
        <w:ind w:left="425"/>
      </w:pPr>
      <w:r>
        <w:t>Apply 6.1 independently to our pipeline and to Gabrielle’s, on the same spectra from each Nine-Species held-out species.</w:t>
      </w:r>
    </w:p>
    <w:p>
      <w:pPr>
        <w:pStyle w:val="ListBullet"/>
        <w:ind w:left="425"/>
      </w:pPr>
      <w:r>
        <w:t>Report, per species and overall: #accepted PSMs at 1% FDR, peptide-level accepted counts (after grouping PSMs by peptide), and amino-acid-level accuracy on accepted PSMs (using the species ground-truth peptide).</w:t>
      </w:r>
    </w:p>
    <w:p>
      <w:pPr>
        <w:pStyle w:val="ListBullet"/>
        <w:ind w:left="425"/>
      </w:pPr>
      <w:r>
        <w:t>Use the same decoys for both pipelines wherever possible.</w:t>
      </w:r>
    </w:p>
    <w:p>
      <w:pPr>
        <w:pStyle w:val="Heading1"/>
      </w:pPr>
      <w:r>
        <w:rPr>
          <w:color w:val="1F3A5F"/>
        </w:rPr>
        <w:t>7. Diagnostics and Required Figures</w:t>
      </w:r>
    </w:p>
    <w:p>
      <w:pPr>
        <w:pStyle w:val="ListBullet"/>
        <w:ind w:left="425"/>
      </w:pPr>
      <w:r>
        <w:t>Score histograms of targets vs decoys per pipeline and per species.</w:t>
      </w:r>
    </w:p>
    <w:p>
      <w:pPr>
        <w:pStyle w:val="ListBullet"/>
        <w:ind w:left="425"/>
      </w:pPr>
      <w:r>
        <w:t>Calibration plot: empirical FDR (using ground-truth species labels) vs TDC-estimated FDR. The closer to y=x, the better calibrated.</w:t>
      </w:r>
    </w:p>
    <w:p>
      <w:pPr>
        <w:pStyle w:val="ListBullet"/>
        <w:ind w:left="425"/>
      </w:pPr>
      <w:r>
        <w:t>q-value vs number-of-accepted-PSMs curves (one line per pipeline).</w:t>
      </w:r>
    </w:p>
    <w:p>
      <w:pPr>
        <w:pStyle w:val="ListBullet"/>
        <w:ind w:left="425"/>
      </w:pPr>
      <w:r>
        <w:t>PEP (local FDR) distribution among accepted PSMs.</w:t>
      </w:r>
    </w:p>
    <w:p>
      <w:pPr>
        <w:pStyle w:val="ListBullet"/>
        <w:ind w:left="425"/>
      </w:pPr>
      <w:r>
        <w:t>Per-species bar chart: accepted PSMs at 1% FDR — ours vs Gabrielle’s.</w:t>
      </w:r>
    </w:p>
    <w:p>
      <w:pPr>
        <w:pStyle w:val="Heading1"/>
      </w:pPr>
      <w:r>
        <w:rPr>
          <w:color w:val="1F3A5F"/>
        </w:rPr>
        <w:t>8. Validation Checks</w:t>
      </w:r>
    </w:p>
    <w:p>
      <w:pPr>
        <w:pStyle w:val="ListBullet"/>
        <w:ind w:left="425"/>
      </w:pPr>
      <w:r>
        <w:t>Decoy sanity: target and decoy score distributions should overlap in the low-score region but diverge in the high-score tail. If they are indistinguishable, the rescorer adds no information; if they are separated everywhere, decoys are too easy and FDR is under-estimated.</w:t>
      </w:r>
    </w:p>
    <w:p>
      <w:pPr>
        <w:pStyle w:val="ListBullet"/>
        <w:ind w:left="425"/>
      </w:pPr>
      <w:r>
        <w:t>FDR honesty: with shuffled decoys, the empirical FDR (computed against Nine-Species ground truth) at the 1% TDC threshold should be ≤ ~1% (small over-shoot acceptable; large over-shoot indicates miscalibration).</w:t>
      </w:r>
    </w:p>
    <w:p>
      <w:pPr>
        <w:pStyle w:val="ListBullet"/>
        <w:ind w:left="425"/>
      </w:pPr>
      <w:r>
        <w:t>Stability: rerun with reversed decoys; conclusions should not change qualitatively.</w:t>
      </w:r>
    </w:p>
    <w:p>
      <w:pPr>
        <w:pStyle w:val="ListBullet"/>
        <w:ind w:left="425"/>
      </w:pPr>
      <w:r>
        <w:t>Permutation test: shuffle the target/decoy labels of all PSMs and verify that the number of accepted PSMs at 1% FDR drops to near zero.</w:t>
      </w:r>
    </w:p>
    <w:p>
      <w:pPr>
        <w:pStyle w:val="Heading1"/>
      </w:pPr>
      <w:r>
        <w:rPr>
          <w:color w:val="1F3A5F"/>
        </w:rPr>
        <w:t>9. Implementation Notes</w:t>
      </w:r>
    </w:p>
    <w:p>
      <w:pPr>
        <w:pStyle w:val="ListBullet"/>
        <w:ind w:left="425"/>
      </w:pPr>
      <w:r>
        <w:t>Add a TDC module under src/retrieval/ (e.g. src/retrieval/tdc.py) that takes a dataframe with columns [spectrum_id, peptide, label, score] and returns q-values and PEPs.</w:t>
      </w:r>
    </w:p>
    <w:p>
      <w:pPr>
        <w:pStyle w:val="ListBullet"/>
        <w:ind w:left="425"/>
      </w:pPr>
      <w:r>
        <w:t>Reuse the existing scoring path so the s = exp(mean log p) value is logged alongside cosine — do not replace cosine, log both.</w:t>
      </w:r>
    </w:p>
    <w:p>
      <w:pPr>
        <w:pStyle w:val="ListBullet"/>
        <w:ind w:left="425"/>
      </w:pPr>
      <w:r>
        <w:t>Persist decoy sequences with deterministic seeds so runs are reproducible.</w:t>
      </w:r>
    </w:p>
    <w:p>
      <w:pPr>
        <w:pStyle w:val="ListBullet"/>
        <w:ind w:left="425"/>
      </w:pPr>
      <w:r>
        <w:t>Notebook: notebooks/tdc_fdr_analysis.ipynb — load PSM tables for both pipelines, run TDC, render the figures from §7.</w:t>
      </w:r>
    </w:p>
    <w:p>
      <w:r>
        <w:rPr>
          <w:b w:val="0"/>
          <w:i/>
          <w:sz w:val="22"/>
        </w:rPr>
        <w:t>Suggested function signatures:</w:t>
      </w:r>
    </w:p>
    <w:p>
      <w:pPr>
        <w:shd w:fill="F2F2F2"/>
      </w:pPr>
      <w:r>
        <w:rPr>
          <w:rFonts w:ascii="Consolas" w:hAnsi="Consolas"/>
          <w:sz w:val="20"/>
        </w:rPr>
        <w:t>def compute_qvalues(scores: np.ndarray, is_decoy: np.ndarray) -&gt; np.ndarray: ...</w:t>
        <w:br/>
        <w:t>def compute_pep(scores: np.ndarray, is_decoy: np.ndarray,</w:t>
        <w:br/>
        <w:t xml:space="preserve">                pi0: float | None = None) -&gt; np.ndarray: ...</w:t>
        <w:br/>
        <w:t>def tdc_compete(psms: pd.DataFrame, score_col: str = 'neural_score',</w:t>
        <w:br/>
        <w:t xml:space="preserve">                spectrum_col: str = 'spectrum_id') -&gt; pd.DataFrame: ...</w:t>
      </w:r>
    </w:p>
    <w:p>
      <w:pPr>
        <w:pStyle w:val="Heading1"/>
      </w:pPr>
      <w:r>
        <w:rPr>
          <w:color w:val="1F3A5F"/>
        </w:rPr>
        <w:t>10. Risks and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Risk</w:t>
            </w:r>
          </w:p>
        </w:tc>
        <w:tc>
          <w:tcPr>
            <w:tcW w:type="dxa" w:w="4320"/>
            <w:shd w:fill="D9E2F3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Decoys too easy to discriminate → FDR under-estimated.</w:t>
            </w:r>
          </w:p>
        </w:tc>
        <w:tc>
          <w:tcPr>
            <w:tcW w:type="dxa" w:w="4320"/>
          </w:tcPr>
          <w:p>
            <w:r>
              <w:t>Use shuffle-with-termini-fixed; check score overlap; cross-check with reversed decoys.</w:t>
            </w:r>
          </w:p>
        </w:tc>
      </w:tr>
      <w:tr>
        <w:tc>
          <w:tcPr>
            <w:tcW w:type="dxa" w:w="4320"/>
          </w:tcPr>
          <w:p>
            <w:r>
              <w:t>Score not actually well-calibrated either (just better than cosine).</w:t>
            </w:r>
          </w:p>
        </w:tc>
        <w:tc>
          <w:tcPr>
            <w:tcW w:type="dxa" w:w="4320"/>
          </w:tcPr>
          <w:p>
            <w:r>
              <w:t>Quantify with empirical-vs-estimated FDR plot; if needed, post-hoc calibrate with Percolator-style SVM or isotonic regression on a held-out species.</w:t>
            </w:r>
          </w:p>
        </w:tc>
      </w:tr>
      <w:tr>
        <w:tc>
          <w:tcPr>
            <w:tcW w:type="dxa" w:w="4320"/>
          </w:tcPr>
          <w:p>
            <w:r>
              <w:t>Gabrielle’s pipeline uses a different score definition.</w:t>
            </w:r>
          </w:p>
        </w:tc>
        <w:tc>
          <w:tcPr>
            <w:tcW w:type="dxa" w:w="4320"/>
          </w:tcPr>
          <w:p>
            <w:r>
              <w:t>Confirm exact formula with her; if different, use her own analogous ‘confidence’ output and document the asymmetry.</w:t>
            </w:r>
          </w:p>
        </w:tc>
      </w:tr>
      <w:tr>
        <w:tc>
          <w:tcPr>
            <w:tcW w:type="dxa" w:w="4320"/>
          </w:tcPr>
          <w:p>
            <w:r>
              <w:t>Per-species sample sizes are small → noisy q-values.</w:t>
            </w:r>
          </w:p>
        </w:tc>
        <w:tc>
          <w:tcPr>
            <w:tcW w:type="dxa" w:w="4320"/>
          </w:tcPr>
          <w:p>
            <w:r>
              <w:t>Report overall pooled FDR as the headline; per-species numbers as secondary.</w:t>
            </w:r>
          </w:p>
        </w:tc>
      </w:tr>
    </w:tbl>
    <w:p>
      <w:pPr>
        <w:pStyle w:val="Heading1"/>
      </w:pPr>
      <w:r>
        <w:rPr>
          <w:color w:val="1F3A5F"/>
        </w:rPr>
        <w:t>11. Timeline (placeholder — edit as needed)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t>Phase</w:t>
            </w:r>
          </w:p>
        </w:tc>
        <w:tc>
          <w:tcPr>
            <w:tcW w:type="dxa" w:w="2880"/>
            <w:shd w:fill="D9E2F3"/>
          </w:tcPr>
          <w:p>
            <w:r>
              <w:t>Deliverable</w:t>
            </w:r>
          </w:p>
        </w:tc>
        <w:tc>
          <w:tcPr>
            <w:tcW w:type="dxa" w:w="2880"/>
            <w:shd w:fill="D9E2F3"/>
          </w:tcPr>
          <w:p>
            <w:r>
              <w:t>Target date</w:t>
            </w:r>
          </w:p>
        </w:tc>
      </w:tr>
      <w:tr>
        <w:tc>
          <w:tcPr>
            <w:tcW w:type="dxa" w:w="2880"/>
          </w:tcPr>
          <w:p>
            <w:r>
              <w:t>Decoy generator + score export</w:t>
            </w:r>
          </w:p>
        </w:tc>
        <w:tc>
          <w:tcPr>
            <w:tcW w:type="dxa" w:w="2880"/>
          </w:tcPr>
          <w:p>
            <w:r>
              <w:t>Decoys + PSM tables for both pipelines</w:t>
            </w:r>
          </w:p>
        </w:tc>
        <w:tc>
          <w:tcPr>
            <w:tcW w:type="dxa" w:w="2880"/>
          </w:tcPr>
          <w:p>
            <w:r>
              <w:t>&lt;edit&gt;</w:t>
            </w:r>
          </w:p>
        </w:tc>
      </w:tr>
      <w:tr>
        <w:tc>
          <w:tcPr>
            <w:tcW w:type="dxa" w:w="2880"/>
          </w:tcPr>
          <w:p>
            <w:r>
              <w:t>TDC module + unit tests</w:t>
            </w:r>
          </w:p>
        </w:tc>
        <w:tc>
          <w:tcPr>
            <w:tcW w:type="dxa" w:w="2880"/>
          </w:tcPr>
          <w:p>
            <w:r>
              <w:t>src/retrieval/tdc.py with q-value / PEP</w:t>
            </w:r>
          </w:p>
        </w:tc>
        <w:tc>
          <w:tcPr>
            <w:tcW w:type="dxa" w:w="2880"/>
          </w:tcPr>
          <w:p>
            <w:r>
              <w:t>&lt;edit&gt;</w:t>
            </w:r>
          </w:p>
        </w:tc>
      </w:tr>
      <w:tr>
        <w:tc>
          <w:tcPr>
            <w:tcW w:type="dxa" w:w="2880"/>
          </w:tcPr>
          <w:p>
            <w:r>
              <w:t>Run on Nine-Species</w:t>
            </w:r>
          </w:p>
        </w:tc>
        <w:tc>
          <w:tcPr>
            <w:tcW w:type="dxa" w:w="2880"/>
          </w:tcPr>
          <w:p>
            <w:r>
              <w:t>Per-species CSVs of accepted PSMs at 1% FDR</w:t>
            </w:r>
          </w:p>
        </w:tc>
        <w:tc>
          <w:tcPr>
            <w:tcW w:type="dxa" w:w="2880"/>
          </w:tcPr>
          <w:p>
            <w:r>
              <w:t>&lt;edit&gt;</w:t>
            </w:r>
          </w:p>
        </w:tc>
      </w:tr>
      <w:tr>
        <w:tc>
          <w:tcPr>
            <w:tcW w:type="dxa" w:w="2880"/>
          </w:tcPr>
          <w:p>
            <w:r>
              <w:t>Figures + write-up</w:t>
            </w:r>
          </w:p>
        </w:tc>
        <w:tc>
          <w:tcPr>
            <w:tcW w:type="dxa" w:w="2880"/>
          </w:tcPr>
          <w:p>
            <w:r>
              <w:t>Notebook with calibration &amp; comparison plots</w:t>
            </w:r>
          </w:p>
        </w:tc>
        <w:tc>
          <w:tcPr>
            <w:tcW w:type="dxa" w:w="2880"/>
          </w:tcPr>
          <w:p>
            <w:r>
              <w:t>&lt;edit&gt;</w:t>
            </w:r>
          </w:p>
        </w:tc>
      </w:tr>
    </w:tbl>
    <w:p>
      <w:pPr>
        <w:pStyle w:val="Heading1"/>
      </w:pPr>
      <w:r>
        <w:rPr>
          <w:color w:val="1F3A5F"/>
        </w:rPr>
        <w:t>12. Open Questions (for review)</w:t>
      </w:r>
    </w:p>
    <w:p>
      <w:pPr>
        <w:pStyle w:val="ListBullet"/>
        <w:ind w:left="425"/>
      </w:pPr>
      <w:r>
        <w:t>Should the competition be at the spectrum level (one PSM per spectrum) or also at the peptide level (further collapse across charges/scans)?</w:t>
      </w:r>
    </w:p>
    <w:p>
      <w:pPr>
        <w:pStyle w:val="ListBullet"/>
        <w:ind w:left="425"/>
      </w:pPr>
      <w:r>
        <w:t>Do we want a single pooled FDR across all nine species, or species-by-species FDR control (the latter is stricter)?</w:t>
      </w:r>
    </w:p>
    <w:p>
      <w:pPr>
        <w:pStyle w:val="ListBullet"/>
        <w:ind w:left="425"/>
      </w:pPr>
      <w:r>
        <w:t>Is 1:1 target:decoy enough, or should we use k&gt;1 decoys per target and apply the corresponding TDC correction?</w:t>
      </w:r>
    </w:p>
    <w:p>
      <w:pPr>
        <w:pStyle w:val="ListBullet"/>
        <w:ind w:left="425"/>
      </w:pPr>
      <w:r>
        <w:t>Do we keep cosine alongside as a baseline FDR analysis to show the calibration gap?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