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0B2545"/>
          <w:sz w:val="48"/>
        </w:rPr>
        <w:t>Neural Target-Decoy FDR Report</w:t>
      </w:r>
    </w:p>
    <w:p>
      <w:pPr>
        <w:spacing w:after="280"/>
      </w:pPr>
      <w:r>
        <w:rPr>
          <w:rFonts w:ascii="Calibri" w:hAnsi="Calibri"/>
          <w:color w:val="5A6470"/>
          <w:sz w:val="22"/>
        </w:rPr>
        <w:t>Two-stage retrieval with InstaNovo/Casanovo-DB-style neural rescoring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Bottom line: </w:t>
            </w:r>
            <w:r>
              <w:t>The target-decoy competition implementation is internally consistent and gives an estimated 1.57% top-1 FDR overall. At q &lt;= 0.01 it accepts 108,346 target PSMs at approximately 1% estimated FDR, corresponding to a neural score cutoff of about 0.056. The expanded score-threshold sweep agrees with this: score &gt;= 0.06 keeps 97.6% of PSMs and lowers estimated FDR to 0.79%. Because benchmark labels are available, exact sequence accuracy should be reported alongside TDA-FDR: 81.98% overall and about 84.11% among q &lt;= 0.01 accepted targets.</w:t>
            </w:r>
          </w:p>
        </w:tc>
      </w:tr>
    </w:tbl>
    <w:p>
      <w:pPr>
        <w:pStyle w:val="Heading1"/>
      </w:pPr>
      <w:r>
        <w:t>Executive Summary</w:t>
      </w:r>
    </w:p>
    <w:p>
      <w:pPr>
        <w:pStyle w:val="ListBullet"/>
        <w:spacing w:after="80"/>
      </w:pPr>
      <w:r>
        <w:t>The code follows the standard target-decoy competition pattern: targets and reverse-inner decoys compete in the same candidate pool, and FDR is estimated from decoy winners over target winners.</w:t>
      </w:r>
    </w:p>
    <w:p>
      <w:pPr>
        <w:pStyle w:val="ListBullet"/>
        <w:spacing w:after="80"/>
      </w:pPr>
      <w:r>
        <w:t>The score distributions show strong target/decoy separation: target median confidence is 0.516, while decoy median confidence is 0.0598.</w:t>
      </w:r>
    </w:p>
    <w:p>
      <w:pPr>
        <w:pStyle w:val="ListBullet"/>
        <w:spacing w:after="80"/>
      </w:pPr>
      <w:r>
        <w:t>The headline TDA result is good for this setup: 108,346 accepted target PSMs at q &lt;= 0.01.</w:t>
      </w:r>
    </w:p>
    <w:p>
      <w:pPr>
        <w:pStyle w:val="ListBullet"/>
        <w:spacing w:after="80"/>
      </w:pPr>
      <w:r>
        <w:t>A practical raw-score cutoff near the 1% FDR boundary is around 0.056-0.060; score &gt;= 0.06 gives 0.79% estimated FDR while keeping 97.6% of PSMs.</w:t>
      </w:r>
    </w:p>
    <w:p>
      <w:pPr>
        <w:pStyle w:val="ListBullet"/>
        <w:spacing w:after="80"/>
      </w:pPr>
      <w:r>
        <w:t>The main caveat is interpretation: exact benchmark accuracy is lower than the TDA estimate because many mistakes are target-vs-target confusions, especially similar modified and unmodified peptide variants.</w:t>
      </w:r>
    </w:p>
    <w:p>
      <w:pPr>
        <w:pStyle w:val="Heading1"/>
      </w:pPr>
      <w:r>
        <w:t>Key Results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20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827"/>
                <w:sz w:val="19"/>
              </w:rPr>
              <w:t>Metric</w:t>
            </w:r>
          </w:p>
        </w:tc>
        <w:tc>
          <w:tcPr>
            <w:tcW w:type="dxa" w:w="1800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827"/>
                <w:sz w:val="19"/>
              </w:rPr>
              <w:t>Value</w:t>
            </w:r>
          </w:p>
        </w:tc>
        <w:tc>
          <w:tcPr>
            <w:tcW w:type="dxa" w:w="4824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827"/>
                <w:sz w:val="19"/>
              </w:rPr>
              <w:t>Interpretation</w:t>
            </w:r>
          </w:p>
        </w:tc>
      </w:tr>
      <w:tr>
        <w:tc>
          <w:tcPr>
            <w:tcW w:type="dxa" w:w="2520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Spectra searched</w:t>
            </w:r>
          </w:p>
        </w:tc>
        <w:tc>
          <w:tcPr>
            <w:tcW w:type="dxa" w:w="1800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111,211</w:t>
            </w:r>
          </w:p>
        </w:tc>
        <w:tc>
          <w:tcPr>
            <w:tcW w:type="dxa" w:w="4824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Input spectra after excluding targets without valid 1:1 decoys.</w:t>
            </w:r>
          </w:p>
        </w:tc>
      </w:tr>
      <w:tr>
        <w:tc>
          <w:tcPr>
            <w:tcW w:type="dxa" w:w="2520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Unique targets</w:t>
            </w:r>
          </w:p>
        </w:tc>
        <w:tc>
          <w:tcPr>
            <w:tcW w:type="dxa" w:w="1800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30,175</w:t>
            </w:r>
          </w:p>
        </w:tc>
        <w:tc>
          <w:tcPr>
            <w:tcW w:type="dxa" w:w="4824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Unique modified peptide sequences before decoy filtering.</w:t>
            </w:r>
          </w:p>
        </w:tc>
      </w:tr>
      <w:tr>
        <w:tc>
          <w:tcPr>
            <w:tcW w:type="dxa" w:w="2520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Targets with decoys</w:t>
            </w:r>
          </w:p>
        </w:tc>
        <w:tc>
          <w:tcPr>
            <w:tcW w:type="dxa" w:w="1800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30,144</w:t>
            </w:r>
          </w:p>
        </w:tc>
        <w:tc>
          <w:tcPr>
            <w:tcW w:type="dxa" w:w="4824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Strict 1:1 target-decoy pairs used in the competition.</w:t>
            </w:r>
          </w:p>
        </w:tc>
      </w:tr>
      <w:tr>
        <w:tc>
          <w:tcPr>
            <w:tcW w:type="dxa" w:w="2520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Top-1 target winners</w:t>
            </w:r>
          </w:p>
        </w:tc>
        <w:tc>
          <w:tcPr>
            <w:tcW w:type="dxa" w:w="1800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109,491</w:t>
            </w:r>
          </w:p>
        </w:tc>
        <w:tc>
          <w:tcPr>
            <w:tcW w:type="dxa" w:w="4824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Final neural winner was a target peptide.</w:t>
            </w:r>
          </w:p>
        </w:tc>
      </w:tr>
      <w:tr>
        <w:tc>
          <w:tcPr>
            <w:tcW w:type="dxa" w:w="2520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Top-1 decoy winners</w:t>
            </w:r>
          </w:p>
        </w:tc>
        <w:tc>
          <w:tcPr>
            <w:tcW w:type="dxa" w:w="1800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1,720</w:t>
            </w:r>
          </w:p>
        </w:tc>
        <w:tc>
          <w:tcPr>
            <w:tcW w:type="dxa" w:w="4824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Final neural winner was a decoy peptide.</w:t>
            </w:r>
          </w:p>
        </w:tc>
      </w:tr>
      <w:tr>
        <w:tc>
          <w:tcPr>
            <w:tcW w:type="dxa" w:w="2520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Estimated top-1 FDR</w:t>
            </w:r>
          </w:p>
        </w:tc>
        <w:tc>
          <w:tcPr>
            <w:tcW w:type="dxa" w:w="1800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1.57%</w:t>
            </w:r>
          </w:p>
        </w:tc>
        <w:tc>
          <w:tcPr>
            <w:tcW w:type="dxa" w:w="4824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Computed as decoy winners divided by target winners.</w:t>
            </w:r>
          </w:p>
        </w:tc>
      </w:tr>
      <w:tr>
        <w:tc>
          <w:tcPr>
            <w:tcW w:type="dxa" w:w="2520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q &lt;= 0.01 accepted targets</w:t>
            </w:r>
          </w:p>
        </w:tc>
        <w:tc>
          <w:tcPr>
            <w:tcW w:type="dxa" w:w="1800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108,346</w:t>
            </w:r>
          </w:p>
        </w:tc>
        <w:tc>
          <w:tcPr>
            <w:tcW w:type="dxa" w:w="4824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Accepted target-only PSM set at estimated 1% FDR.</w:t>
            </w:r>
          </w:p>
        </w:tc>
      </w:tr>
      <w:tr>
        <w:tc>
          <w:tcPr>
            <w:tcW w:type="dxa" w:w="2520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q &lt;= 0.01 score cutoff</w:t>
            </w:r>
          </w:p>
        </w:tc>
        <w:tc>
          <w:tcPr>
            <w:tcW w:type="dxa" w:w="1800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0.0560</w:t>
            </w:r>
          </w:p>
        </w:tc>
        <w:tc>
          <w:tcPr>
            <w:tcW w:type="dxa" w:w="4824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Minimum neural score among accepted q&lt;=1% target PSMs.</w:t>
            </w:r>
          </w:p>
        </w:tc>
      </w:tr>
      <w:tr>
        <w:tc>
          <w:tcPr>
            <w:tcW w:type="dxa" w:w="2520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score &gt;= 0.06 FDR</w:t>
            </w:r>
          </w:p>
        </w:tc>
        <w:tc>
          <w:tcPr>
            <w:tcW w:type="dxa" w:w="1800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0.79%</w:t>
            </w:r>
          </w:p>
        </w:tc>
        <w:tc>
          <w:tcPr>
            <w:tcW w:type="dxa" w:w="4824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Mild raw-score cutoff; keeps 97.6% of PSMs.</w:t>
            </w:r>
          </w:p>
        </w:tc>
      </w:tr>
      <w:tr>
        <w:tc>
          <w:tcPr>
            <w:tcW w:type="dxa" w:w="2520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Exact top-1 accuracy</w:t>
            </w:r>
          </w:p>
        </w:tc>
        <w:tc>
          <w:tcPr>
            <w:tcW w:type="dxa" w:w="1800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81.98%</w:t>
            </w:r>
          </w:p>
        </w:tc>
        <w:tc>
          <w:tcPr>
            <w:tcW w:type="dxa" w:w="4824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Benchmark-only exact match against true_sequence.</w:t>
            </w:r>
          </w:p>
        </w:tc>
      </w:tr>
      <w:tr>
        <w:tc>
          <w:tcPr>
            <w:tcW w:type="dxa" w:w="2520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Exact accuracy within q &lt;= 0.01 targets</w:t>
            </w:r>
          </w:p>
        </w:tc>
        <w:tc>
          <w:tcPr>
            <w:tcW w:type="dxa" w:w="1800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84.11%</w:t>
            </w:r>
          </w:p>
        </w:tc>
        <w:tc>
          <w:tcPr>
            <w:tcW w:type="dxa" w:w="4824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Benchmark-only exact match after the 1% q-value filter.</w:t>
            </w:r>
          </w:p>
        </w:tc>
      </w:tr>
    </w:tbl>
    <w:p>
      <w:pPr>
        <w:pStyle w:val="Heading1"/>
      </w:pPr>
      <w:r>
        <w:t>Threshold Behavior</w:t>
      </w:r>
    </w:p>
    <w:p>
      <w:r>
        <w:t>The expanded raw-score sweep is now informative. Weak filtering near 0.03-0.04 keeps almost the entire dataset and remains close to the overall 1.57% FDR. The useful transition occurs around 0.05-0.06: score &gt;= 0.05 gives 1.32% estimated FDR, while score &gt;= 0.06 gives 0.79% estimated FDR. This aligns with the q &lt;= 0.01 accepted set, whose implied score cutoff is about 0.056.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224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827"/>
                <w:sz w:val="19"/>
              </w:rPr>
              <w:t>Threshold</w:t>
            </w:r>
          </w:p>
        </w:tc>
        <w:tc>
          <w:tcPr>
            <w:tcW w:type="dxa" w:w="1656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827"/>
                <w:sz w:val="19"/>
              </w:rPr>
              <w:t>Accepted</w:t>
            </w:r>
          </w:p>
        </w:tc>
        <w:tc>
          <w:tcPr>
            <w:tcW w:type="dxa" w:w="1512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827"/>
                <w:sz w:val="19"/>
              </w:rPr>
              <w:t>Targets</w:t>
            </w:r>
          </w:p>
        </w:tc>
        <w:tc>
          <w:tcPr>
            <w:tcW w:type="dxa" w:w="1296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827"/>
                <w:sz w:val="19"/>
              </w:rPr>
              <w:t>Decoys</w:t>
            </w:r>
          </w:p>
        </w:tc>
        <w:tc>
          <w:tcPr>
            <w:tcW w:type="dxa" w:w="1656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827"/>
                <w:sz w:val="19"/>
              </w:rPr>
              <w:t>Estimated FDR</w:t>
            </w:r>
          </w:p>
        </w:tc>
        <w:tc>
          <w:tcPr>
            <w:tcW w:type="dxa" w:w="1296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827"/>
                <w:sz w:val="19"/>
              </w:rPr>
              <w:t>% kept</w:t>
            </w:r>
          </w:p>
        </w:tc>
      </w:tr>
      <w:tr>
        <w:tc>
          <w:tcPr>
            <w:tcW w:type="dxa" w:w="1224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0.03</w:t>
            </w:r>
          </w:p>
        </w:tc>
        <w:tc>
          <w:tcPr>
            <w:tcW w:type="dxa" w:w="1656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111,207</w:t>
            </w:r>
          </w:p>
        </w:tc>
        <w:tc>
          <w:tcPr>
            <w:tcW w:type="dxa" w:w="1512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109,488</w:t>
            </w:r>
          </w:p>
        </w:tc>
        <w:tc>
          <w:tcPr>
            <w:tcW w:type="dxa" w:w="1296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1,719</w:t>
            </w:r>
          </w:p>
        </w:tc>
        <w:tc>
          <w:tcPr>
            <w:tcW w:type="dxa" w:w="1656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1.57%</w:t>
            </w:r>
          </w:p>
        </w:tc>
        <w:tc>
          <w:tcPr>
            <w:tcW w:type="dxa" w:w="1296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100.0%</w:t>
            </w:r>
          </w:p>
        </w:tc>
      </w:tr>
      <w:tr>
        <w:tc>
          <w:tcPr>
            <w:tcW w:type="dxa" w:w="1224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0.04</w:t>
            </w:r>
          </w:p>
        </w:tc>
        <w:tc>
          <w:tcPr>
            <w:tcW w:type="dxa" w:w="1656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111,112</w:t>
            </w:r>
          </w:p>
        </w:tc>
        <w:tc>
          <w:tcPr>
            <w:tcW w:type="dxa" w:w="1512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109,431</w:t>
            </w:r>
          </w:p>
        </w:tc>
        <w:tc>
          <w:tcPr>
            <w:tcW w:type="dxa" w:w="1296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1,681</w:t>
            </w:r>
          </w:p>
        </w:tc>
        <w:tc>
          <w:tcPr>
            <w:tcW w:type="dxa" w:w="1656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1.54%</w:t>
            </w:r>
          </w:p>
        </w:tc>
        <w:tc>
          <w:tcPr>
            <w:tcW w:type="dxa" w:w="1296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99.9%</w:t>
            </w:r>
          </w:p>
        </w:tc>
      </w:tr>
      <w:tr>
        <w:tc>
          <w:tcPr>
            <w:tcW w:type="dxa" w:w="1224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0.05</w:t>
            </w:r>
          </w:p>
        </w:tc>
        <w:tc>
          <w:tcPr>
            <w:tcW w:type="dxa" w:w="1656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110,509</w:t>
            </w:r>
          </w:p>
        </w:tc>
        <w:tc>
          <w:tcPr>
            <w:tcW w:type="dxa" w:w="1512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109,071</w:t>
            </w:r>
          </w:p>
        </w:tc>
        <w:tc>
          <w:tcPr>
            <w:tcW w:type="dxa" w:w="1296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1,438</w:t>
            </w:r>
          </w:p>
        </w:tc>
        <w:tc>
          <w:tcPr>
            <w:tcW w:type="dxa" w:w="1656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1.32%</w:t>
            </w:r>
          </w:p>
        </w:tc>
        <w:tc>
          <w:tcPr>
            <w:tcW w:type="dxa" w:w="1296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99.4%</w:t>
            </w:r>
          </w:p>
        </w:tc>
      </w:tr>
      <w:tr>
        <w:tc>
          <w:tcPr>
            <w:tcW w:type="dxa" w:w="1224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0.06</w:t>
            </w:r>
          </w:p>
        </w:tc>
        <w:tc>
          <w:tcPr>
            <w:tcW w:type="dxa" w:w="1656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108,548</w:t>
            </w:r>
          </w:p>
        </w:tc>
        <w:tc>
          <w:tcPr>
            <w:tcW w:type="dxa" w:w="1512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107,697</w:t>
            </w:r>
          </w:p>
        </w:tc>
        <w:tc>
          <w:tcPr>
            <w:tcW w:type="dxa" w:w="1296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851</w:t>
            </w:r>
          </w:p>
        </w:tc>
        <w:tc>
          <w:tcPr>
            <w:tcW w:type="dxa" w:w="1656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0.79%</w:t>
            </w:r>
          </w:p>
        </w:tc>
        <w:tc>
          <w:tcPr>
            <w:tcW w:type="dxa" w:w="1296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97.6%</w:t>
            </w:r>
          </w:p>
        </w:tc>
      </w:tr>
      <w:tr>
        <w:tc>
          <w:tcPr>
            <w:tcW w:type="dxa" w:w="1224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0.07</w:t>
            </w:r>
          </w:p>
        </w:tc>
        <w:tc>
          <w:tcPr>
            <w:tcW w:type="dxa" w:w="1656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106,787</w:t>
            </w:r>
          </w:p>
        </w:tc>
        <w:tc>
          <w:tcPr>
            <w:tcW w:type="dxa" w:w="1512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106,325</w:t>
            </w:r>
          </w:p>
        </w:tc>
        <w:tc>
          <w:tcPr>
            <w:tcW w:type="dxa" w:w="1296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462</w:t>
            </w:r>
          </w:p>
        </w:tc>
        <w:tc>
          <w:tcPr>
            <w:tcW w:type="dxa" w:w="1656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0.43%</w:t>
            </w:r>
          </w:p>
        </w:tc>
        <w:tc>
          <w:tcPr>
            <w:tcW w:type="dxa" w:w="1296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96.0%</w:t>
            </w:r>
          </w:p>
        </w:tc>
      </w:tr>
      <w:tr>
        <w:tc>
          <w:tcPr>
            <w:tcW w:type="dxa" w:w="1224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0.08</w:t>
            </w:r>
          </w:p>
        </w:tc>
        <w:tc>
          <w:tcPr>
            <w:tcW w:type="dxa" w:w="1656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105,541</w:t>
            </w:r>
          </w:p>
        </w:tc>
        <w:tc>
          <w:tcPr>
            <w:tcW w:type="dxa" w:w="1512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105,246</w:t>
            </w:r>
          </w:p>
        </w:tc>
        <w:tc>
          <w:tcPr>
            <w:tcW w:type="dxa" w:w="1296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295</w:t>
            </w:r>
          </w:p>
        </w:tc>
        <w:tc>
          <w:tcPr>
            <w:tcW w:type="dxa" w:w="1656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0.28%</w:t>
            </w:r>
          </w:p>
        </w:tc>
        <w:tc>
          <w:tcPr>
            <w:tcW w:type="dxa" w:w="1296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94.9%</w:t>
            </w:r>
          </w:p>
        </w:tc>
      </w:tr>
      <w:tr>
        <w:tc>
          <w:tcPr>
            <w:tcW w:type="dxa" w:w="1224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0.09</w:t>
            </w:r>
          </w:p>
        </w:tc>
        <w:tc>
          <w:tcPr>
            <w:tcW w:type="dxa" w:w="1656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104,544</w:t>
            </w:r>
          </w:p>
        </w:tc>
        <w:tc>
          <w:tcPr>
            <w:tcW w:type="dxa" w:w="1512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104,329</w:t>
            </w:r>
          </w:p>
        </w:tc>
        <w:tc>
          <w:tcPr>
            <w:tcW w:type="dxa" w:w="1296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215</w:t>
            </w:r>
          </w:p>
        </w:tc>
        <w:tc>
          <w:tcPr>
            <w:tcW w:type="dxa" w:w="1656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0.21%</w:t>
            </w:r>
          </w:p>
        </w:tc>
        <w:tc>
          <w:tcPr>
            <w:tcW w:type="dxa" w:w="1296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94.0%</w:t>
            </w:r>
          </w:p>
        </w:tc>
      </w:tr>
      <w:tr>
        <w:tc>
          <w:tcPr>
            <w:tcW w:type="dxa" w:w="1224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0.1</w:t>
            </w:r>
          </w:p>
        </w:tc>
        <w:tc>
          <w:tcPr>
            <w:tcW w:type="dxa" w:w="1656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103,651</w:t>
            </w:r>
          </w:p>
        </w:tc>
        <w:tc>
          <w:tcPr>
            <w:tcW w:type="dxa" w:w="1512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103,492</w:t>
            </w:r>
          </w:p>
        </w:tc>
        <w:tc>
          <w:tcPr>
            <w:tcW w:type="dxa" w:w="1296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159</w:t>
            </w:r>
          </w:p>
        </w:tc>
        <w:tc>
          <w:tcPr>
            <w:tcW w:type="dxa" w:w="1656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0.15%</w:t>
            </w:r>
          </w:p>
        </w:tc>
        <w:tc>
          <w:tcPr>
            <w:tcW w:type="dxa" w:w="1296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93.2%</w:t>
            </w:r>
          </w:p>
        </w:tc>
      </w:tr>
      <w:tr>
        <w:tc>
          <w:tcPr>
            <w:tcW w:type="dxa" w:w="1224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0.125</w:t>
            </w:r>
          </w:p>
        </w:tc>
        <w:tc>
          <w:tcPr>
            <w:tcW w:type="dxa" w:w="1656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101,587</w:t>
            </w:r>
          </w:p>
        </w:tc>
        <w:tc>
          <w:tcPr>
            <w:tcW w:type="dxa" w:w="1512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101,489</w:t>
            </w:r>
          </w:p>
        </w:tc>
        <w:tc>
          <w:tcPr>
            <w:tcW w:type="dxa" w:w="1296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98</w:t>
            </w:r>
          </w:p>
        </w:tc>
        <w:tc>
          <w:tcPr>
            <w:tcW w:type="dxa" w:w="1656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0.10%</w:t>
            </w:r>
          </w:p>
        </w:tc>
        <w:tc>
          <w:tcPr>
            <w:tcW w:type="dxa" w:w="1296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91.3%</w:t>
            </w:r>
          </w:p>
        </w:tc>
      </w:tr>
      <w:tr>
        <w:tc>
          <w:tcPr>
            <w:tcW w:type="dxa" w:w="1224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0.15</w:t>
            </w:r>
          </w:p>
        </w:tc>
        <w:tc>
          <w:tcPr>
            <w:tcW w:type="dxa" w:w="1656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99,519</w:t>
            </w:r>
          </w:p>
        </w:tc>
        <w:tc>
          <w:tcPr>
            <w:tcW w:type="dxa" w:w="1512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99,447</w:t>
            </w:r>
          </w:p>
        </w:tc>
        <w:tc>
          <w:tcPr>
            <w:tcW w:type="dxa" w:w="1296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72</w:t>
            </w:r>
          </w:p>
        </w:tc>
        <w:tc>
          <w:tcPr>
            <w:tcW w:type="dxa" w:w="1656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0.07%</w:t>
            </w:r>
          </w:p>
        </w:tc>
        <w:tc>
          <w:tcPr>
            <w:tcW w:type="dxa" w:w="1296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89.5%</w:t>
            </w:r>
          </w:p>
        </w:tc>
      </w:tr>
      <w:tr>
        <w:tc>
          <w:tcPr>
            <w:tcW w:type="dxa" w:w="1224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0.2</w:t>
            </w:r>
          </w:p>
        </w:tc>
        <w:tc>
          <w:tcPr>
            <w:tcW w:type="dxa" w:w="1656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95,074</w:t>
            </w:r>
          </w:p>
        </w:tc>
        <w:tc>
          <w:tcPr>
            <w:tcW w:type="dxa" w:w="1512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95,029</w:t>
            </w:r>
          </w:p>
        </w:tc>
        <w:tc>
          <w:tcPr>
            <w:tcW w:type="dxa" w:w="1296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45</w:t>
            </w:r>
          </w:p>
        </w:tc>
        <w:tc>
          <w:tcPr>
            <w:tcW w:type="dxa" w:w="1656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0.05%</w:t>
            </w:r>
          </w:p>
        </w:tc>
        <w:tc>
          <w:tcPr>
            <w:tcW w:type="dxa" w:w="1296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85.5%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333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reshold_fdr_curv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A6470"/>
          <w:sz w:val="18"/>
        </w:rPr>
        <w:t>Figure 1. Estimated FDR decreases sharply once the neural score threshold moves through the target/decoy overlap region.</w:t>
      </w:r>
    </w:p>
    <w:p>
      <w:pPr>
        <w:pStyle w:val="Heading1"/>
      </w:pPr>
      <w:r>
        <w:t>Interpretation for Discussion</w:t>
      </w:r>
    </w:p>
    <w:p>
      <w:r>
        <w:t>The clean way to present the result is to separate the target-decoy estimate from benchmark exact-match accuracy. TDA-FDR answers: how many accepted target PSMs are expected to be false under the decoy model? Exact-match accuracy answers: how often did the selected target sequence equal the benchmark label?</w:t>
      </w:r>
    </w:p>
    <w:p>
      <w:pPr>
        <w:pStyle w:val="ListBullet"/>
        <w:spacing w:after="80"/>
      </w:pPr>
      <w:r>
        <w:t>Supervisor-facing headline: the neural TDA-FDR machinery is working and gives approximately 1% estimated FDR at q &lt;= 0.01.</w:t>
      </w:r>
    </w:p>
    <w:p>
      <w:pPr>
        <w:pStyle w:val="ListBullet"/>
        <w:spacing w:after="80"/>
      </w:pPr>
      <w:r>
        <w:t>Required caveat: this does not mean 99% exact peptide correctness on the benchmark; exact sequence accuracy is about 84% within the accepted q &lt;= 0.01 target set.</w:t>
      </w:r>
    </w:p>
    <w:p>
      <w:pPr>
        <w:pStyle w:val="ListBullet"/>
        <w:spacing w:after="80"/>
      </w:pPr>
      <w:r>
        <w:t>Likely cause: target-vs-target errors, including modification-state or modification-localization confusions, are not fully captured by the decoy count.</w:t>
      </w:r>
    </w:p>
    <w:p>
      <w:pPr>
        <w:pStyle w:val="ListBullet"/>
        <w:spacing w:after="80"/>
      </w:pPr>
      <w:r>
        <w:t>Recommended next step: report both TDA-FDR and exact benchmark accuracy, then inspect high-confidence incorrect target calls to understand modification-related failure modes.</w:t>
      </w:r>
    </w:p>
    <w:p>
      <w:pPr>
        <w:sectPr>
          <w:footerReference w:type="default" r:id="rId9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Score Distribution Plots</w:t>
      </w:r>
    </w:p>
    <w:p>
      <w:r>
        <w:t>The figures below show the raw confidence score and log-score distributions for target and decoy winners. The strong separation between targets and decoys supports the TDA estimate, while the benchmark accuracy caveat remains important for exact-sequence interpretation.</w:t>
      </w:r>
    </w:p>
    <w:p>
      <w:pPr>
        <w:pStyle w:val="Heading2"/>
      </w:pPr>
      <w:r>
        <w:t>Decoy Distributions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333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coy_confidence_score_distribu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A6470"/>
          <w:sz w:val="18"/>
        </w:rPr>
        <w:t>Figure 2. Decoy confidence scores are concentrated at low values.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333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coy_log_score_distribu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A6470"/>
          <w:sz w:val="18"/>
        </w:rPr>
        <w:t>Figure 3. Decoy mean log-probabilities cluster far below the target median.</w:t>
      </w:r>
    </w:p>
    <w:p>
      <w:pPr>
        <w:pStyle w:val="Heading2"/>
      </w:pPr>
      <w:r>
        <w:t>Target Distributions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333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rget_confidence_score_distribu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A6470"/>
          <w:sz w:val="18"/>
        </w:rPr>
        <w:t>Figure 4. Target confidence scores are broadly shifted toward higher values.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3337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rget_log_score_distribu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A6470"/>
          <w:sz w:val="18"/>
        </w:rPr>
        <w:t>Figure 5. Target mean log-probabilities show the corresponding log-scale separation.</w:t>
      </w:r>
    </w:p>
    <w:p>
      <w:pPr>
        <w:pStyle w:val="Heading1"/>
      </w:pPr>
      <w:r>
        <w:t>Suggested Wording</w:t>
      </w:r>
    </w:p>
    <w:p>
      <w:r>
        <w:rPr>
          <w:b/>
        </w:rPr>
        <w:t xml:space="preserve">Suggested supervisor update: </w:t>
      </w:r>
      <w:r>
        <w:t>We implemented neural target-decoy competition after two-stage retrieval and InstaNovo/Casanovo-DB-style rescoring. The TDC procedure is internally consistent: with a 1:1 reverse-inner decoy database, the overall estimated top-1 FDR is 1.57%, and applying q &lt;= 0.01 yields 108,346 accepted target PSMs at approximately 1% estimated FDR. The expanded score-threshold sweep confirms that the practical 1% boundary is near score 0.056-0.060; at score &gt;= 0.06, the estimated FDR is 0.79% while keeping 97.6% of PSMs. The target and decoy score distributions are well separated. However, because benchmark labels are available, we also report exact sequence accuracy: about 82% overall and 84% among q &lt;= 0.01 accepted targets. This indicates residual target-vs-target errors, especially likely around modified or closely related peptide variants, so the FDR result is promising but should be presented together with benchmark exact-match accuracy.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A6470"/>
        <w:sz w:val="18"/>
      </w:rPr>
      <w:t>Neural TDA-FDR report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