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PROJECT 2  •  TIER 02  •  P10</w:t>
      </w:r>
    </w:p>
    <w:p>
      <w:pPr>
        <w:pStyle w:val="Title"/>
      </w:pPr>
      <w:r>
        <w:t>Prepaid Meter Recharge Advisor</w:t>
      </w:r>
    </w:p>
    <w:p>
      <w:pPr>
        <w:spacing w:after="160"/>
      </w:pPr>
      <w:r>
        <w:rPr>
          <w:b/>
          <w:color w:val="3B205C"/>
          <w:sz w:val="30"/>
        </w:rPr>
        <w:t>Product Requirements Document</w:t>
      </w:r>
    </w:p>
    <w:p>
      <w:r>
        <w:rPr>
          <w:i/>
        </w:rPr>
        <w:t>A deployment-ready web product for deterministic prepaid-meter simulation, recharge advising, and three-month recharge-habit comparison.</w:t>
      </w:r>
    </w:p>
    <w:tbl>
      <w:tblPr>
        <w:tblW w:type="auto" w:w="0"/>
        <w:jc w:val="center"/>
        <w:tblLook w:firstColumn="1" w:firstRow="1" w:lastColumn="0" w:lastRow="0" w:noHBand="0" w:noVBand="1" w:val="04A0"/>
      </w:tblPr>
      <w:tblGrid>
        <w:gridCol w:w="10080"/>
      </w:tblGrid>
      <w:tr>
        <w:tc>
          <w:tcPr>
            <w:tcW w:type="dxa" w:w="10080"/>
            <w:shd w:fill="F1EFF6"/>
          </w:tcPr>
          <w:p>
            <w:r>
              <w:rPr>
                <w:b/>
                <w:color w:val="3B205C"/>
                <w:sz w:val="18"/>
              </w:rPr>
              <w:t>Product objective</w:t>
              <w:br/>
            </w:r>
            <w:r>
              <w:rPr>
                <w:color w:val="22222A"/>
                <w:sz w:val="17"/>
              </w:rPr>
              <w:t>Build a professional, user-friendly web application that satisfies all four required challenge items while strictly respecting the judge clarifications: recharge timing must not manufacture an energy-rate saving, “cost” must mean meter consumption (energy + VAT + applicable monthly fixed charges), and both comparison habits must use identical daily consumption and the same calendar-month slab counter.</w:t>
            </w:r>
          </w:p>
        </w:tc>
      </w:tr>
    </w:tbl>
    <w:p>
      <w:pPr>
        <w:spacing w:after="0"/>
      </w:pPr>
    </w:p>
    <w:tbl>
      <w:tblPr>
        <w:tblStyle w:val="TableGrid"/>
        <w:tblW w:type="auto" w:w="0"/>
        <w:jc w:val="center"/>
        <w:tblLook w:firstColumn="1" w:firstRow="1" w:lastColumn="0" w:lastRow="0" w:noHBand="0" w:noVBand="1" w:val="04A0"/>
      </w:tblPr>
      <w:tblGrid>
        <w:gridCol w:w="5040"/>
        <w:gridCol w:w="5040"/>
      </w:tblGrid>
      <w:tr>
        <w:tc>
          <w:tcPr>
            <w:tcW w:type="dxa" w:w="5040"/>
            <w:shd w:fill="3B205C"/>
            <w:vAlign w:val="center"/>
          </w:tcPr>
          <w:p>
            <w:r/>
            <w:r>
              <w:rPr>
                <w:rFonts w:ascii="Aptos" w:hAnsi="Aptos"/>
                <w:b/>
                <w:color w:val="FFFFFF"/>
                <w:sz w:val="16"/>
              </w:rPr>
              <w:t>Document</w:t>
            </w:r>
          </w:p>
        </w:tc>
        <w:tc>
          <w:tcPr>
            <w:tcW w:type="dxa" w:w="5040"/>
            <w:shd w:fill="3B205C"/>
            <w:vAlign w:val="center"/>
          </w:tcPr>
          <w:p>
            <w:r/>
            <w:r>
              <w:rPr>
                <w:rFonts w:ascii="Aptos" w:hAnsi="Aptos"/>
                <w:b/>
                <w:color w:val="FFFFFF"/>
                <w:sz w:val="16"/>
              </w:rPr>
              <w:t>Value</w:t>
            </w:r>
          </w:p>
        </w:tc>
      </w:tr>
      <w:tr>
        <w:tc>
          <w:tcPr>
            <w:tcW w:type="dxa" w:w="5040"/>
            <w:shd w:fill="F5F4F7"/>
            <w:vAlign w:val="center"/>
          </w:tcPr>
          <w:p>
            <w:r/>
            <w:r>
              <w:rPr>
                <w:rFonts w:ascii="Aptos" w:hAnsi="Aptos"/>
                <w:b w:val="0"/>
                <w:color w:val="22222A"/>
                <w:sz w:val="16"/>
              </w:rPr>
              <w:t>Problem</w:t>
            </w:r>
          </w:p>
        </w:tc>
        <w:tc>
          <w:tcPr>
            <w:tcW w:type="dxa" w:w="5040"/>
            <w:shd w:fill="F5F4F7"/>
            <w:vAlign w:val="center"/>
          </w:tcPr>
          <w:p>
            <w:r/>
            <w:r>
              <w:rPr>
                <w:rFonts w:ascii="Aptos" w:hAnsi="Aptos"/>
                <w:b w:val="0"/>
                <w:color w:val="22222A"/>
                <w:sz w:val="16"/>
              </w:rPr>
              <w:t>P10 — Prepaid Meter Recharge Advisor</w:t>
            </w:r>
          </w:p>
        </w:tc>
      </w:tr>
      <w:tr>
        <w:tc>
          <w:tcPr>
            <w:tcW w:type="dxa" w:w="5040"/>
            <w:vAlign w:val="center"/>
          </w:tcPr>
          <w:p>
            <w:r/>
            <w:r>
              <w:rPr>
                <w:rFonts w:ascii="Aptos" w:hAnsi="Aptos"/>
                <w:b w:val="0"/>
                <w:color w:val="22222A"/>
                <w:sz w:val="16"/>
              </w:rPr>
              <w:t>Primary input</w:t>
            </w:r>
          </w:p>
        </w:tc>
        <w:tc>
          <w:tcPr>
            <w:tcW w:type="dxa" w:w="5040"/>
            <w:vAlign w:val="center"/>
          </w:tcPr>
          <w:p>
            <w:r/>
            <w:r>
              <w:rPr>
                <w:rFonts w:ascii="Aptos" w:hAnsi="Aptos"/>
                <w:b w:val="0"/>
                <w:color w:val="22222A"/>
                <w:sz w:val="16"/>
              </w:rPr>
              <w:t>Provided P10 JSON public cases plus the challenge tariff specification</w:t>
            </w:r>
          </w:p>
        </w:tc>
      </w:tr>
      <w:tr>
        <w:tc>
          <w:tcPr>
            <w:tcW w:type="dxa" w:w="5040"/>
            <w:shd w:fill="F5F4F7"/>
            <w:vAlign w:val="center"/>
          </w:tcPr>
          <w:p>
            <w:r/>
            <w:r>
              <w:rPr>
                <w:rFonts w:ascii="Aptos" w:hAnsi="Aptos"/>
                <w:b w:val="0"/>
                <w:color w:val="22222A"/>
                <w:sz w:val="16"/>
              </w:rPr>
              <w:t>Core product type</w:t>
            </w:r>
          </w:p>
        </w:tc>
        <w:tc>
          <w:tcPr>
            <w:tcW w:type="dxa" w:w="5040"/>
            <w:shd w:fill="F5F4F7"/>
            <w:vAlign w:val="center"/>
          </w:tcPr>
          <w:p>
            <w:r/>
            <w:r>
              <w:rPr>
                <w:rFonts w:ascii="Aptos" w:hAnsi="Aptos"/>
                <w:b w:val="0"/>
                <w:color w:val="22222A"/>
                <w:sz w:val="16"/>
              </w:rPr>
              <w:t>Web application + deterministic calculation API</w:t>
            </w:r>
          </w:p>
        </w:tc>
      </w:tr>
      <w:tr>
        <w:tc>
          <w:tcPr>
            <w:tcW w:type="dxa" w:w="5040"/>
            <w:vAlign w:val="center"/>
          </w:tcPr>
          <w:p>
            <w:r/>
            <w:r>
              <w:rPr>
                <w:rFonts w:ascii="Aptos" w:hAnsi="Aptos"/>
                <w:b w:val="0"/>
                <w:color w:val="22222A"/>
                <w:sz w:val="16"/>
              </w:rPr>
              <w:t>Database</w:t>
            </w:r>
          </w:p>
        </w:tc>
        <w:tc>
          <w:tcPr>
            <w:tcW w:type="dxa" w:w="5040"/>
            <w:vAlign w:val="center"/>
          </w:tcPr>
          <w:p>
            <w:r/>
            <w:r>
              <w:rPr>
                <w:rFonts w:ascii="Aptos" w:hAnsi="Aptos"/>
                <w:b w:val="0"/>
                <w:color w:val="22222A"/>
                <w:sz w:val="16"/>
              </w:rPr>
              <w:t>Not required for MVP; JSON-backed architecture recommended</w:t>
            </w:r>
          </w:p>
        </w:tc>
      </w:tr>
      <w:tr>
        <w:tc>
          <w:tcPr>
            <w:tcW w:type="dxa" w:w="5040"/>
            <w:shd w:fill="F5F4F7"/>
            <w:vAlign w:val="center"/>
          </w:tcPr>
          <w:p>
            <w:r/>
            <w:r>
              <w:rPr>
                <w:rFonts w:ascii="Aptos" w:hAnsi="Aptos"/>
                <w:b w:val="0"/>
                <w:color w:val="22222A"/>
                <w:sz w:val="16"/>
              </w:rPr>
              <w:t>Admin panel</w:t>
            </w:r>
          </w:p>
        </w:tc>
        <w:tc>
          <w:tcPr>
            <w:tcW w:type="dxa" w:w="5040"/>
            <w:shd w:fill="F5F4F7"/>
            <w:vAlign w:val="center"/>
          </w:tcPr>
          <w:p>
            <w:r/>
            <w:r>
              <w:rPr>
                <w:rFonts w:ascii="Aptos" w:hAnsi="Aptos"/>
                <w:b w:val="0"/>
                <w:color w:val="22222A"/>
                <w:sz w:val="16"/>
              </w:rPr>
              <w:t>Not required by the challenge</w:t>
            </w:r>
          </w:p>
        </w:tc>
      </w:tr>
      <w:tr>
        <w:tc>
          <w:tcPr>
            <w:tcW w:type="dxa" w:w="5040"/>
            <w:vAlign w:val="center"/>
          </w:tcPr>
          <w:p>
            <w:r/>
            <w:r>
              <w:rPr>
                <w:rFonts w:ascii="Aptos" w:hAnsi="Aptos"/>
                <w:b w:val="0"/>
                <w:color w:val="22222A"/>
                <w:sz w:val="16"/>
              </w:rPr>
              <w:t>AI</w:t>
            </w:r>
          </w:p>
        </w:tc>
        <w:tc>
          <w:tcPr>
            <w:tcW w:type="dxa" w:w="5040"/>
            <w:vAlign w:val="center"/>
          </w:tcPr>
          <w:p>
            <w:r/>
            <w:r>
              <w:rPr>
                <w:rFonts w:ascii="Aptos" w:hAnsi="Aptos"/>
                <w:b w:val="0"/>
                <w:color w:val="22222A"/>
                <w:sz w:val="16"/>
              </w:rPr>
              <w:t>Optional explanation layer only; never the source of numeric truth</w:t>
            </w:r>
          </w:p>
        </w:tc>
      </w:tr>
      <w:tr>
        <w:tc>
          <w:tcPr>
            <w:tcW w:type="dxa" w:w="5040"/>
            <w:shd w:fill="F5F4F7"/>
            <w:vAlign w:val="center"/>
          </w:tcPr>
          <w:p>
            <w:r/>
            <w:r>
              <w:rPr>
                <w:rFonts w:ascii="Aptos" w:hAnsi="Aptos"/>
                <w:b w:val="0"/>
                <w:color w:val="22222A"/>
                <w:sz w:val="16"/>
              </w:rPr>
              <w:t>Status</w:t>
            </w:r>
          </w:p>
        </w:tc>
        <w:tc>
          <w:tcPr>
            <w:tcW w:type="dxa" w:w="5040"/>
            <w:shd w:fill="F5F4F7"/>
            <w:vAlign w:val="center"/>
          </w:tcPr>
          <w:p>
            <w:r/>
            <w:r>
              <w:rPr>
                <w:rFonts w:ascii="Aptos" w:hAnsi="Aptos"/>
                <w:b w:val="0"/>
                <w:color w:val="22222A"/>
                <w:sz w:val="16"/>
              </w:rPr>
              <w:t>Implementation-ready PRD</w:t>
            </w:r>
          </w:p>
        </w:tc>
      </w:tr>
    </w:tbl>
    <w:p>
      <w:pPr>
        <w:spacing w:after="20"/>
      </w:pPr>
    </w:p>
    <w:p>
      <w:r>
        <w:br w:type="page"/>
      </w:r>
    </w:p>
    <w:p>
      <w:pPr>
        <w:pStyle w:val="Heading1"/>
      </w:pPr>
      <w:r>
        <w:t>1. Executive Summary</w:t>
      </w:r>
    </w:p>
    <w:p>
      <w:r>
        <w:t>The Prepaid Meter Recharge Advisor is a calculation-first web application that turns a prepaid-electricity case into an explainable meter simulation. It reconstructs day-by-day balance, applies calendar-month slab pricing, applies the first-recharge monthly fixed charges and VAT according to the supplied tariff rules, predicts depletion, calculates the recharge needed to reach a target date, and compares two recharge habits over the same three months.</w:t>
      </w:r>
    </w:p>
    <w:p>
      <w:r>
        <w:t>The product is intentionally deterministic. Every displayed amount and date must be traceable to the source readings, recharge events, tariff rules, and simulation state. The UI may use animation and 3D visual effects, but those visuals must never alter or obscure the calculation results.</w:t>
      </w:r>
    </w:p>
    <w:p>
      <w:pPr>
        <w:pStyle w:val="Heading2"/>
      </w:pPr>
      <w:r>
        <w:t>Source-grounded constraints</w:t>
      </w:r>
    </w:p>
    <w:p>
      <w:pPr>
        <w:pStyle w:val="ListBullet"/>
        <w:ind w:left="0"/>
      </w:pPr>
      <w:r>
        <w:t>The provided JSON defines the case schema and includes opening balance, consecutive daily readings, recharge history, today, usual daily usage, target date, and comparison parameters. The readings start on the first of a month, so the slab counter starts at zero each month. </w:t>
      </w:r>
    </w:p>
    <w:p>
      <w:pPr>
        <w:pStyle w:val="ListBullet"/>
        <w:ind w:left="0"/>
      </w:pPr>
      <w:r>
        <w:t>PUB-01 provides an example of the required case structure: opening balance 310 BDT, historical daily readings, recharge events, a target date, and comparison months April–June 2026.  </w:t>
      </w:r>
    </w:p>
    <w:p>
      <w:pPr>
        <w:pStyle w:val="ListBullet"/>
        <w:ind w:left="0"/>
      </w:pPr>
      <w:r>
        <w:t>The comparison configuration explicitly supplies a low-balance threshold, low-balance recharge amount, and monthly recharge amount; these must drive the two strategy simulations. </w:t>
      </w:r>
    </w:p>
    <w:p>
      <w:pPr>
        <w:pStyle w:val="ListBullet"/>
        <w:ind w:left="0"/>
      </w:pPr>
      <w:r>
        <w:t>The JSON file is case data; the actual tariff table referred to as “tariff above” must be supplied from the challenge statement and treated as the authoritative tariff configuration. It must not be invented from the JSON.</w:t>
      </w:r>
    </w:p>
    <w:p>
      <w:pPr>
        <w:pStyle w:val="Heading2"/>
      </w:pPr>
      <w:r>
        <w:t>PRD success definition</w:t>
      </w:r>
    </w:p>
    <w:p>
      <w:pPr>
        <w:pStyle w:val="ListBullet"/>
        <w:ind w:left="0"/>
      </w:pPr>
      <w:r>
        <w:t>A judge can select a case and understand the current balance, forecast, target-date recharge, and habit comparison without manual calculation.</w:t>
      </w:r>
    </w:p>
    <w:p>
      <w:pPr>
        <w:pStyle w:val="ListBullet"/>
        <w:ind w:left="0"/>
      </w:pPr>
      <w:r>
        <w:t>The numerical engine passes deterministic unit tests for slab boundaries, monthly resets, first-recharge fixed charges, VAT, recharges, depletion, and strategy comparison.</w:t>
      </w:r>
    </w:p>
    <w:p>
      <w:pPr>
        <w:pStyle w:val="ListBullet"/>
        <w:ind w:left="0"/>
      </w:pPr>
      <w:r>
        <w:t>The interface looks polished and professional at desktop and mobile breakpoints, with restrained motion and purposeful 3D rather than visual clutter.</w:t>
      </w:r>
    </w:p>
    <w:p>
      <w:pPr>
        <w:pStyle w:val="ListBullet"/>
        <w:ind w:left="0"/>
      </w:pPr>
      <w:r>
        <w:t>The application can be deployed without a database or admin panel for the hackathon MVP.</w:t>
      </w:r>
    </w:p>
    <w:p>
      <w:pPr>
        <w:pStyle w:val="Heading1"/>
      </w:pPr>
      <w:r>
        <w:t>2. Problem Statement &amp; Product Interpretation</w:t>
      </w:r>
    </w:p>
    <w:p>
      <w:r>
        <w:t>The challenge asks the product to perform four required items. These four items are the product contract, not optional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Req.</w:t>
            </w:r>
          </w:p>
        </w:tc>
        <w:tc>
          <w:tcPr>
            <w:tcW w:type="dxa" w:w="3360"/>
            <w:shd w:fill="3B205C"/>
            <w:vAlign w:val="center"/>
          </w:tcPr>
          <w:p>
            <w:r/>
            <w:r>
              <w:rPr>
                <w:rFonts w:ascii="Aptos" w:hAnsi="Aptos"/>
                <w:b/>
                <w:color w:val="FFFFFF"/>
                <w:sz w:val="16"/>
              </w:rPr>
              <w:t>Requirement</w:t>
            </w:r>
          </w:p>
        </w:tc>
        <w:tc>
          <w:tcPr>
            <w:tcW w:type="dxa" w:w="3360"/>
            <w:shd w:fill="3B205C"/>
            <w:vAlign w:val="center"/>
          </w:tcPr>
          <w:p>
            <w:r/>
            <w:r>
              <w:rPr>
                <w:rFonts w:ascii="Aptos" w:hAnsi="Aptos"/>
                <w:b/>
                <w:color w:val="FFFFFF"/>
                <w:sz w:val="16"/>
              </w:rPr>
              <w:t>Product interpretation</w:t>
            </w:r>
          </w:p>
        </w:tc>
      </w:tr>
      <w:tr>
        <w:tc>
          <w:tcPr>
            <w:tcW w:type="dxa" w:w="3360"/>
            <w:shd w:fill="F5F4F7"/>
            <w:vAlign w:val="center"/>
          </w:tcPr>
          <w:p>
            <w:r/>
            <w:r>
              <w:rPr>
                <w:rFonts w:ascii="Aptos" w:hAnsi="Aptos"/>
                <w:b w:val="0"/>
                <w:color w:val="22222A"/>
                <w:sz w:val="16"/>
              </w:rPr>
              <w:t>R1</w:t>
            </w:r>
          </w:p>
        </w:tc>
        <w:tc>
          <w:tcPr>
            <w:tcW w:type="dxa" w:w="3360"/>
            <w:shd w:fill="F5F4F7"/>
            <w:vAlign w:val="center"/>
          </w:tcPr>
          <w:p>
            <w:r/>
            <w:r>
              <w:rPr>
                <w:rFonts w:ascii="Aptos" w:hAnsi="Aptos"/>
                <w:b w:val="0"/>
                <w:color w:val="22222A"/>
                <w:sz w:val="16"/>
              </w:rPr>
              <w:t>Create a household with at least six months of daily readings and recharge history; include a light month, a heavy summer month, and a month with a large recharge in the last week.</w:t>
            </w:r>
          </w:p>
        </w:tc>
        <w:tc>
          <w:tcPr>
            <w:tcW w:type="dxa" w:w="3360"/>
            <w:shd w:fill="F5F4F7"/>
            <w:vAlign w:val="center"/>
          </w:tcPr>
          <w:p>
            <w:r/>
            <w:r>
              <w:rPr>
                <w:rFonts w:ascii="Aptos" w:hAnsi="Aptos"/>
                <w:b w:val="0"/>
                <w:color w:val="22222A"/>
                <w:sz w:val="16"/>
              </w:rPr>
              <w:t>Case ingestion + validation + historical visualization. Public JSON cases can be loaded directly; the product should validate the required data characteristics.</w:t>
            </w:r>
          </w:p>
        </w:tc>
      </w:tr>
      <w:tr>
        <w:tc>
          <w:tcPr>
            <w:tcW w:type="dxa" w:w="3360"/>
            <w:vAlign w:val="center"/>
          </w:tcPr>
          <w:p>
            <w:r/>
            <w:r>
              <w:rPr>
                <w:rFonts w:ascii="Aptos" w:hAnsi="Aptos"/>
                <w:b w:val="0"/>
                <w:color w:val="22222A"/>
                <w:sz w:val="16"/>
              </w:rPr>
              <w:t>R2</w:t>
            </w:r>
          </w:p>
        </w:tc>
        <w:tc>
          <w:tcPr>
            <w:tcW w:type="dxa" w:w="3360"/>
            <w:vAlign w:val="center"/>
          </w:tcPr>
          <w:p>
            <w:r/>
            <w:r>
              <w:rPr>
                <w:rFonts w:ascii="Aptos" w:hAnsi="Aptos"/>
                <w:b w:val="0"/>
                <w:color w:val="22222A"/>
                <w:sz w:val="16"/>
              </w:rPr>
              <w:t>Rebuild the meter balance day by day using the tariff; charge each day’s units at the slab reached by the month’s running total; apply demand charge and meter rent on the first recharge of each month; add VAT; show balance as a line with every recharge marked.</w:t>
            </w:r>
          </w:p>
        </w:tc>
        <w:tc>
          <w:tcPr>
            <w:tcW w:type="dxa" w:w="3360"/>
            <w:vAlign w:val="center"/>
          </w:tcPr>
          <w:p>
            <w:r/>
            <w:r>
              <w:rPr>
                <w:rFonts w:ascii="Aptos" w:hAnsi="Aptos"/>
                <w:b w:val="0"/>
                <w:color w:val="22222A"/>
                <w:sz w:val="16"/>
              </w:rPr>
              <w:t>Deterministic meter simulator + balance chart + transaction ledger.</w:t>
            </w:r>
          </w:p>
        </w:tc>
      </w:tr>
      <w:tr>
        <w:tc>
          <w:tcPr>
            <w:tcW w:type="dxa" w:w="3360"/>
            <w:shd w:fill="F5F4F7"/>
            <w:vAlign w:val="center"/>
          </w:tcPr>
          <w:p>
            <w:r/>
            <w:r>
              <w:rPr>
                <w:rFonts w:ascii="Aptos" w:hAnsi="Aptos"/>
                <w:b w:val="0"/>
                <w:color w:val="22222A"/>
                <w:sz w:val="16"/>
              </w:rPr>
              <w:t>R3</w:t>
            </w:r>
          </w:p>
        </w:tc>
        <w:tc>
          <w:tcPr>
            <w:tcW w:type="dxa" w:w="3360"/>
            <w:shd w:fill="F5F4F7"/>
            <w:vAlign w:val="center"/>
          </w:tcPr>
          <w:p>
            <w:r/>
            <w:r>
              <w:rPr>
                <w:rFonts w:ascii="Aptos" w:hAnsi="Aptos"/>
                <w:b w:val="0"/>
                <w:color w:val="22222A"/>
                <w:sz w:val="16"/>
              </w:rPr>
              <w:t>Answer depletion date and target-date recharge questions; break required recharge into energy, higher-slab effect, fixed charges, and VAT.</w:t>
            </w:r>
          </w:p>
        </w:tc>
        <w:tc>
          <w:tcPr>
            <w:tcW w:type="dxa" w:w="3360"/>
            <w:shd w:fill="F5F4F7"/>
            <w:vAlign w:val="center"/>
          </w:tcPr>
          <w:p>
            <w:r/>
            <w:r>
              <w:rPr>
                <w:rFonts w:ascii="Aptos" w:hAnsi="Aptos"/>
                <w:b w:val="0"/>
                <w:color w:val="22222A"/>
                <w:sz w:val="16"/>
              </w:rPr>
              <w:t>Advisor engine + forecast + transparent cost decomposition.</w:t>
            </w:r>
          </w:p>
        </w:tc>
      </w:tr>
      <w:tr>
        <w:tc>
          <w:tcPr>
            <w:tcW w:type="dxa" w:w="3360"/>
            <w:vAlign w:val="center"/>
          </w:tcPr>
          <w:p>
            <w:r/>
            <w:r>
              <w:rPr>
                <w:rFonts w:ascii="Aptos" w:hAnsi="Aptos"/>
                <w:b w:val="0"/>
                <w:color w:val="22222A"/>
                <w:sz w:val="16"/>
              </w:rPr>
              <w:t>R4</w:t>
            </w:r>
          </w:p>
        </w:tc>
        <w:tc>
          <w:tcPr>
            <w:tcW w:type="dxa" w:w="3360"/>
            <w:vAlign w:val="center"/>
          </w:tcPr>
          <w:p>
            <w:r/>
            <w:r>
              <w:rPr>
                <w:rFonts w:ascii="Aptos" w:hAnsi="Aptos"/>
                <w:b w:val="0"/>
                <w:color w:val="22222A"/>
                <w:sz w:val="16"/>
              </w:rPr>
              <w:t>Compare low-balance and monthly recharge habits over the same three months with the same consumption.</w:t>
            </w:r>
          </w:p>
        </w:tc>
        <w:tc>
          <w:tcPr>
            <w:tcW w:type="dxa" w:w="3360"/>
            <w:vAlign w:val="center"/>
          </w:tcPr>
          <w:p>
            <w:r/>
            <w:r>
              <w:rPr>
                <w:rFonts w:ascii="Aptos" w:hAnsi="Aptos"/>
                <w:b w:val="0"/>
                <w:color w:val="22222A"/>
                <w:sz w:val="16"/>
              </w:rPr>
              <w:t>Two isolated simulations fed identical daily units and calendar-month slab counters; compare meter-consumed cost.</w:t>
            </w:r>
          </w:p>
        </w:tc>
      </w:tr>
    </w:tbl>
    <w:p>
      <w:pPr>
        <w:spacing w:after="20"/>
      </w:pPr>
    </w:p>
    <w:p>
      <w:pPr>
        <w:pStyle w:val="Heading2"/>
      </w:pPr>
      <w:r>
        <w:t>Judge-critical clarifications</w:t>
      </w:r>
    </w:p>
    <w:p>
      <w:pPr>
        <w:pStyle w:val="ListBullet"/>
        <w:ind w:left="0"/>
      </w:pPr>
      <w:r>
        <w:t>Both recharge habits use identical daily consumption and the same calendar-month slab counter. Recharge timing cannot create an energy-rate saving.</w:t>
      </w:r>
    </w:p>
    <w:p>
      <w:pPr>
        <w:pStyle w:val="ListBullet"/>
        <w:ind w:left="0"/>
      </w:pPr>
      <w:r>
        <w:t>“Cost” means money consumed by the meter: energy, VAT, and applicable monthly fixed charges. It is not the amount deposited.</w:t>
      </w:r>
    </w:p>
    <w:p>
      <w:pPr>
        <w:pStyle w:val="ListBullet"/>
        <w:ind w:left="0"/>
      </w:pPr>
      <w:r>
        <w:t>The two strategy results may legitimately be equal. A difference can arise only from how many monthly first-recharge fixed charges occur; fabricated slab savings are a failure.</w:t>
      </w:r>
    </w:p>
    <w:p>
      <w:pPr>
        <w:pStyle w:val="ListBullet"/>
        <w:ind w:left="0"/>
      </w:pPr>
      <w:r>
        <w:t>“Low balance” means recharge the case’s configured low-balance amount on the first day whose balance is below the configured threshold. “Monthly” means recharge the configured monthly amount on the first day of each configured month. Both strategies begin from the same opening balance and run the same three named months.</w:t>
      </w:r>
    </w:p>
    <w:p>
      <w:pPr>
        <w:pStyle w:val="Heading1"/>
      </w:pPr>
      <w:r>
        <w:t>3. Goals, Non-Goals &amp; Principles</w:t>
      </w:r>
    </w:p>
    <w:p>
      <w:pPr>
        <w:pStyle w:val="Heading2"/>
      </w:pPr>
      <w:r>
        <w:t>Goals</w:t>
      </w:r>
    </w:p>
    <w:p>
      <w:pPr>
        <w:pStyle w:val="ListBullet"/>
        <w:ind w:left="0"/>
      </w:pPr>
      <w:r>
        <w:t>Numerical correctness over visual novelty.</w:t>
      </w:r>
    </w:p>
    <w:p>
      <w:pPr>
        <w:pStyle w:val="ListBullet"/>
        <w:ind w:left="0"/>
      </w:pPr>
      <w:r>
        <w:t>One source of truth for tariff and simulation logic.</w:t>
      </w:r>
    </w:p>
    <w:p>
      <w:pPr>
        <w:pStyle w:val="ListBullet"/>
        <w:ind w:left="0"/>
      </w:pPr>
      <w:r>
        <w:t>Explainable outputs: every balance change and cost component can be inspected.</w:t>
      </w:r>
    </w:p>
    <w:p>
      <w:pPr>
        <w:pStyle w:val="ListBullet"/>
        <w:ind w:left="0"/>
      </w:pPr>
      <w:r>
        <w:t>Fast case switching and instant recalculation.</w:t>
      </w:r>
    </w:p>
    <w:p>
      <w:pPr>
        <w:pStyle w:val="ListBullet"/>
        <w:ind w:left="0"/>
      </w:pPr>
      <w:r>
        <w:t>Polished, accessible, responsive UX with restrained animation and 3D.</w:t>
      </w:r>
    </w:p>
    <w:p>
      <w:pPr>
        <w:pStyle w:val="ListBullet"/>
        <w:ind w:left="0"/>
      </w:pPr>
      <w:r>
        <w:t>Deployment-ready without database or admin dependencies.</w:t>
      </w:r>
    </w:p>
    <w:p>
      <w:pPr>
        <w:pStyle w:val="Heading2"/>
      </w:pPr>
      <w:r>
        <w:t>Non-goals</w:t>
      </w:r>
    </w:p>
    <w:p>
      <w:pPr>
        <w:pStyle w:val="ListBullet"/>
        <w:ind w:left="0"/>
      </w:pPr>
      <w:r>
        <w:t>No user account system is required by the challenge.</w:t>
      </w:r>
    </w:p>
    <w:p>
      <w:pPr>
        <w:pStyle w:val="ListBullet"/>
        <w:ind w:left="0"/>
      </w:pPr>
      <w:r>
        <w:t>No payment gateway or real-world recharge transaction is required.</w:t>
      </w:r>
    </w:p>
    <w:p>
      <w:pPr>
        <w:pStyle w:val="ListBullet"/>
        <w:ind w:left="0"/>
      </w:pPr>
      <w:r>
        <w:t>No admin dashboard is required.</w:t>
      </w:r>
    </w:p>
    <w:p>
      <w:pPr>
        <w:pStyle w:val="ListBullet"/>
        <w:ind w:left="0"/>
      </w:pPr>
      <w:r>
        <w:t>No ML model is required to generate the numeric forecast; the supplied usual daily units can drive deterministic future simulation.</w:t>
      </w:r>
    </w:p>
    <w:p>
      <w:pPr>
        <w:pStyle w:val="ListBullet"/>
        <w:ind w:left="0"/>
      </w:pPr>
      <w:r>
        <w:t>No claim of utility-company tariff authority beyond the challenge’s supplied tariff specification.</w:t>
      </w:r>
    </w:p>
    <w:p>
      <w:pPr>
        <w:pStyle w:val="Heading2"/>
      </w:pPr>
      <w:r>
        <w:t>Engineering principles</w:t>
      </w:r>
    </w:p>
    <w:p>
      <w:pPr>
        <w:pStyle w:val="ListBullet"/>
        <w:ind w:left="0"/>
      </w:pPr>
      <w:r>
        <w:t>Pure functions for tariff and cost calculations.</w:t>
      </w:r>
    </w:p>
    <w:p>
      <w:pPr>
        <w:pStyle w:val="ListBullet"/>
        <w:ind w:left="0"/>
      </w:pPr>
      <w:r>
        <w:t>Decimal/fixed-point money arithmetic; do not use binary floating-point for BDT totals.</w:t>
      </w:r>
    </w:p>
    <w:p>
      <w:pPr>
        <w:pStyle w:val="ListBullet"/>
        <w:ind w:left="0"/>
      </w:pPr>
      <w:r>
        <w:t>Immutable simulation inputs; each strategy gets a fresh simulation state.</w:t>
      </w:r>
    </w:p>
    <w:p>
      <w:pPr>
        <w:pStyle w:val="ListBullet"/>
        <w:ind w:left="0"/>
      </w:pPr>
      <w:r>
        <w:t>Calendar-month boundaries are explicit state transitions.</w:t>
      </w:r>
    </w:p>
    <w:p>
      <w:pPr>
        <w:pStyle w:val="ListBullet"/>
        <w:ind w:left="0"/>
      </w:pPr>
      <w:r>
        <w:t>UI displays formatted results, never recomputes business rules.</w:t>
      </w:r>
    </w:p>
    <w:p>
      <w:pPr>
        <w:pStyle w:val="Heading1"/>
      </w:pPr>
      <w:r>
        <w:t>4. Users &amp; Primary User Journeys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Persona</w:t>
            </w:r>
          </w:p>
        </w:tc>
        <w:tc>
          <w:tcPr>
            <w:tcW w:type="dxa" w:w="3360"/>
            <w:shd w:fill="3B205C"/>
            <w:vAlign w:val="center"/>
          </w:tcPr>
          <w:p>
            <w:r/>
            <w:r>
              <w:rPr>
                <w:rFonts w:ascii="Aptos" w:hAnsi="Aptos"/>
                <w:b/>
                <w:color w:val="FFFFFF"/>
                <w:sz w:val="16"/>
              </w:rPr>
              <w:t>Need</w:t>
            </w:r>
          </w:p>
        </w:tc>
        <w:tc>
          <w:tcPr>
            <w:tcW w:type="dxa" w:w="3360"/>
            <w:shd w:fill="3B205C"/>
            <w:vAlign w:val="center"/>
          </w:tcPr>
          <w:p>
            <w:r/>
            <w:r>
              <w:rPr>
                <w:rFonts w:ascii="Aptos" w:hAnsi="Aptos"/>
                <w:b/>
                <w:color w:val="FFFFFF"/>
                <w:sz w:val="16"/>
              </w:rPr>
              <w:t>Key journey</w:t>
            </w:r>
          </w:p>
        </w:tc>
      </w:tr>
      <w:tr>
        <w:tc>
          <w:tcPr>
            <w:tcW w:type="dxa" w:w="3360"/>
            <w:shd w:fill="F5F4F7"/>
            <w:vAlign w:val="center"/>
          </w:tcPr>
          <w:p>
            <w:r/>
            <w:r>
              <w:rPr>
                <w:rFonts w:ascii="Aptos" w:hAnsi="Aptos"/>
                <w:b w:val="0"/>
                <w:color w:val="22222A"/>
                <w:sz w:val="16"/>
              </w:rPr>
              <w:t>Household user</w:t>
            </w:r>
          </w:p>
        </w:tc>
        <w:tc>
          <w:tcPr>
            <w:tcW w:type="dxa" w:w="3360"/>
            <w:shd w:fill="F5F4F7"/>
            <w:vAlign w:val="center"/>
          </w:tcPr>
          <w:p>
            <w:r/>
            <w:r>
              <w:rPr>
                <w:rFonts w:ascii="Aptos" w:hAnsi="Aptos"/>
                <w:b w:val="0"/>
                <w:color w:val="22222A"/>
                <w:sz w:val="16"/>
              </w:rPr>
              <w:t>Know balance, depletion date, and how much to recharge.</w:t>
            </w:r>
          </w:p>
        </w:tc>
        <w:tc>
          <w:tcPr>
            <w:tcW w:type="dxa" w:w="3360"/>
            <w:shd w:fill="F5F4F7"/>
            <w:vAlign w:val="center"/>
          </w:tcPr>
          <w:p>
            <w:r/>
            <w:r>
              <w:rPr>
                <w:rFonts w:ascii="Aptos" w:hAnsi="Aptos"/>
                <w:b w:val="0"/>
                <w:color w:val="22222A"/>
                <w:sz w:val="16"/>
              </w:rPr>
              <w:t>Select case → view balance → inspect forecast → enter/accept target date → see required recharge and breakdown.</w:t>
            </w:r>
          </w:p>
        </w:tc>
      </w:tr>
      <w:tr>
        <w:tc>
          <w:tcPr>
            <w:tcW w:type="dxa" w:w="3360"/>
            <w:vAlign w:val="center"/>
          </w:tcPr>
          <w:p>
            <w:r/>
            <w:r>
              <w:rPr>
                <w:rFonts w:ascii="Aptos" w:hAnsi="Aptos"/>
                <w:b w:val="0"/>
                <w:color w:val="22222A"/>
                <w:sz w:val="16"/>
              </w:rPr>
              <w:t>Judge / reviewer</w:t>
            </w:r>
          </w:p>
        </w:tc>
        <w:tc>
          <w:tcPr>
            <w:tcW w:type="dxa" w:w="3360"/>
            <w:vAlign w:val="center"/>
          </w:tcPr>
          <w:p>
            <w:r/>
            <w:r>
              <w:rPr>
                <w:rFonts w:ascii="Aptos" w:hAnsi="Aptos"/>
                <w:b w:val="0"/>
                <w:color w:val="22222A"/>
                <w:sz w:val="16"/>
              </w:rPr>
              <w:t>Verify that all challenge requirements are implemented.</w:t>
            </w:r>
          </w:p>
        </w:tc>
        <w:tc>
          <w:tcPr>
            <w:tcW w:type="dxa" w:w="3360"/>
            <w:vAlign w:val="center"/>
          </w:tcPr>
          <w:p>
            <w:r/>
            <w:r>
              <w:rPr>
                <w:rFonts w:ascii="Aptos" w:hAnsi="Aptos"/>
                <w:b w:val="0"/>
                <w:color w:val="22222A"/>
                <w:sz w:val="16"/>
              </w:rPr>
              <w:t>Open case → inspect daily ledger → open strategy comparison → verify same consumption/slab basis → review exact cost difference.</w:t>
            </w:r>
          </w:p>
        </w:tc>
      </w:tr>
      <w:tr>
        <w:tc>
          <w:tcPr>
            <w:tcW w:type="dxa" w:w="3360"/>
            <w:shd w:fill="F5F4F7"/>
            <w:vAlign w:val="center"/>
          </w:tcPr>
          <w:p>
            <w:r/>
            <w:r>
              <w:rPr>
                <w:rFonts w:ascii="Aptos" w:hAnsi="Aptos"/>
                <w:b w:val="0"/>
                <w:color w:val="22222A"/>
                <w:sz w:val="16"/>
              </w:rPr>
              <w:t>Developer / maintainer</w:t>
            </w:r>
          </w:p>
        </w:tc>
        <w:tc>
          <w:tcPr>
            <w:tcW w:type="dxa" w:w="3360"/>
            <w:shd w:fill="F5F4F7"/>
            <w:vAlign w:val="center"/>
          </w:tcPr>
          <w:p>
            <w:r/>
            <w:r>
              <w:rPr>
                <w:rFonts w:ascii="Aptos" w:hAnsi="Aptos"/>
                <w:b w:val="0"/>
                <w:color w:val="22222A"/>
                <w:sz w:val="16"/>
              </w:rPr>
              <w:t>Trust the engine and diagnose edge cases.</w:t>
            </w:r>
          </w:p>
        </w:tc>
        <w:tc>
          <w:tcPr>
            <w:tcW w:type="dxa" w:w="3360"/>
            <w:shd w:fill="F5F4F7"/>
            <w:vAlign w:val="center"/>
          </w:tcPr>
          <w:p>
            <w:r/>
            <w:r>
              <w:rPr>
                <w:rFonts w:ascii="Aptos" w:hAnsi="Aptos"/>
                <w:b w:val="0"/>
                <w:color w:val="22222A"/>
                <w:sz w:val="16"/>
              </w:rPr>
              <w:t>Open simulation details → inspect inputs and tariff version → reproduce calculations from case data.</w:t>
            </w:r>
          </w:p>
        </w:tc>
      </w:tr>
    </w:tbl>
    <w:p>
      <w:pPr>
        <w:spacing w:after="20"/>
      </w:pPr>
    </w:p>
    <w:p>
      <w:pPr>
        <w:pStyle w:val="Heading1"/>
      </w:pPr>
      <w:r>
        <w:t>5. Product Scope &amp;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Screen</w:t>
            </w:r>
          </w:p>
        </w:tc>
        <w:tc>
          <w:tcPr>
            <w:tcW w:type="dxa" w:w="3360"/>
            <w:shd w:fill="3B205C"/>
            <w:vAlign w:val="center"/>
          </w:tcPr>
          <w:p>
            <w:r/>
            <w:r>
              <w:rPr>
                <w:rFonts w:ascii="Aptos" w:hAnsi="Aptos"/>
                <w:b/>
                <w:color w:val="FFFFFF"/>
                <w:sz w:val="16"/>
              </w:rPr>
              <w:t>Purpose</w:t>
            </w:r>
          </w:p>
        </w:tc>
        <w:tc>
          <w:tcPr>
            <w:tcW w:type="dxa" w:w="3360"/>
            <w:shd w:fill="3B205C"/>
            <w:vAlign w:val="center"/>
          </w:tcPr>
          <w:p>
            <w:r/>
            <w:r>
              <w:rPr>
                <w:rFonts w:ascii="Aptos" w:hAnsi="Aptos"/>
                <w:b/>
                <w:color w:val="FFFFFF"/>
                <w:sz w:val="16"/>
              </w:rPr>
              <w:t>Must-have elements</w:t>
            </w:r>
          </w:p>
        </w:tc>
      </w:tr>
      <w:tr>
        <w:tc>
          <w:tcPr>
            <w:tcW w:type="dxa" w:w="3360"/>
            <w:shd w:fill="F5F4F7"/>
            <w:vAlign w:val="center"/>
          </w:tcPr>
          <w:p>
            <w:r/>
            <w:r>
              <w:rPr>
                <w:rFonts w:ascii="Aptos" w:hAnsi="Aptos"/>
                <w:b w:val="0"/>
                <w:color w:val="22222A"/>
                <w:sz w:val="16"/>
              </w:rPr>
              <w:t>Overview / Dashboard</w:t>
            </w:r>
          </w:p>
        </w:tc>
        <w:tc>
          <w:tcPr>
            <w:tcW w:type="dxa" w:w="3360"/>
            <w:shd w:fill="F5F4F7"/>
            <w:vAlign w:val="center"/>
          </w:tcPr>
          <w:p>
            <w:r/>
            <w:r>
              <w:rPr>
                <w:rFonts w:ascii="Aptos" w:hAnsi="Aptos"/>
                <w:b w:val="0"/>
                <w:color w:val="22222A"/>
                <w:sz w:val="16"/>
              </w:rPr>
              <w:t>Fast answer to “Where am I now?”</w:t>
            </w:r>
          </w:p>
        </w:tc>
        <w:tc>
          <w:tcPr>
            <w:tcW w:type="dxa" w:w="3360"/>
            <w:shd w:fill="F5F4F7"/>
            <w:vAlign w:val="center"/>
          </w:tcPr>
          <w:p>
            <w:r/>
            <w:r>
              <w:rPr>
                <w:rFonts w:ascii="Aptos" w:hAnsi="Aptos"/>
                <w:b w:val="0"/>
                <w:color w:val="22222A"/>
                <w:sz w:val="16"/>
              </w:rPr>
              <w:t>Current balance, last reading, usual daily units, depletion estimate, target-date recommendation, quick actions.</w:t>
            </w:r>
          </w:p>
        </w:tc>
      </w:tr>
      <w:tr>
        <w:tc>
          <w:tcPr>
            <w:tcW w:type="dxa" w:w="3360"/>
            <w:vAlign w:val="center"/>
          </w:tcPr>
          <w:p>
            <w:r/>
            <w:r>
              <w:rPr>
                <w:rFonts w:ascii="Aptos" w:hAnsi="Aptos"/>
                <w:b w:val="0"/>
                <w:color w:val="22222A"/>
                <w:sz w:val="16"/>
              </w:rPr>
              <w:t>Meter Simulation</w:t>
            </w:r>
          </w:p>
        </w:tc>
        <w:tc>
          <w:tcPr>
            <w:tcW w:type="dxa" w:w="3360"/>
            <w:vAlign w:val="center"/>
          </w:tcPr>
          <w:p>
            <w:r/>
            <w:r>
              <w:rPr>
                <w:rFonts w:ascii="Aptos" w:hAnsi="Aptos"/>
                <w:b w:val="0"/>
                <w:color w:val="22222A"/>
                <w:sz w:val="16"/>
              </w:rPr>
              <w:t>Audit the day-by-day calculation</w:t>
            </w:r>
          </w:p>
        </w:tc>
        <w:tc>
          <w:tcPr>
            <w:tcW w:type="dxa" w:w="3360"/>
            <w:vAlign w:val="center"/>
          </w:tcPr>
          <w:p>
            <w:r/>
            <w:r>
              <w:rPr>
                <w:rFonts w:ascii="Aptos" w:hAnsi="Aptos"/>
                <w:b w:val="0"/>
                <w:color w:val="22222A"/>
                <w:sz w:val="16"/>
              </w:rPr>
              <w:t>Balance line chart, recharge markers, daily ledger, monthly slab counter, energy/fixed/VAT columns.</w:t>
            </w:r>
          </w:p>
        </w:tc>
      </w:tr>
      <w:tr>
        <w:tc>
          <w:tcPr>
            <w:tcW w:type="dxa" w:w="3360"/>
            <w:shd w:fill="F5F4F7"/>
            <w:vAlign w:val="center"/>
          </w:tcPr>
          <w:p>
            <w:r/>
            <w:r>
              <w:rPr>
                <w:rFonts w:ascii="Aptos" w:hAnsi="Aptos"/>
                <w:b w:val="0"/>
                <w:color w:val="22222A"/>
                <w:sz w:val="16"/>
              </w:rPr>
              <w:t>Recharge Advisor</w:t>
            </w:r>
          </w:p>
        </w:tc>
        <w:tc>
          <w:tcPr>
            <w:tcW w:type="dxa" w:w="3360"/>
            <w:shd w:fill="F5F4F7"/>
            <w:vAlign w:val="center"/>
          </w:tcPr>
          <w:p>
            <w:r/>
            <w:r>
              <w:rPr>
                <w:rFonts w:ascii="Aptos" w:hAnsi="Aptos"/>
                <w:b w:val="0"/>
                <w:color w:val="22222A"/>
                <w:sz w:val="16"/>
              </w:rPr>
              <w:t>Answer both family questions</w:t>
            </w:r>
          </w:p>
        </w:tc>
        <w:tc>
          <w:tcPr>
            <w:tcW w:type="dxa" w:w="3360"/>
            <w:shd w:fill="F5F4F7"/>
            <w:vAlign w:val="center"/>
          </w:tcPr>
          <w:p>
            <w:r/>
            <w:r>
              <w:rPr>
                <w:rFonts w:ascii="Aptos" w:hAnsi="Aptos"/>
                <w:b w:val="0"/>
                <w:color w:val="22222A"/>
                <w:sz w:val="16"/>
              </w:rPr>
              <w:t>Depletion date, target date input, required recharge, four-part breakdown, confidence/assumption note.</w:t>
            </w:r>
          </w:p>
        </w:tc>
      </w:tr>
      <w:tr>
        <w:tc>
          <w:tcPr>
            <w:tcW w:type="dxa" w:w="3360"/>
            <w:vAlign w:val="center"/>
          </w:tcPr>
          <w:p>
            <w:r/>
            <w:r>
              <w:rPr>
                <w:rFonts w:ascii="Aptos" w:hAnsi="Aptos"/>
                <w:b w:val="0"/>
                <w:color w:val="22222A"/>
                <w:sz w:val="16"/>
              </w:rPr>
              <w:t>Habit Comparison</w:t>
            </w:r>
          </w:p>
        </w:tc>
        <w:tc>
          <w:tcPr>
            <w:tcW w:type="dxa" w:w="3360"/>
            <w:vAlign w:val="center"/>
          </w:tcPr>
          <w:p>
            <w:r/>
            <w:r>
              <w:rPr>
                <w:rFonts w:ascii="Aptos" w:hAnsi="Aptos"/>
                <w:b w:val="0"/>
                <w:color w:val="22222A"/>
                <w:sz w:val="16"/>
              </w:rPr>
              <w:t>Compare the two mandated strategies</w:t>
            </w:r>
          </w:p>
        </w:tc>
        <w:tc>
          <w:tcPr>
            <w:tcW w:type="dxa" w:w="3360"/>
            <w:vAlign w:val="center"/>
          </w:tcPr>
          <w:p>
            <w:r/>
            <w:r>
              <w:rPr>
                <w:rFonts w:ascii="Aptos" w:hAnsi="Aptos"/>
                <w:b w:val="0"/>
                <w:color w:val="22222A"/>
                <w:sz w:val="16"/>
              </w:rPr>
              <w:t>Three-month selector, identical-consumption notice, low-balance vs monthly cards, total meter cost, difference, explanation of fixed-charge-only variance.</w:t>
            </w:r>
          </w:p>
        </w:tc>
      </w:tr>
      <w:tr>
        <w:tc>
          <w:tcPr>
            <w:tcW w:type="dxa" w:w="3360"/>
            <w:shd w:fill="F5F4F7"/>
            <w:vAlign w:val="center"/>
          </w:tcPr>
          <w:p>
            <w:r/>
            <w:r>
              <w:rPr>
                <w:rFonts w:ascii="Aptos" w:hAnsi="Aptos"/>
                <w:b w:val="0"/>
                <w:color w:val="22222A"/>
                <w:sz w:val="16"/>
              </w:rPr>
              <w:t>Case / Data view</w:t>
            </w:r>
          </w:p>
        </w:tc>
        <w:tc>
          <w:tcPr>
            <w:tcW w:type="dxa" w:w="3360"/>
            <w:shd w:fill="F5F4F7"/>
            <w:vAlign w:val="center"/>
          </w:tcPr>
          <w:p>
            <w:r/>
            <w:r>
              <w:rPr>
                <w:rFonts w:ascii="Aptos" w:hAnsi="Aptos"/>
                <w:b w:val="0"/>
                <w:color w:val="22222A"/>
                <w:sz w:val="16"/>
              </w:rPr>
              <w:t>Show source data and validation</w:t>
            </w:r>
          </w:p>
        </w:tc>
        <w:tc>
          <w:tcPr>
            <w:tcW w:type="dxa" w:w="3360"/>
            <w:shd w:fill="F5F4F7"/>
            <w:vAlign w:val="center"/>
          </w:tcPr>
          <w:p>
            <w:r/>
            <w:r>
              <w:rPr>
                <w:rFonts w:ascii="Aptos" w:hAnsi="Aptos"/>
                <w:b w:val="0"/>
                <w:color w:val="22222A"/>
                <w:sz w:val="16"/>
              </w:rPr>
              <w:t>Case ID, opening balance, date range, recharge list, validation status, source information.</w:t>
            </w:r>
          </w:p>
        </w:tc>
      </w:tr>
    </w:tbl>
    <w:p>
      <w:pPr>
        <w:spacing w:after="20"/>
      </w:pPr>
    </w:p>
    <w:p>
      <w:pPr>
        <w:pStyle w:val="Heading2"/>
      </w:pPr>
      <w:r>
        <w:t>Navigation</w:t>
      </w:r>
    </w:p>
    <w:p>
      <w:r>
        <w:t>Desktop: compact left navigation with Overview, Simulation, Advisor, Comparison, and Case Data. Mobile: bottom navigation or a collapsible menu. The active route should be visually distinct without bright neon UI.</w:t>
      </w:r>
    </w:p>
    <w:p>
      <w:pPr>
        <w:pStyle w:val="Heading1"/>
      </w:pPr>
      <w:r>
        <w:t>6. Detailed Functional Requirements</w:t>
      </w:r>
    </w:p>
    <w:p>
      <w:pPr>
        <w:pStyle w:val="Heading2"/>
      </w:pPr>
      <w:r>
        <w:t>FR-01 Case loading &amp; validation</w:t>
      </w:r>
    </w:p>
    <w:p>
      <w:pPr>
        <w:ind w:left="202" w:hanging="202"/>
      </w:pPr>
      <w:r>
        <w:rPr>
          <w:b/>
        </w:rPr>
        <w:t xml:space="preserve">1.  </w:t>
      </w:r>
      <w:r>
        <w:t>Load a selected case from the provided JSON file.</w:t>
      </w:r>
    </w:p>
    <w:p>
      <w:pPr>
        <w:ind w:left="202" w:hanging="202"/>
      </w:pPr>
      <w:r>
        <w:rPr>
          <w:b/>
        </w:rPr>
        <w:t xml:space="preserve">2.  </w:t>
      </w:r>
      <w:r>
        <w:t>Validate required fields: case_id, opening_balance_bdt, days, recharges, today, usual_daily_units, target_date, comparison.</w:t>
      </w:r>
    </w:p>
    <w:p>
      <w:pPr>
        <w:ind w:left="202" w:hanging="202"/>
      </w:pPr>
      <w:r>
        <w:rPr>
          <w:b/>
        </w:rPr>
        <w:t xml:space="preserve">3.  </w:t>
      </w:r>
      <w:r>
        <w:t>Validate that dates are consecutive and readings begin on the first day of a month.</w:t>
      </w:r>
    </w:p>
    <w:p>
      <w:pPr>
        <w:ind w:left="202" w:hanging="202"/>
      </w:pPr>
      <w:r>
        <w:rPr>
          <w:b/>
        </w:rPr>
        <w:t xml:space="preserve">4.  </w:t>
      </w:r>
      <w:r>
        <w:t>Validate that comparison months exist in the case and that required recharge amounts/thresholds are present.</w:t>
      </w:r>
    </w:p>
    <w:p>
      <w:pPr>
        <w:ind w:left="202" w:hanging="202"/>
      </w:pPr>
      <w:r>
        <w:rPr>
          <w:b/>
        </w:rPr>
        <w:t xml:space="preserve">5.  </w:t>
      </w:r>
      <w:r>
        <w:t>Flag but do not silently “repair” malformed source data.</w:t>
      </w:r>
    </w:p>
    <w:p>
      <w:pPr>
        <w:pStyle w:val="Heading2"/>
      </w:pPr>
      <w:r>
        <w:t>FR-02 Tariff configuration</w:t>
      </w:r>
    </w:p>
    <w:p>
      <w:pPr>
        <w:pStyle w:val="ListBullet"/>
        <w:ind w:left="0"/>
      </w:pPr>
      <w:r>
        <w:t>Store the challenge tariff as versioned configuration (e.g., tariff_v1.json) separate from case data.</w:t>
      </w:r>
    </w:p>
    <w:p>
      <w:pPr>
        <w:pStyle w:val="ListBullet"/>
        <w:ind w:left="0"/>
      </w:pPr>
      <w:r>
        <w:t>Represent unit slabs, demand charge, meter rent, VAT rule, and any other challenge-defined charge explicitly.</w:t>
      </w:r>
    </w:p>
    <w:p>
      <w:pPr>
        <w:pStyle w:val="ListBullet"/>
        <w:ind w:left="0"/>
      </w:pPr>
      <w:r>
        <w:t>Do not hard-code tariff values inside UI components.</w:t>
      </w:r>
    </w:p>
    <w:p>
      <w:pPr>
        <w:pStyle w:val="ListBullet"/>
        <w:ind w:left="0"/>
      </w:pPr>
      <w:r>
        <w:t>Expose tariff version and effective date in debug/details view so a judge can reproduce results.</w:t>
      </w:r>
    </w:p>
    <w:p>
      <w:pPr>
        <w:pStyle w:val="Heading2"/>
      </w:pPr>
      <w:r>
        <w:t>FR-03 Daily slab calculation</w:t>
      </w:r>
    </w:p>
    <w:p>
      <w:pPr>
        <w:pStyle w:val="ListBullet"/>
        <w:ind w:left="0"/>
      </w:pPr>
      <w:r>
        <w:t>Maintain a calendar-month running unit counter.</w:t>
      </w:r>
    </w:p>
    <w:p>
      <w:pPr>
        <w:pStyle w:val="ListBullet"/>
        <w:ind w:left="0"/>
      </w:pPr>
      <w:r>
        <w:t>At the start of each calendar month, reset the running counter to zero.</w:t>
      </w:r>
    </w:p>
    <w:p>
      <w:pPr>
        <w:pStyle w:val="ListBullet"/>
        <w:ind w:left="0"/>
      </w:pPr>
      <w:r>
        <w:t>Price each day’s units against the slab(s) reached by the monthly running total; if a day crosses a slab boundary, split the day’s units across the relevant slabs.</w:t>
      </w:r>
    </w:p>
    <w:p>
      <w:pPr>
        <w:pStyle w:val="ListBullet"/>
        <w:ind w:left="0"/>
      </w:pPr>
      <w:r>
        <w:t>Recharge events must not reset the monthly slab counter.</w:t>
      </w:r>
    </w:p>
    <w:p>
      <w:pPr>
        <w:pStyle w:val="Heading2"/>
      </w:pPr>
      <w:r>
        <w:t>FR-04 Recharge and fixed charges</w:t>
      </w:r>
    </w:p>
    <w:p>
      <w:pPr>
        <w:pStyle w:val="ListBullet"/>
        <w:ind w:left="0"/>
      </w:pPr>
      <w:r>
        <w:t>Apply recharge amounts on their recorded dates in the historical simulation.</w:t>
      </w:r>
    </w:p>
    <w:p>
      <w:pPr>
        <w:pStyle w:val="ListBullet"/>
        <w:ind w:left="0"/>
      </w:pPr>
      <w:r>
        <w:t>Apply demand charge and meter rent only on the first recharge of each calendar month, exactly as defined by the tariff specification.</w:t>
      </w:r>
    </w:p>
    <w:p>
      <w:pPr>
        <w:pStyle w:val="ListBullet"/>
        <w:ind w:left="0"/>
      </w:pPr>
      <w:r>
        <w:t>Track “first recharge of month” as simulation state; later recharges in the same month do not trigger the monthly fixed charge again.</w:t>
      </w:r>
    </w:p>
    <w:p>
      <w:pPr>
        <w:pStyle w:val="ListBullet"/>
        <w:ind w:left="0"/>
      </w:pPr>
      <w:r>
        <w:t>Keep deposited amount separate from meter-consumed cost.</w:t>
      </w:r>
    </w:p>
    <w:p>
      <w:pPr>
        <w:pStyle w:val="Heading2"/>
      </w:pPr>
      <w:r>
        <w:t>FR-05 VAT calculation</w:t>
      </w:r>
    </w:p>
    <w:p>
      <w:pPr>
        <w:pStyle w:val="ListBullet"/>
        <w:ind w:left="0"/>
      </w:pPr>
      <w:r>
        <w:t>Calculate VAT exactly according to the challenge tariff specification.</w:t>
      </w:r>
    </w:p>
    <w:p>
      <w:pPr>
        <w:pStyle w:val="ListBullet"/>
        <w:ind w:left="0"/>
      </w:pPr>
      <w:r>
        <w:t>Display VAT as a separate component in the daily ledger and advisor breakdown.</w:t>
      </w:r>
    </w:p>
    <w:p>
      <w:pPr>
        <w:pStyle w:val="ListBullet"/>
        <w:ind w:left="0"/>
      </w:pPr>
      <w:r>
        <w:t>Use money-safe arithmetic and defined rounding rules at the correct stage of calculation.</w:t>
      </w:r>
    </w:p>
    <w:p>
      <w:pPr>
        <w:pStyle w:val="Heading2"/>
      </w:pPr>
      <w:r>
        <w:t>FR-06 Balance reconstruction</w:t>
      </w:r>
    </w:p>
    <w:p>
      <w:pPr>
        <w:pStyle w:val="ListBullet"/>
        <w:ind w:left="0"/>
      </w:pPr>
      <w:r>
        <w:t>Start with opening balance before the first day.</w:t>
      </w:r>
    </w:p>
    <w:p>
      <w:pPr>
        <w:pStyle w:val="ListBullet"/>
        <w:ind w:left="0"/>
      </w:pPr>
      <w:r>
        <w:t>For each day: apply any recharge event(s), calculate daily meter consumption, calculate applicable fixed charges and VAT, deduct meter-consumed cost, and persist the resulting balance.</w:t>
      </w:r>
    </w:p>
    <w:p>
      <w:pPr>
        <w:pStyle w:val="ListBullet"/>
        <w:ind w:left="0"/>
      </w:pPr>
      <w:r>
        <w:t>Mark every recharge on the balance chart and transaction ledger.</w:t>
      </w:r>
    </w:p>
    <w:p>
      <w:pPr>
        <w:pStyle w:val="ListBullet"/>
        <w:ind w:left="0"/>
      </w:pPr>
      <w:r>
        <w:t>Never allow UI rounding to change the underlying balance state.</w:t>
      </w:r>
    </w:p>
    <w:p>
      <w:pPr>
        <w:pStyle w:val="Heading2"/>
      </w:pPr>
      <w:r>
        <w:t>FR-07 Depletion forecast</w:t>
      </w:r>
    </w:p>
    <w:p>
      <w:pPr>
        <w:pStyle w:val="ListBullet"/>
        <w:ind w:left="0"/>
      </w:pPr>
      <w:r>
        <w:t>Start from the reconstructed balance at today.</w:t>
      </w:r>
    </w:p>
    <w:p>
      <w:pPr>
        <w:pStyle w:val="ListBullet"/>
        <w:ind w:left="0"/>
      </w:pPr>
      <w:r>
        <w:t>Use the case’s usual_daily_units for future daily consumption unless the product explicitly exposes a what-if input.</w:t>
      </w:r>
    </w:p>
    <w:p>
      <w:pPr>
        <w:pStyle w:val="ListBullet"/>
        <w:ind w:left="0"/>
      </w:pPr>
      <w:r>
        <w:t>Continue daily simulation into future dates using the same tariff engine and monthly reset logic.</w:t>
      </w:r>
    </w:p>
    <w:p>
      <w:pPr>
        <w:pStyle w:val="ListBullet"/>
        <w:ind w:left="0"/>
      </w:pPr>
      <w:r>
        <w:t>Return the first date on which the balance is exhausted under the defined depletion convention.</w:t>
      </w:r>
    </w:p>
    <w:p>
      <w:pPr>
        <w:pStyle w:val="ListBullet"/>
        <w:ind w:left="0"/>
      </w:pPr>
      <w:r>
        <w:t>Show assumptions: current balance date, daily units, tariff version, and whether future recharges are assumed absent.</w:t>
      </w:r>
    </w:p>
    <w:p>
      <w:pPr>
        <w:pStyle w:val="Heading2"/>
      </w:pPr>
      <w:r>
        <w:t>FR-08 Target-date recharge</w:t>
      </w:r>
    </w:p>
    <w:p>
      <w:pPr>
        <w:pStyle w:val="ListBullet"/>
        <w:ind w:left="0"/>
      </w:pPr>
      <w:r>
        <w:t>Simulate from today through the configured target date.</w:t>
      </w:r>
    </w:p>
    <w:p>
      <w:pPr>
        <w:pStyle w:val="ListBullet"/>
        <w:ind w:left="0"/>
      </w:pPr>
      <w:r>
        <w:t>Determine the total future meter-consumed cost and compare it with today’s available balance.</w:t>
      </w:r>
    </w:p>
    <w:p>
      <w:pPr>
        <w:pStyle w:val="ListBullet"/>
        <w:ind w:left="0"/>
      </w:pPr>
      <w:r>
        <w:t>If balance is sufficient, required recharge is zero.</w:t>
      </w:r>
    </w:p>
    <w:p>
      <w:pPr>
        <w:pStyle w:val="ListBullet"/>
        <w:ind w:left="0"/>
      </w:pPr>
      <w:r>
        <w:t>If insufficient, required recharge equals the additional money that must be deposited today to keep the balance non-negative through the target date, following any challenge-defined rounding rule.</w:t>
      </w:r>
    </w:p>
    <w:p>
      <w:pPr>
        <w:pStyle w:val="ListBullet"/>
        <w:ind w:left="0"/>
      </w:pPr>
      <w:r>
        <w:t>Break the result into energy cost, higher-slab effect, fixed charges, and VAT.</w:t>
      </w:r>
    </w:p>
    <w:p>
      <w:pPr>
        <w:pStyle w:val="Heading2"/>
      </w:pPr>
      <w:r>
        <w:t>FR-09 Strategy comparison</w:t>
      </w:r>
    </w:p>
    <w:p>
      <w:pPr>
        <w:pStyle w:val="ListBullet"/>
        <w:ind w:left="0"/>
      </w:pPr>
      <w:r>
        <w:t>Run the low-balance and monthly strategies over the exact same three comparison months.</w:t>
      </w:r>
    </w:p>
    <w:p>
      <w:pPr>
        <w:pStyle w:val="ListBullet"/>
        <w:ind w:left="0"/>
      </w:pPr>
      <w:r>
        <w:t>Feed both simulations the exact same daily unit readings.</w:t>
      </w:r>
    </w:p>
    <w:p>
      <w:pPr>
        <w:pStyle w:val="ListBullet"/>
        <w:ind w:left="0"/>
      </w:pPr>
      <w:r>
        <w:t>Feed both simulations the exact same calendar-month slab-counter behavior.</w:t>
      </w:r>
    </w:p>
    <w:p>
      <w:pPr>
        <w:pStyle w:val="ListBullet"/>
        <w:ind w:left="0"/>
      </w:pPr>
      <w:r>
        <w:t>Apply the strategy-specific recharge event rules only to recharge timing/amount; never mutate consumption or slab progression to create savings.</w:t>
      </w:r>
    </w:p>
    <w:p>
      <w:pPr>
        <w:pStyle w:val="ListBullet"/>
        <w:ind w:left="0"/>
      </w:pPr>
      <w:r>
        <w:t>Report energy, fixed charges, VAT, total meter cost, deposits/recharges, and net difference separately.</w:t>
      </w:r>
    </w:p>
    <w:p>
      <w:pPr>
        <w:pStyle w:val="ListBullet"/>
        <w:ind w:left="0"/>
      </w:pPr>
      <w:r>
        <w:t>Allow an exact tie and display “Equal cost” rather than forcing a winner.</w:t>
      </w:r>
    </w:p>
    <w:p>
      <w:pPr>
        <w:pStyle w:val="Heading1"/>
      </w:pPr>
      <w:r>
        <w:t>7. Output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Output</w:t>
            </w:r>
          </w:p>
        </w:tc>
        <w:tc>
          <w:tcPr>
            <w:tcW w:type="dxa" w:w="3360"/>
            <w:shd w:fill="3B205C"/>
            <w:vAlign w:val="center"/>
          </w:tcPr>
          <w:p>
            <w:r/>
            <w:r>
              <w:rPr>
                <w:rFonts w:ascii="Aptos" w:hAnsi="Aptos"/>
                <w:b/>
                <w:color w:val="FFFFFF"/>
                <w:sz w:val="16"/>
              </w:rPr>
              <w:t>Definition</w:t>
            </w:r>
          </w:p>
        </w:tc>
        <w:tc>
          <w:tcPr>
            <w:tcW w:type="dxa" w:w="3360"/>
            <w:shd w:fill="3B205C"/>
            <w:vAlign w:val="center"/>
          </w:tcPr>
          <w:p>
            <w:r/>
            <w:r>
              <w:rPr>
                <w:rFonts w:ascii="Aptos" w:hAnsi="Aptos"/>
                <w:b/>
                <w:color w:val="FFFFFF"/>
                <w:sz w:val="16"/>
              </w:rPr>
              <w:t>UI treatment</w:t>
            </w:r>
          </w:p>
        </w:tc>
      </w:tr>
      <w:tr>
        <w:tc>
          <w:tcPr>
            <w:tcW w:type="dxa" w:w="3360"/>
            <w:shd w:fill="F5F4F7"/>
            <w:vAlign w:val="center"/>
          </w:tcPr>
          <w:p>
            <w:r/>
            <w:r>
              <w:rPr>
                <w:rFonts w:ascii="Aptos" w:hAnsi="Aptos"/>
                <w:b w:val="0"/>
                <w:color w:val="22222A"/>
                <w:sz w:val="16"/>
              </w:rPr>
              <w:t>Current balance</w:t>
            </w:r>
          </w:p>
        </w:tc>
        <w:tc>
          <w:tcPr>
            <w:tcW w:type="dxa" w:w="3360"/>
            <w:shd w:fill="F5F4F7"/>
            <w:vAlign w:val="center"/>
          </w:tcPr>
          <w:p>
            <w:r/>
            <w:r>
              <w:rPr>
                <w:rFonts w:ascii="Aptos" w:hAnsi="Aptos"/>
                <w:b w:val="0"/>
                <w:color w:val="22222A"/>
                <w:sz w:val="16"/>
              </w:rPr>
              <w:t>Latest simulated meter balance as of today.</w:t>
            </w:r>
          </w:p>
        </w:tc>
        <w:tc>
          <w:tcPr>
            <w:tcW w:type="dxa" w:w="3360"/>
            <w:shd w:fill="F5F4F7"/>
            <w:vAlign w:val="center"/>
          </w:tcPr>
          <w:p>
            <w:r/>
            <w:r>
              <w:rPr>
                <w:rFonts w:ascii="Aptos" w:hAnsi="Aptos"/>
                <w:b w:val="0"/>
                <w:color w:val="22222A"/>
                <w:sz w:val="16"/>
              </w:rPr>
              <w:t>Large primary KPI with date and status.</w:t>
            </w:r>
          </w:p>
        </w:tc>
      </w:tr>
      <w:tr>
        <w:tc>
          <w:tcPr>
            <w:tcW w:type="dxa" w:w="3360"/>
            <w:vAlign w:val="center"/>
          </w:tcPr>
          <w:p>
            <w:r/>
            <w:r>
              <w:rPr>
                <w:rFonts w:ascii="Aptos" w:hAnsi="Aptos"/>
                <w:b w:val="0"/>
                <w:color w:val="22222A"/>
                <w:sz w:val="16"/>
              </w:rPr>
              <w:t>Depletion date</w:t>
            </w:r>
          </w:p>
        </w:tc>
        <w:tc>
          <w:tcPr>
            <w:tcW w:type="dxa" w:w="3360"/>
            <w:vAlign w:val="center"/>
          </w:tcPr>
          <w:p>
            <w:r/>
            <w:r>
              <w:rPr>
                <w:rFonts w:ascii="Aptos" w:hAnsi="Aptos"/>
                <w:b w:val="0"/>
                <w:color w:val="22222A"/>
                <w:sz w:val="16"/>
              </w:rPr>
              <w:t>First future date at which projected balance is exhausted under stated assumptions.</w:t>
            </w:r>
          </w:p>
        </w:tc>
        <w:tc>
          <w:tcPr>
            <w:tcW w:type="dxa" w:w="3360"/>
            <w:vAlign w:val="center"/>
          </w:tcPr>
          <w:p>
            <w:r/>
            <w:r>
              <w:rPr>
                <w:rFonts w:ascii="Aptos" w:hAnsi="Aptos"/>
                <w:b w:val="0"/>
                <w:color w:val="22222A"/>
                <w:sz w:val="16"/>
              </w:rPr>
              <w:t>Highlighted forecast KPI + chart marker.</w:t>
            </w:r>
          </w:p>
        </w:tc>
      </w:tr>
      <w:tr>
        <w:tc>
          <w:tcPr>
            <w:tcW w:type="dxa" w:w="3360"/>
            <w:shd w:fill="F5F4F7"/>
            <w:vAlign w:val="center"/>
          </w:tcPr>
          <w:p>
            <w:r/>
            <w:r>
              <w:rPr>
                <w:rFonts w:ascii="Aptos" w:hAnsi="Aptos"/>
                <w:b w:val="0"/>
                <w:color w:val="22222A"/>
                <w:sz w:val="16"/>
              </w:rPr>
              <w:t>Required recharge today</w:t>
            </w:r>
          </w:p>
        </w:tc>
        <w:tc>
          <w:tcPr>
            <w:tcW w:type="dxa" w:w="3360"/>
            <w:shd w:fill="F5F4F7"/>
            <w:vAlign w:val="center"/>
          </w:tcPr>
          <w:p>
            <w:r/>
            <w:r>
              <w:rPr>
                <w:rFonts w:ascii="Aptos" w:hAnsi="Aptos"/>
                <w:b w:val="0"/>
                <w:color w:val="22222A"/>
                <w:sz w:val="16"/>
              </w:rPr>
              <w:t>Additional amount needed to remain funded through target date.</w:t>
            </w:r>
          </w:p>
        </w:tc>
        <w:tc>
          <w:tcPr>
            <w:tcW w:type="dxa" w:w="3360"/>
            <w:shd w:fill="F5F4F7"/>
            <w:vAlign w:val="center"/>
          </w:tcPr>
          <w:p>
            <w:r/>
            <w:r>
              <w:rPr>
                <w:rFonts w:ascii="Aptos" w:hAnsi="Aptos"/>
                <w:b w:val="0"/>
                <w:color w:val="22222A"/>
                <w:sz w:val="16"/>
              </w:rPr>
              <w:t>Primary CTA-style result; breakdown beneath.</w:t>
            </w:r>
          </w:p>
        </w:tc>
      </w:tr>
      <w:tr>
        <w:tc>
          <w:tcPr>
            <w:tcW w:type="dxa" w:w="3360"/>
            <w:vAlign w:val="center"/>
          </w:tcPr>
          <w:p>
            <w:r/>
            <w:r>
              <w:rPr>
                <w:rFonts w:ascii="Aptos" w:hAnsi="Aptos"/>
                <w:b w:val="0"/>
                <w:color w:val="22222A"/>
                <w:sz w:val="16"/>
              </w:rPr>
              <w:t>Energy cost</w:t>
            </w:r>
          </w:p>
        </w:tc>
        <w:tc>
          <w:tcPr>
            <w:tcW w:type="dxa" w:w="3360"/>
            <w:vAlign w:val="center"/>
          </w:tcPr>
          <w:p>
            <w:r/>
            <w:r>
              <w:rPr>
                <w:rFonts w:ascii="Aptos" w:hAnsi="Aptos"/>
                <w:b w:val="0"/>
                <w:color w:val="22222A"/>
                <w:sz w:val="16"/>
              </w:rPr>
              <w:t>Meter-consumed energy charge from daily units/slabs.</w:t>
            </w:r>
          </w:p>
        </w:tc>
        <w:tc>
          <w:tcPr>
            <w:tcW w:type="dxa" w:w="3360"/>
            <w:vAlign w:val="center"/>
          </w:tcPr>
          <w:p>
            <w:r/>
            <w:r>
              <w:rPr>
                <w:rFonts w:ascii="Aptos" w:hAnsi="Aptos"/>
                <w:b w:val="0"/>
                <w:color w:val="22222A"/>
                <w:sz w:val="16"/>
              </w:rPr>
              <w:t>Cost card + ledger column.</w:t>
            </w:r>
          </w:p>
        </w:tc>
      </w:tr>
      <w:tr>
        <w:tc>
          <w:tcPr>
            <w:tcW w:type="dxa" w:w="3360"/>
            <w:shd w:fill="F5F4F7"/>
            <w:vAlign w:val="center"/>
          </w:tcPr>
          <w:p>
            <w:r/>
            <w:r>
              <w:rPr>
                <w:rFonts w:ascii="Aptos" w:hAnsi="Aptos"/>
                <w:b w:val="0"/>
                <w:color w:val="22222A"/>
                <w:sz w:val="16"/>
              </w:rPr>
              <w:t>Higher-slab effect</w:t>
            </w:r>
          </w:p>
        </w:tc>
        <w:tc>
          <w:tcPr>
            <w:tcW w:type="dxa" w:w="3360"/>
            <w:shd w:fill="F5F4F7"/>
            <w:vAlign w:val="center"/>
          </w:tcPr>
          <w:p>
            <w:r/>
            <w:r>
              <w:rPr>
                <w:rFonts w:ascii="Aptos" w:hAnsi="Aptos"/>
                <w:b w:val="0"/>
                <w:color w:val="22222A"/>
                <w:sz w:val="16"/>
              </w:rPr>
              <w:t>Increment attributable to units priced above the baseline/lower slab basis used by the challenge breakdown.</w:t>
            </w:r>
          </w:p>
        </w:tc>
        <w:tc>
          <w:tcPr>
            <w:tcW w:type="dxa" w:w="3360"/>
            <w:shd w:fill="F5F4F7"/>
            <w:vAlign w:val="center"/>
          </w:tcPr>
          <w:p>
            <w:r/>
            <w:r>
              <w:rPr>
                <w:rFonts w:ascii="Aptos" w:hAnsi="Aptos"/>
                <w:b w:val="0"/>
                <w:color w:val="22222A"/>
                <w:sz w:val="16"/>
              </w:rPr>
              <w:t>Separate breakdown row with tooltip methodology.</w:t>
            </w:r>
          </w:p>
        </w:tc>
      </w:tr>
      <w:tr>
        <w:tc>
          <w:tcPr>
            <w:tcW w:type="dxa" w:w="3360"/>
            <w:vAlign w:val="center"/>
          </w:tcPr>
          <w:p>
            <w:r/>
            <w:r>
              <w:rPr>
                <w:rFonts w:ascii="Aptos" w:hAnsi="Aptos"/>
                <w:b w:val="0"/>
                <w:color w:val="22222A"/>
                <w:sz w:val="16"/>
              </w:rPr>
              <w:t>Fixed charges</w:t>
            </w:r>
          </w:p>
        </w:tc>
        <w:tc>
          <w:tcPr>
            <w:tcW w:type="dxa" w:w="3360"/>
            <w:vAlign w:val="center"/>
          </w:tcPr>
          <w:p>
            <w:r/>
            <w:r>
              <w:rPr>
                <w:rFonts w:ascii="Aptos" w:hAnsi="Aptos"/>
                <w:b w:val="0"/>
                <w:color w:val="22222A"/>
                <w:sz w:val="16"/>
              </w:rPr>
              <w:t>Applicable monthly first-recharge demand charge + meter rent.</w:t>
            </w:r>
          </w:p>
        </w:tc>
        <w:tc>
          <w:tcPr>
            <w:tcW w:type="dxa" w:w="3360"/>
            <w:vAlign w:val="center"/>
          </w:tcPr>
          <w:p>
            <w:r/>
            <w:r>
              <w:rPr>
                <w:rFonts w:ascii="Aptos" w:hAnsi="Aptos"/>
                <w:b w:val="0"/>
                <w:color w:val="22222A"/>
                <w:sz w:val="16"/>
              </w:rPr>
              <w:t>Separate card/ledger column.</w:t>
            </w:r>
          </w:p>
        </w:tc>
      </w:tr>
      <w:tr>
        <w:tc>
          <w:tcPr>
            <w:tcW w:type="dxa" w:w="3360"/>
            <w:shd w:fill="F5F4F7"/>
            <w:vAlign w:val="center"/>
          </w:tcPr>
          <w:p>
            <w:r/>
            <w:r>
              <w:rPr>
                <w:rFonts w:ascii="Aptos" w:hAnsi="Aptos"/>
                <w:b w:val="0"/>
                <w:color w:val="22222A"/>
                <w:sz w:val="16"/>
              </w:rPr>
              <w:t>VAT</w:t>
            </w:r>
          </w:p>
        </w:tc>
        <w:tc>
          <w:tcPr>
            <w:tcW w:type="dxa" w:w="3360"/>
            <w:shd w:fill="F5F4F7"/>
            <w:vAlign w:val="center"/>
          </w:tcPr>
          <w:p>
            <w:r/>
            <w:r>
              <w:rPr>
                <w:rFonts w:ascii="Aptos" w:hAnsi="Aptos"/>
                <w:b w:val="0"/>
                <w:color w:val="22222A"/>
                <w:sz w:val="16"/>
              </w:rPr>
              <w:t>Tax amount calculated under the challenge rule.</w:t>
            </w:r>
          </w:p>
        </w:tc>
        <w:tc>
          <w:tcPr>
            <w:tcW w:type="dxa" w:w="3360"/>
            <w:shd w:fill="F5F4F7"/>
            <w:vAlign w:val="center"/>
          </w:tcPr>
          <w:p>
            <w:r/>
            <w:r>
              <w:rPr>
                <w:rFonts w:ascii="Aptos" w:hAnsi="Aptos"/>
                <w:b w:val="0"/>
                <w:color w:val="22222A"/>
                <w:sz w:val="16"/>
              </w:rPr>
              <w:t>Separate breakdown row.</w:t>
            </w:r>
          </w:p>
        </w:tc>
      </w:tr>
      <w:tr>
        <w:tc>
          <w:tcPr>
            <w:tcW w:type="dxa" w:w="3360"/>
            <w:vAlign w:val="center"/>
          </w:tcPr>
          <w:p>
            <w:r/>
            <w:r>
              <w:rPr>
                <w:rFonts w:ascii="Aptos" w:hAnsi="Aptos"/>
                <w:b w:val="0"/>
                <w:color w:val="22222A"/>
                <w:sz w:val="16"/>
              </w:rPr>
              <w:t>Recharge/deposit</w:t>
            </w:r>
          </w:p>
        </w:tc>
        <w:tc>
          <w:tcPr>
            <w:tcW w:type="dxa" w:w="3360"/>
            <w:vAlign w:val="center"/>
          </w:tcPr>
          <w:p>
            <w:r/>
            <w:r>
              <w:rPr>
                <w:rFonts w:ascii="Aptos" w:hAnsi="Aptos"/>
                <w:b w:val="0"/>
                <w:color w:val="22222A"/>
                <w:sz w:val="16"/>
              </w:rPr>
              <w:t>Amount added to meter balance; not itself a “cost”.</w:t>
            </w:r>
          </w:p>
        </w:tc>
        <w:tc>
          <w:tcPr>
            <w:tcW w:type="dxa" w:w="3360"/>
            <w:vAlign w:val="center"/>
          </w:tcPr>
          <w:p>
            <w:r/>
            <w:r>
              <w:rPr>
                <w:rFonts w:ascii="Aptos" w:hAnsi="Aptos"/>
                <w:b w:val="0"/>
                <w:color w:val="22222A"/>
                <w:sz w:val="16"/>
              </w:rPr>
              <w:t>Separate transaction type and total.</w:t>
            </w:r>
          </w:p>
        </w:tc>
      </w:tr>
    </w:tbl>
    <w:p>
      <w:pPr>
        <w:spacing w:after="20"/>
      </w:pPr>
    </w:p>
    <w:p>
      <w:pPr>
        <w:pStyle w:val="Heading1"/>
      </w:pPr>
      <w:r>
        <w:t>8. UX / UI Design Requirements</w:t>
      </w:r>
    </w:p>
    <w:p>
      <w:pPr>
        <w:pStyle w:val="Heading2"/>
      </w:pPr>
      <w:r>
        <w:t>Visual direction</w:t>
      </w:r>
    </w:p>
    <w:p>
      <w:r>
        <w:t>The visual language should feel premium, technical, calm, and trustworthy. Avoid both extremes: no over-bright dashboard and no muddy/dull interface. Use a deep plum/navy foundation with warm neutral surfaces, an acid-lime or muted chart accent for attention, and warm gold only for secondary highlights. High-contrast text must remain readable.</w:t>
      </w:r>
    </w:p>
    <w:tbl>
      <w:tblPr>
        <w:tblStyle w:val="TableGrid"/>
        <w:tblW w:type="auto" w:w="0"/>
        <w:jc w:val="center"/>
        <w:tblLook w:firstColumn="1" w:firstRow="1" w:lastColumn="0" w:lastRow="0" w:noHBand="0" w:noVBand="1" w:val="04A0"/>
      </w:tblPr>
      <w:tblGrid>
        <w:gridCol w:w="5040"/>
        <w:gridCol w:w="5040"/>
      </w:tblGrid>
      <w:tr>
        <w:tc>
          <w:tcPr>
            <w:tcW w:type="dxa" w:w="5040"/>
            <w:shd w:fill="3B205C"/>
            <w:vAlign w:val="center"/>
          </w:tcPr>
          <w:p>
            <w:r/>
            <w:r>
              <w:rPr>
                <w:rFonts w:ascii="Aptos" w:hAnsi="Aptos"/>
                <w:b/>
                <w:color w:val="FFFFFF"/>
                <w:sz w:val="16"/>
              </w:rPr>
              <w:t>Area</w:t>
            </w:r>
          </w:p>
        </w:tc>
        <w:tc>
          <w:tcPr>
            <w:tcW w:type="dxa" w:w="5040"/>
            <w:shd w:fill="3B205C"/>
            <w:vAlign w:val="center"/>
          </w:tcPr>
          <w:p>
            <w:r/>
            <w:r>
              <w:rPr>
                <w:rFonts w:ascii="Aptos" w:hAnsi="Aptos"/>
                <w:b/>
                <w:color w:val="FFFFFF"/>
                <w:sz w:val="16"/>
              </w:rPr>
              <w:t>Requirement</w:t>
            </w:r>
          </w:p>
        </w:tc>
      </w:tr>
      <w:tr>
        <w:tc>
          <w:tcPr>
            <w:tcW w:type="dxa" w:w="5040"/>
            <w:shd w:fill="F5F4F7"/>
            <w:vAlign w:val="center"/>
          </w:tcPr>
          <w:p>
            <w:r/>
            <w:r>
              <w:rPr>
                <w:rFonts w:ascii="Aptos" w:hAnsi="Aptos"/>
                <w:b w:val="0"/>
                <w:color w:val="22222A"/>
                <w:sz w:val="16"/>
              </w:rPr>
              <w:t>Color</w:t>
            </w:r>
          </w:p>
        </w:tc>
        <w:tc>
          <w:tcPr>
            <w:tcW w:type="dxa" w:w="5040"/>
            <w:shd w:fill="F5F4F7"/>
            <w:vAlign w:val="center"/>
          </w:tcPr>
          <w:p>
            <w:r/>
            <w:r>
              <w:rPr>
                <w:rFonts w:ascii="Aptos" w:hAnsi="Aptos"/>
                <w:b w:val="0"/>
                <w:color w:val="22222A"/>
                <w:sz w:val="16"/>
              </w:rPr>
              <w:t>Primary: deep plum/navy. Surfaces: soft near-white or charcoal-plum. Accent: controlled lime/green for positive states. Secondary accent: muted gold. Avoid large saturated gradients.</w:t>
            </w:r>
          </w:p>
        </w:tc>
      </w:tr>
      <w:tr>
        <w:tc>
          <w:tcPr>
            <w:tcW w:type="dxa" w:w="5040"/>
            <w:vAlign w:val="center"/>
          </w:tcPr>
          <w:p>
            <w:r/>
            <w:r>
              <w:rPr>
                <w:rFonts w:ascii="Aptos" w:hAnsi="Aptos"/>
                <w:b w:val="0"/>
                <w:color w:val="22222A"/>
                <w:sz w:val="16"/>
              </w:rPr>
              <w:t>Typography</w:t>
            </w:r>
          </w:p>
        </w:tc>
        <w:tc>
          <w:tcPr>
            <w:tcW w:type="dxa" w:w="5040"/>
            <w:vAlign w:val="center"/>
          </w:tcPr>
          <w:p>
            <w:r/>
            <w:r>
              <w:rPr>
                <w:rFonts w:ascii="Aptos" w:hAnsi="Aptos"/>
                <w:b w:val="0"/>
                <w:color w:val="22222A"/>
                <w:sz w:val="16"/>
              </w:rPr>
              <w:t>Clean modern sans serif; strong hierarchy; tabular/monospaced numbers for balances and financial values.</w:t>
            </w:r>
          </w:p>
        </w:tc>
      </w:tr>
      <w:tr>
        <w:tc>
          <w:tcPr>
            <w:tcW w:type="dxa" w:w="5040"/>
            <w:shd w:fill="F5F4F7"/>
            <w:vAlign w:val="center"/>
          </w:tcPr>
          <w:p>
            <w:r/>
            <w:r>
              <w:rPr>
                <w:rFonts w:ascii="Aptos" w:hAnsi="Aptos"/>
                <w:b w:val="0"/>
                <w:color w:val="22222A"/>
                <w:sz w:val="16"/>
              </w:rPr>
              <w:t>Cards</w:t>
            </w:r>
          </w:p>
        </w:tc>
        <w:tc>
          <w:tcPr>
            <w:tcW w:type="dxa" w:w="5040"/>
            <w:shd w:fill="F5F4F7"/>
            <w:vAlign w:val="center"/>
          </w:tcPr>
          <w:p>
            <w:r/>
            <w:r>
              <w:rPr>
                <w:rFonts w:ascii="Aptos" w:hAnsi="Aptos"/>
                <w:b w:val="0"/>
                <w:color w:val="22222A"/>
                <w:sz w:val="16"/>
              </w:rPr>
              <w:t>Rounded but not playful; consistent border radius, subtle shadow, clear spacing.</w:t>
            </w:r>
          </w:p>
        </w:tc>
      </w:tr>
      <w:tr>
        <w:tc>
          <w:tcPr>
            <w:tcW w:type="dxa" w:w="5040"/>
            <w:vAlign w:val="center"/>
          </w:tcPr>
          <w:p>
            <w:r/>
            <w:r>
              <w:rPr>
                <w:rFonts w:ascii="Aptos" w:hAnsi="Aptos"/>
                <w:b w:val="0"/>
                <w:color w:val="22222A"/>
                <w:sz w:val="16"/>
              </w:rPr>
              <w:t>Charts</w:t>
            </w:r>
          </w:p>
        </w:tc>
        <w:tc>
          <w:tcPr>
            <w:tcW w:type="dxa" w:w="5040"/>
            <w:vAlign w:val="center"/>
          </w:tcPr>
          <w:p>
            <w:r/>
            <w:r>
              <w:rPr>
                <w:rFonts w:ascii="Aptos" w:hAnsi="Aptos"/>
                <w:b w:val="0"/>
                <w:color w:val="22222A"/>
                <w:sz w:val="16"/>
              </w:rPr>
              <w:t>Minimal grid, clear labels, hover tooltips, recharge markers, and a depletion/target marker.</w:t>
            </w:r>
          </w:p>
        </w:tc>
      </w:tr>
      <w:tr>
        <w:tc>
          <w:tcPr>
            <w:tcW w:type="dxa" w:w="5040"/>
            <w:shd w:fill="F5F4F7"/>
            <w:vAlign w:val="center"/>
          </w:tcPr>
          <w:p>
            <w:r/>
            <w:r>
              <w:rPr>
                <w:rFonts w:ascii="Aptos" w:hAnsi="Aptos"/>
                <w:b w:val="0"/>
                <w:color w:val="22222A"/>
                <w:sz w:val="16"/>
              </w:rPr>
              <w:t>Tables</w:t>
            </w:r>
          </w:p>
        </w:tc>
        <w:tc>
          <w:tcPr>
            <w:tcW w:type="dxa" w:w="5040"/>
            <w:shd w:fill="F5F4F7"/>
            <w:vAlign w:val="center"/>
          </w:tcPr>
          <w:p>
            <w:r/>
            <w:r>
              <w:rPr>
                <w:rFonts w:ascii="Aptos" w:hAnsi="Aptos"/>
                <w:b w:val="0"/>
                <w:color w:val="22222A"/>
                <w:sz w:val="16"/>
              </w:rPr>
              <w:t>Sticky headers on desktop; responsive card/table transformation on mobile.</w:t>
            </w:r>
          </w:p>
        </w:tc>
      </w:tr>
      <w:tr>
        <w:tc>
          <w:tcPr>
            <w:tcW w:type="dxa" w:w="5040"/>
            <w:vAlign w:val="center"/>
          </w:tcPr>
          <w:p>
            <w:r/>
            <w:r>
              <w:rPr>
                <w:rFonts w:ascii="Aptos" w:hAnsi="Aptos"/>
                <w:b w:val="0"/>
                <w:color w:val="22222A"/>
                <w:sz w:val="16"/>
              </w:rPr>
              <w:t>3D</w:t>
            </w:r>
          </w:p>
        </w:tc>
        <w:tc>
          <w:tcPr>
            <w:tcW w:type="dxa" w:w="5040"/>
            <w:vAlign w:val="center"/>
          </w:tcPr>
          <w:p>
            <w:r/>
            <w:r>
              <w:rPr>
                <w:rFonts w:ascii="Aptos" w:hAnsi="Aptos"/>
                <w:b w:val="0"/>
                <w:color w:val="22222A"/>
                <w:sz w:val="16"/>
              </w:rPr>
              <w:t>One hero 3D meter object or layered depth treatment; optional subtle depth on balance card. 3D must degrade gracefully on low-power devices.</w:t>
            </w:r>
          </w:p>
        </w:tc>
      </w:tr>
      <w:tr>
        <w:tc>
          <w:tcPr>
            <w:tcW w:type="dxa" w:w="5040"/>
            <w:shd w:fill="F5F4F7"/>
            <w:vAlign w:val="center"/>
          </w:tcPr>
          <w:p>
            <w:r/>
            <w:r>
              <w:rPr>
                <w:rFonts w:ascii="Aptos" w:hAnsi="Aptos"/>
                <w:b w:val="0"/>
                <w:color w:val="22222A"/>
                <w:sz w:val="16"/>
              </w:rPr>
              <w:t>Motion</w:t>
            </w:r>
          </w:p>
        </w:tc>
        <w:tc>
          <w:tcPr>
            <w:tcW w:type="dxa" w:w="5040"/>
            <w:shd w:fill="F5F4F7"/>
            <w:vAlign w:val="center"/>
          </w:tcPr>
          <w:p>
            <w:r/>
            <w:r>
              <w:rPr>
                <w:rFonts w:ascii="Aptos" w:hAnsi="Aptos"/>
                <w:b w:val="0"/>
                <w:color w:val="22222A"/>
                <w:sz w:val="16"/>
              </w:rPr>
              <w:t>Short, purposeful transitions: number count-up, chart draw-in, card reveal, hover depth. Respect reduced-motion preference.</w:t>
            </w:r>
          </w:p>
        </w:tc>
      </w:tr>
      <w:tr>
        <w:tc>
          <w:tcPr>
            <w:tcW w:type="dxa" w:w="5040"/>
            <w:vAlign w:val="center"/>
          </w:tcPr>
          <w:p>
            <w:r/>
            <w:r>
              <w:rPr>
                <w:rFonts w:ascii="Aptos" w:hAnsi="Aptos"/>
                <w:b w:val="0"/>
                <w:color w:val="22222A"/>
                <w:sz w:val="16"/>
              </w:rPr>
              <w:t>Tone</w:t>
            </w:r>
          </w:p>
        </w:tc>
        <w:tc>
          <w:tcPr>
            <w:tcW w:type="dxa" w:w="5040"/>
            <w:vAlign w:val="center"/>
          </w:tcPr>
          <w:p>
            <w:r/>
            <w:r>
              <w:rPr>
                <w:rFonts w:ascii="Aptos" w:hAnsi="Aptos"/>
                <w:b w:val="0"/>
                <w:color w:val="22222A"/>
                <w:sz w:val="16"/>
              </w:rPr>
              <w:t>Financially trustworthy; avoid gamification that could make money figures feel decorative.</w:t>
            </w:r>
          </w:p>
        </w:tc>
      </w:tr>
    </w:tbl>
    <w:p>
      <w:pPr>
        <w:spacing w:after="20"/>
      </w:pPr>
    </w:p>
    <w:p>
      <w:pPr>
        <w:pStyle w:val="Heading2"/>
      </w:pPr>
      <w:r>
        <w:t>Suggested hero experience</w:t>
      </w:r>
    </w:p>
    <w:p>
      <w:r>
        <w:t>A stylized 3D prepaid meter cylinder/display sits behind a compact dashboard summary. Its visual state reflects balance health (normal / low / near-empty), while the actual numeric balance remains dominant and always readable. On page load, the 3D meter and KPI cards animate in once; after that, interactions remain fast and subtle.</w:t>
      </w:r>
    </w:p>
    <w:p>
      <w:pPr>
        <w:pStyle w:val="Heading1"/>
      </w:pPr>
      <w:r>
        <w:t>9. Technical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Layer</w:t>
            </w:r>
          </w:p>
        </w:tc>
        <w:tc>
          <w:tcPr>
            <w:tcW w:type="dxa" w:w="3360"/>
            <w:shd w:fill="3B205C"/>
            <w:vAlign w:val="center"/>
          </w:tcPr>
          <w:p>
            <w:r/>
            <w:r>
              <w:rPr>
                <w:rFonts w:ascii="Aptos" w:hAnsi="Aptos"/>
                <w:b/>
                <w:color w:val="FFFFFF"/>
                <w:sz w:val="16"/>
              </w:rPr>
              <w:t>Recommendation</w:t>
            </w:r>
          </w:p>
        </w:tc>
        <w:tc>
          <w:tcPr>
            <w:tcW w:type="dxa" w:w="3360"/>
            <w:shd w:fill="3B205C"/>
            <w:vAlign w:val="center"/>
          </w:tcPr>
          <w:p>
            <w:r/>
            <w:r>
              <w:rPr>
                <w:rFonts w:ascii="Aptos" w:hAnsi="Aptos"/>
                <w:b/>
                <w:color w:val="FFFFFF"/>
                <w:sz w:val="16"/>
              </w:rPr>
              <w:t>Rationale</w:t>
            </w:r>
          </w:p>
        </w:tc>
      </w:tr>
      <w:tr>
        <w:tc>
          <w:tcPr>
            <w:tcW w:type="dxa" w:w="3360"/>
            <w:shd w:fill="F5F4F7"/>
            <w:vAlign w:val="center"/>
          </w:tcPr>
          <w:p>
            <w:r/>
            <w:r>
              <w:rPr>
                <w:rFonts w:ascii="Aptos" w:hAnsi="Aptos"/>
                <w:b w:val="0"/>
                <w:color w:val="22222A"/>
                <w:sz w:val="16"/>
              </w:rPr>
              <w:t>Frontend</w:t>
            </w:r>
          </w:p>
        </w:tc>
        <w:tc>
          <w:tcPr>
            <w:tcW w:type="dxa" w:w="3360"/>
            <w:shd w:fill="F5F4F7"/>
            <w:vAlign w:val="center"/>
          </w:tcPr>
          <w:p>
            <w:r/>
            <w:r>
              <w:rPr>
                <w:rFonts w:ascii="Aptos" w:hAnsi="Aptos"/>
                <w:b w:val="0"/>
                <w:color w:val="22222A"/>
                <w:sz w:val="16"/>
              </w:rPr>
              <w:t>React + Vite + TypeScript + Tailwind CSS. Recharts or another lightweight chart library.</w:t>
            </w:r>
          </w:p>
        </w:tc>
        <w:tc>
          <w:tcPr>
            <w:tcW w:type="dxa" w:w="3360"/>
            <w:shd w:fill="F5F4F7"/>
            <w:vAlign w:val="center"/>
          </w:tcPr>
          <w:p>
            <w:r/>
            <w:r>
              <w:rPr>
                <w:rFonts w:ascii="Aptos" w:hAnsi="Aptos"/>
                <w:b w:val="0"/>
                <w:color w:val="22222A"/>
                <w:sz w:val="16"/>
              </w:rPr>
              <w:t>Fast development, responsive UI, clear component boundaries.</w:t>
            </w:r>
          </w:p>
        </w:tc>
      </w:tr>
      <w:tr>
        <w:tc>
          <w:tcPr>
            <w:tcW w:type="dxa" w:w="3360"/>
            <w:vAlign w:val="center"/>
          </w:tcPr>
          <w:p>
            <w:r/>
            <w:r>
              <w:rPr>
                <w:rFonts w:ascii="Aptos" w:hAnsi="Aptos"/>
                <w:b w:val="0"/>
                <w:color w:val="22222A"/>
                <w:sz w:val="16"/>
              </w:rPr>
              <w:t>Backend</w:t>
            </w:r>
          </w:p>
        </w:tc>
        <w:tc>
          <w:tcPr>
            <w:tcW w:type="dxa" w:w="3360"/>
            <w:vAlign w:val="center"/>
          </w:tcPr>
          <w:p>
            <w:r/>
            <w:r>
              <w:rPr>
                <w:rFonts w:ascii="Aptos" w:hAnsi="Aptos"/>
                <w:b w:val="0"/>
                <w:color w:val="22222A"/>
                <w:sz w:val="16"/>
              </w:rPr>
              <w:t>FastAPI + Python.</w:t>
            </w:r>
          </w:p>
        </w:tc>
        <w:tc>
          <w:tcPr>
            <w:tcW w:type="dxa" w:w="3360"/>
            <w:vAlign w:val="center"/>
          </w:tcPr>
          <w:p>
            <w:r/>
            <w:r>
              <w:rPr>
                <w:rFonts w:ascii="Aptos" w:hAnsi="Aptos"/>
                <w:b w:val="0"/>
                <w:color w:val="22222A"/>
                <w:sz w:val="16"/>
              </w:rPr>
              <w:t>Natural fit for deterministic financial calculations and easy JSON handling.</w:t>
            </w:r>
          </w:p>
        </w:tc>
      </w:tr>
      <w:tr>
        <w:tc>
          <w:tcPr>
            <w:tcW w:type="dxa" w:w="3360"/>
            <w:shd w:fill="F5F4F7"/>
            <w:vAlign w:val="center"/>
          </w:tcPr>
          <w:p>
            <w:r/>
            <w:r>
              <w:rPr>
                <w:rFonts w:ascii="Aptos" w:hAnsi="Aptos"/>
                <w:b w:val="0"/>
                <w:color w:val="22222A"/>
                <w:sz w:val="16"/>
              </w:rPr>
              <w:t>Data</w:t>
            </w:r>
          </w:p>
        </w:tc>
        <w:tc>
          <w:tcPr>
            <w:tcW w:type="dxa" w:w="3360"/>
            <w:shd w:fill="F5F4F7"/>
            <w:vAlign w:val="center"/>
          </w:tcPr>
          <w:p>
            <w:r/>
            <w:r>
              <w:rPr>
                <w:rFonts w:ascii="Aptos" w:hAnsi="Aptos"/>
                <w:b w:val="0"/>
                <w:color w:val="22222A"/>
                <w:sz w:val="16"/>
              </w:rPr>
              <w:t>Provided JSON cases + versioned tariff JSON.</w:t>
            </w:r>
          </w:p>
        </w:tc>
        <w:tc>
          <w:tcPr>
            <w:tcW w:type="dxa" w:w="3360"/>
            <w:shd w:fill="F5F4F7"/>
            <w:vAlign w:val="center"/>
          </w:tcPr>
          <w:p>
            <w:r/>
            <w:r>
              <w:rPr>
                <w:rFonts w:ascii="Aptos" w:hAnsi="Aptos"/>
                <w:b w:val="0"/>
                <w:color w:val="22222A"/>
                <w:sz w:val="16"/>
              </w:rPr>
              <w:t>No database required for MVP; reproducible inputs.</w:t>
            </w:r>
          </w:p>
        </w:tc>
      </w:tr>
      <w:tr>
        <w:tc>
          <w:tcPr>
            <w:tcW w:type="dxa" w:w="3360"/>
            <w:vAlign w:val="center"/>
          </w:tcPr>
          <w:p>
            <w:r/>
            <w:r>
              <w:rPr>
                <w:rFonts w:ascii="Aptos" w:hAnsi="Aptos"/>
                <w:b w:val="0"/>
                <w:color w:val="22222A"/>
                <w:sz w:val="16"/>
              </w:rPr>
              <w:t>Persistence</w:t>
            </w:r>
          </w:p>
        </w:tc>
        <w:tc>
          <w:tcPr>
            <w:tcW w:type="dxa" w:w="3360"/>
            <w:vAlign w:val="center"/>
          </w:tcPr>
          <w:p>
            <w:r/>
            <w:r>
              <w:rPr>
                <w:rFonts w:ascii="Aptos" w:hAnsi="Aptos"/>
                <w:b w:val="0"/>
                <w:color w:val="22222A"/>
                <w:sz w:val="16"/>
              </w:rPr>
              <w:t>None for MVP. Optional local export/download for results.</w:t>
            </w:r>
          </w:p>
        </w:tc>
        <w:tc>
          <w:tcPr>
            <w:tcW w:type="dxa" w:w="3360"/>
            <w:vAlign w:val="center"/>
          </w:tcPr>
          <w:p>
            <w:r/>
            <w:r>
              <w:rPr>
                <w:rFonts w:ascii="Aptos" w:hAnsi="Aptos"/>
                <w:b w:val="0"/>
                <w:color w:val="22222A"/>
                <w:sz w:val="16"/>
              </w:rPr>
              <w:t>Avoid setup overhead and admin dependencies.</w:t>
            </w:r>
          </w:p>
        </w:tc>
      </w:tr>
      <w:tr>
        <w:tc>
          <w:tcPr>
            <w:tcW w:type="dxa" w:w="3360"/>
            <w:shd w:fill="F5F4F7"/>
            <w:vAlign w:val="center"/>
          </w:tcPr>
          <w:p>
            <w:r/>
            <w:r>
              <w:rPr>
                <w:rFonts w:ascii="Aptos" w:hAnsi="Aptos"/>
                <w:b w:val="0"/>
                <w:color w:val="22222A"/>
                <w:sz w:val="16"/>
              </w:rPr>
              <w:t>3D</w:t>
            </w:r>
          </w:p>
        </w:tc>
        <w:tc>
          <w:tcPr>
            <w:tcW w:type="dxa" w:w="3360"/>
            <w:shd w:fill="F5F4F7"/>
            <w:vAlign w:val="center"/>
          </w:tcPr>
          <w:p>
            <w:r/>
            <w:r>
              <w:rPr>
                <w:rFonts w:ascii="Aptos" w:hAnsi="Aptos"/>
                <w:b w:val="0"/>
                <w:color w:val="22222A"/>
                <w:sz w:val="16"/>
              </w:rPr>
              <w:t>Three.js / React Three Fiber or CSS 3D fallback.</w:t>
            </w:r>
          </w:p>
        </w:tc>
        <w:tc>
          <w:tcPr>
            <w:tcW w:type="dxa" w:w="3360"/>
            <w:shd w:fill="F5F4F7"/>
            <w:vAlign w:val="center"/>
          </w:tcPr>
          <w:p>
            <w:r/>
            <w:r>
              <w:rPr>
                <w:rFonts w:ascii="Aptos" w:hAnsi="Aptos"/>
                <w:b w:val="0"/>
                <w:color w:val="22222A"/>
                <w:sz w:val="16"/>
              </w:rPr>
              <w:t>Premium visual without requiring a separate 3D backend.</w:t>
            </w:r>
          </w:p>
        </w:tc>
      </w:tr>
      <w:tr>
        <w:tc>
          <w:tcPr>
            <w:tcW w:type="dxa" w:w="3360"/>
            <w:vAlign w:val="center"/>
          </w:tcPr>
          <w:p>
            <w:r/>
            <w:r>
              <w:rPr>
                <w:rFonts w:ascii="Aptos" w:hAnsi="Aptos"/>
                <w:b w:val="0"/>
                <w:color w:val="22222A"/>
                <w:sz w:val="16"/>
              </w:rPr>
              <w:t>Deployment</w:t>
            </w:r>
          </w:p>
        </w:tc>
        <w:tc>
          <w:tcPr>
            <w:tcW w:type="dxa" w:w="3360"/>
            <w:vAlign w:val="center"/>
          </w:tcPr>
          <w:p>
            <w:r/>
            <w:r>
              <w:rPr>
                <w:rFonts w:ascii="Aptos" w:hAnsi="Aptos"/>
                <w:b w:val="0"/>
                <w:color w:val="22222A"/>
                <w:sz w:val="16"/>
              </w:rPr>
              <w:t>Frontend on Vercel/Netlify/Cloudflare; backend on Render/Railway/Fly.io or similar.</w:t>
            </w:r>
          </w:p>
        </w:tc>
        <w:tc>
          <w:tcPr>
            <w:tcW w:type="dxa" w:w="3360"/>
            <w:vAlign w:val="center"/>
          </w:tcPr>
          <w:p>
            <w:r/>
            <w:r>
              <w:rPr>
                <w:rFonts w:ascii="Aptos" w:hAnsi="Aptos"/>
                <w:b w:val="0"/>
                <w:color w:val="22222A"/>
                <w:sz w:val="16"/>
              </w:rPr>
              <w:t>Simple public demo deployment.</w:t>
            </w:r>
          </w:p>
        </w:tc>
      </w:tr>
    </w:tbl>
    <w:p>
      <w:pPr>
        <w:spacing w:after="20"/>
      </w:pPr>
    </w:p>
    <w:p>
      <w:pPr>
        <w:pStyle w:val="Heading2"/>
      </w:pPr>
      <w:r>
        <w:t>Backend modules</w:t>
      </w:r>
    </w:p>
    <w:p>
      <w:pPr>
        <w:pStyle w:val="ListBullet"/>
        <w:ind w:left="0"/>
      </w:pPr>
      <w:r>
        <w:t>case_loader — schema validation and case normalization</w:t>
      </w:r>
    </w:p>
    <w:p>
      <w:pPr>
        <w:pStyle w:val="ListBullet"/>
        <w:ind w:left="0"/>
      </w:pPr>
      <w:r>
        <w:t>tariff_engine — slab allocation, energy charges, fixed charges, VAT</w:t>
      </w:r>
    </w:p>
    <w:p>
      <w:pPr>
        <w:pStyle w:val="ListBullet"/>
        <w:ind w:left="0"/>
      </w:pPr>
      <w:r>
        <w:t>meter_engine — chronological simulation and balance state</w:t>
      </w:r>
    </w:p>
    <w:p>
      <w:pPr>
        <w:pStyle w:val="ListBullet"/>
        <w:ind w:left="0"/>
      </w:pPr>
      <w:r>
        <w:t>advisor_engine — depletion and target-date calculations</w:t>
      </w:r>
    </w:p>
    <w:p>
      <w:pPr>
        <w:pStyle w:val="ListBullet"/>
        <w:ind w:left="0"/>
      </w:pPr>
      <w:r>
        <w:t>comparison_engine — low-balance and monthly strategy simulations</w:t>
      </w:r>
    </w:p>
    <w:p>
      <w:pPr>
        <w:pStyle w:val="ListBullet"/>
        <w:ind w:left="0"/>
      </w:pPr>
      <w:r>
        <w:t>api — read-only calculation endpoints for the frontend</w:t>
      </w:r>
    </w:p>
    <w:p>
      <w:pPr>
        <w:pStyle w:val="ListBullet"/>
        <w:ind w:left="0"/>
      </w:pPr>
      <w:r>
        <w:t>tests — boundary and regression suite</w:t>
      </w:r>
    </w:p>
    <w:p>
      <w:pPr>
        <w:pStyle w:val="Heading2"/>
      </w:pPr>
      <w:r>
        <w:t>Recommended data contracts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Endpoint</w:t>
            </w:r>
          </w:p>
        </w:tc>
        <w:tc>
          <w:tcPr>
            <w:tcW w:type="dxa" w:w="3360"/>
            <w:shd w:fill="3B205C"/>
            <w:vAlign w:val="center"/>
          </w:tcPr>
          <w:p>
            <w:r/>
            <w:r>
              <w:rPr>
                <w:rFonts w:ascii="Aptos" w:hAnsi="Aptos"/>
                <w:b/>
                <w:color w:val="FFFFFF"/>
                <w:sz w:val="16"/>
              </w:rPr>
              <w:t>Method</w:t>
            </w:r>
          </w:p>
        </w:tc>
        <w:tc>
          <w:tcPr>
            <w:tcW w:type="dxa" w:w="3360"/>
            <w:shd w:fill="3B205C"/>
            <w:vAlign w:val="center"/>
          </w:tcPr>
          <w:p>
            <w:r/>
            <w:r>
              <w:rPr>
                <w:rFonts w:ascii="Aptos" w:hAnsi="Aptos"/>
                <w:b/>
                <w:color w:val="FFFFFF"/>
                <w:sz w:val="16"/>
              </w:rPr>
              <w:t>Purpose</w:t>
            </w:r>
          </w:p>
        </w:tc>
      </w:tr>
      <w:tr>
        <w:tc>
          <w:tcPr>
            <w:tcW w:type="dxa" w:w="3360"/>
            <w:shd w:fill="F5F4F7"/>
            <w:vAlign w:val="center"/>
          </w:tcPr>
          <w:p>
            <w:r/>
            <w:r>
              <w:rPr>
                <w:rFonts w:ascii="Aptos" w:hAnsi="Aptos"/>
                <w:b w:val="0"/>
                <w:color w:val="22222A"/>
                <w:sz w:val="16"/>
              </w:rPr>
              <w:t>/api/cases</w:t>
            </w:r>
          </w:p>
        </w:tc>
        <w:tc>
          <w:tcPr>
            <w:tcW w:type="dxa" w:w="3360"/>
            <w:shd w:fill="F5F4F7"/>
            <w:vAlign w:val="center"/>
          </w:tcPr>
          <w:p>
            <w:r/>
            <w:r>
              <w:rPr>
                <w:rFonts w:ascii="Aptos" w:hAnsi="Aptos"/>
                <w:b w:val="0"/>
                <w:color w:val="22222A"/>
                <w:sz w:val="16"/>
              </w:rPr>
              <w:t>GET</w:t>
            </w:r>
          </w:p>
        </w:tc>
        <w:tc>
          <w:tcPr>
            <w:tcW w:type="dxa" w:w="3360"/>
            <w:shd w:fill="F5F4F7"/>
            <w:vAlign w:val="center"/>
          </w:tcPr>
          <w:p>
            <w:r/>
            <w:r>
              <w:rPr>
                <w:rFonts w:ascii="Aptos" w:hAnsi="Aptos"/>
                <w:b w:val="0"/>
                <w:color w:val="22222A"/>
                <w:sz w:val="16"/>
              </w:rPr>
              <w:t>Return available case IDs and summary metadata.</w:t>
            </w:r>
          </w:p>
        </w:tc>
      </w:tr>
      <w:tr>
        <w:tc>
          <w:tcPr>
            <w:tcW w:type="dxa" w:w="3360"/>
            <w:vAlign w:val="center"/>
          </w:tcPr>
          <w:p>
            <w:r/>
            <w:r>
              <w:rPr>
                <w:rFonts w:ascii="Aptos" w:hAnsi="Aptos"/>
                <w:b w:val="0"/>
                <w:color w:val="22222A"/>
                <w:sz w:val="16"/>
              </w:rPr>
              <w:t>/api/cases/{id}</w:t>
            </w:r>
          </w:p>
        </w:tc>
        <w:tc>
          <w:tcPr>
            <w:tcW w:type="dxa" w:w="3360"/>
            <w:vAlign w:val="center"/>
          </w:tcPr>
          <w:p>
            <w:r/>
            <w:r>
              <w:rPr>
                <w:rFonts w:ascii="Aptos" w:hAnsi="Aptos"/>
                <w:b w:val="0"/>
                <w:color w:val="22222A"/>
                <w:sz w:val="16"/>
              </w:rPr>
              <w:t>GET</w:t>
            </w:r>
          </w:p>
        </w:tc>
        <w:tc>
          <w:tcPr>
            <w:tcW w:type="dxa" w:w="3360"/>
            <w:vAlign w:val="center"/>
          </w:tcPr>
          <w:p>
            <w:r/>
            <w:r>
              <w:rPr>
                <w:rFonts w:ascii="Aptos" w:hAnsi="Aptos"/>
                <w:b w:val="0"/>
                <w:color w:val="22222A"/>
                <w:sz w:val="16"/>
              </w:rPr>
              <w:t>Return validated source case data.</w:t>
            </w:r>
          </w:p>
        </w:tc>
      </w:tr>
      <w:tr>
        <w:tc>
          <w:tcPr>
            <w:tcW w:type="dxa" w:w="3360"/>
            <w:shd w:fill="F5F4F7"/>
            <w:vAlign w:val="center"/>
          </w:tcPr>
          <w:p>
            <w:r/>
            <w:r>
              <w:rPr>
                <w:rFonts w:ascii="Aptos" w:hAnsi="Aptos"/>
                <w:b w:val="0"/>
                <w:color w:val="22222A"/>
                <w:sz w:val="16"/>
              </w:rPr>
              <w:t>/api/simulate/{id}</w:t>
            </w:r>
          </w:p>
        </w:tc>
        <w:tc>
          <w:tcPr>
            <w:tcW w:type="dxa" w:w="3360"/>
            <w:shd w:fill="F5F4F7"/>
            <w:vAlign w:val="center"/>
          </w:tcPr>
          <w:p>
            <w:r/>
            <w:r>
              <w:rPr>
                <w:rFonts w:ascii="Aptos" w:hAnsi="Aptos"/>
                <w:b w:val="0"/>
                <w:color w:val="22222A"/>
                <w:sz w:val="16"/>
              </w:rPr>
              <w:t>GET</w:t>
            </w:r>
          </w:p>
        </w:tc>
        <w:tc>
          <w:tcPr>
            <w:tcW w:type="dxa" w:w="3360"/>
            <w:shd w:fill="F5F4F7"/>
            <w:vAlign w:val="center"/>
          </w:tcPr>
          <w:p>
            <w:r/>
            <w:r>
              <w:rPr>
                <w:rFonts w:ascii="Aptos" w:hAnsi="Aptos"/>
                <w:b w:val="0"/>
                <w:color w:val="22222A"/>
                <w:sz w:val="16"/>
              </w:rPr>
              <w:t>Return historical daily ledger and reconstructed balance.</w:t>
            </w:r>
          </w:p>
        </w:tc>
      </w:tr>
      <w:tr>
        <w:tc>
          <w:tcPr>
            <w:tcW w:type="dxa" w:w="3360"/>
            <w:vAlign w:val="center"/>
          </w:tcPr>
          <w:p>
            <w:r/>
            <w:r>
              <w:rPr>
                <w:rFonts w:ascii="Aptos" w:hAnsi="Aptos"/>
                <w:b w:val="0"/>
                <w:color w:val="22222A"/>
                <w:sz w:val="16"/>
              </w:rPr>
              <w:t>/api/advisor/{id}</w:t>
            </w:r>
          </w:p>
        </w:tc>
        <w:tc>
          <w:tcPr>
            <w:tcW w:type="dxa" w:w="3360"/>
            <w:vAlign w:val="center"/>
          </w:tcPr>
          <w:p>
            <w:r/>
            <w:r>
              <w:rPr>
                <w:rFonts w:ascii="Aptos" w:hAnsi="Aptos"/>
                <w:b w:val="0"/>
                <w:color w:val="22222A"/>
                <w:sz w:val="16"/>
              </w:rPr>
              <w:t>GET</w:t>
            </w:r>
          </w:p>
        </w:tc>
        <w:tc>
          <w:tcPr>
            <w:tcW w:type="dxa" w:w="3360"/>
            <w:vAlign w:val="center"/>
          </w:tcPr>
          <w:p>
            <w:r/>
            <w:r>
              <w:rPr>
                <w:rFonts w:ascii="Aptos" w:hAnsi="Aptos"/>
                <w:b w:val="0"/>
                <w:color w:val="22222A"/>
                <w:sz w:val="16"/>
              </w:rPr>
              <w:t>Return current balance, depletion forecast, and target-date requirement using case defaults.</w:t>
            </w:r>
          </w:p>
        </w:tc>
      </w:tr>
      <w:tr>
        <w:tc>
          <w:tcPr>
            <w:tcW w:type="dxa" w:w="3360"/>
            <w:shd w:fill="F5F4F7"/>
            <w:vAlign w:val="center"/>
          </w:tcPr>
          <w:p>
            <w:r/>
            <w:r>
              <w:rPr>
                <w:rFonts w:ascii="Aptos" w:hAnsi="Aptos"/>
                <w:b w:val="0"/>
                <w:color w:val="22222A"/>
                <w:sz w:val="16"/>
              </w:rPr>
              <w:t>/api/advisor/{id}/target</w:t>
            </w:r>
          </w:p>
        </w:tc>
        <w:tc>
          <w:tcPr>
            <w:tcW w:type="dxa" w:w="3360"/>
            <w:shd w:fill="F5F4F7"/>
            <w:vAlign w:val="center"/>
          </w:tcPr>
          <w:p>
            <w:r/>
            <w:r>
              <w:rPr>
                <w:rFonts w:ascii="Aptos" w:hAnsi="Aptos"/>
                <w:b w:val="0"/>
                <w:color w:val="22222A"/>
                <w:sz w:val="16"/>
              </w:rPr>
              <w:t>POST</w:t>
            </w:r>
          </w:p>
        </w:tc>
        <w:tc>
          <w:tcPr>
            <w:tcW w:type="dxa" w:w="3360"/>
            <w:shd w:fill="F5F4F7"/>
            <w:vAlign w:val="center"/>
          </w:tcPr>
          <w:p>
            <w:r/>
            <w:r>
              <w:rPr>
                <w:rFonts w:ascii="Aptos" w:hAnsi="Aptos"/>
                <w:b w:val="0"/>
                <w:color w:val="22222A"/>
                <w:sz w:val="16"/>
              </w:rPr>
              <w:t>Accept optional target date / usage scenario and return deterministic recharge analysis.</w:t>
            </w:r>
          </w:p>
        </w:tc>
      </w:tr>
      <w:tr>
        <w:tc>
          <w:tcPr>
            <w:tcW w:type="dxa" w:w="3360"/>
            <w:vAlign w:val="center"/>
          </w:tcPr>
          <w:p>
            <w:r/>
            <w:r>
              <w:rPr>
                <w:rFonts w:ascii="Aptos" w:hAnsi="Aptos"/>
                <w:b w:val="0"/>
                <w:color w:val="22222A"/>
                <w:sz w:val="16"/>
              </w:rPr>
              <w:t>/api/compare/{id}</w:t>
            </w:r>
          </w:p>
        </w:tc>
        <w:tc>
          <w:tcPr>
            <w:tcW w:type="dxa" w:w="3360"/>
            <w:vAlign w:val="center"/>
          </w:tcPr>
          <w:p>
            <w:r/>
            <w:r>
              <w:rPr>
                <w:rFonts w:ascii="Aptos" w:hAnsi="Aptos"/>
                <w:b w:val="0"/>
                <w:color w:val="22222A"/>
                <w:sz w:val="16"/>
              </w:rPr>
              <w:t>GET</w:t>
            </w:r>
          </w:p>
        </w:tc>
        <w:tc>
          <w:tcPr>
            <w:tcW w:type="dxa" w:w="3360"/>
            <w:vAlign w:val="center"/>
          </w:tcPr>
          <w:p>
            <w:r/>
            <w:r>
              <w:rPr>
                <w:rFonts w:ascii="Aptos" w:hAnsi="Aptos"/>
                <w:b w:val="0"/>
                <w:color w:val="22222A"/>
                <w:sz w:val="16"/>
              </w:rPr>
              <w:t>Return three-month comparison for the two mandated strategies.</w:t>
            </w:r>
          </w:p>
        </w:tc>
      </w:tr>
      <w:tr>
        <w:tc>
          <w:tcPr>
            <w:tcW w:type="dxa" w:w="3360"/>
            <w:shd w:fill="F5F4F7"/>
            <w:vAlign w:val="center"/>
          </w:tcPr>
          <w:p>
            <w:r/>
            <w:r>
              <w:rPr>
                <w:rFonts w:ascii="Aptos" w:hAnsi="Aptos"/>
                <w:b w:val="0"/>
                <w:color w:val="22222A"/>
                <w:sz w:val="16"/>
              </w:rPr>
              <w:t>/api/tariff</w:t>
            </w:r>
          </w:p>
        </w:tc>
        <w:tc>
          <w:tcPr>
            <w:tcW w:type="dxa" w:w="3360"/>
            <w:shd w:fill="F5F4F7"/>
            <w:vAlign w:val="center"/>
          </w:tcPr>
          <w:p>
            <w:r/>
            <w:r>
              <w:rPr>
                <w:rFonts w:ascii="Aptos" w:hAnsi="Aptos"/>
                <w:b w:val="0"/>
                <w:color w:val="22222A"/>
                <w:sz w:val="16"/>
              </w:rPr>
              <w:t>GET</w:t>
            </w:r>
          </w:p>
        </w:tc>
        <w:tc>
          <w:tcPr>
            <w:tcW w:type="dxa" w:w="3360"/>
            <w:shd w:fill="F5F4F7"/>
            <w:vAlign w:val="center"/>
          </w:tcPr>
          <w:p>
            <w:r/>
            <w:r>
              <w:rPr>
                <w:rFonts w:ascii="Aptos" w:hAnsi="Aptos"/>
                <w:b w:val="0"/>
                <w:color w:val="22222A"/>
                <w:sz w:val="16"/>
              </w:rPr>
              <w:t>Return tariff version and effective rules used by the engine.</w:t>
            </w:r>
          </w:p>
        </w:tc>
      </w:tr>
    </w:tbl>
    <w:p>
      <w:pPr>
        <w:spacing w:after="20"/>
      </w:pPr>
    </w:p>
    <w:p>
      <w:pPr>
        <w:pStyle w:val="Heading1"/>
      </w:pPr>
      <w:r>
        <w:t>10. Data Model</w:t>
      </w:r>
    </w:p>
    <w:p>
      <w:r>
        <w:t>The application should normalize source JSON into typed internal models. The provided schema includes the fields below. </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Entity</w:t>
            </w:r>
          </w:p>
        </w:tc>
        <w:tc>
          <w:tcPr>
            <w:tcW w:type="dxa" w:w="3360"/>
            <w:shd w:fill="3B205C"/>
            <w:vAlign w:val="center"/>
          </w:tcPr>
          <w:p>
            <w:r/>
            <w:r>
              <w:rPr>
                <w:rFonts w:ascii="Aptos" w:hAnsi="Aptos"/>
                <w:b/>
                <w:color w:val="FFFFFF"/>
                <w:sz w:val="16"/>
              </w:rPr>
              <w:t>Fields</w:t>
            </w:r>
          </w:p>
        </w:tc>
        <w:tc>
          <w:tcPr>
            <w:tcW w:type="dxa" w:w="3360"/>
            <w:shd w:fill="3B205C"/>
            <w:vAlign w:val="center"/>
          </w:tcPr>
          <w:p>
            <w:r/>
            <w:r>
              <w:rPr>
                <w:rFonts w:ascii="Aptos" w:hAnsi="Aptos"/>
                <w:b/>
                <w:color w:val="FFFFFF"/>
                <w:sz w:val="16"/>
              </w:rPr>
              <w:t>Notes</w:t>
            </w:r>
          </w:p>
        </w:tc>
      </w:tr>
      <w:tr>
        <w:tc>
          <w:tcPr>
            <w:tcW w:type="dxa" w:w="3360"/>
            <w:shd w:fill="F5F4F7"/>
            <w:vAlign w:val="center"/>
          </w:tcPr>
          <w:p>
            <w:r/>
            <w:r>
              <w:rPr>
                <w:rFonts w:ascii="Aptos" w:hAnsi="Aptos"/>
                <w:b w:val="0"/>
                <w:color w:val="22222A"/>
                <w:sz w:val="16"/>
              </w:rPr>
              <w:t>Case</w:t>
            </w:r>
          </w:p>
        </w:tc>
        <w:tc>
          <w:tcPr>
            <w:tcW w:type="dxa" w:w="3360"/>
            <w:shd w:fill="F5F4F7"/>
            <w:vAlign w:val="center"/>
          </w:tcPr>
          <w:p>
            <w:r/>
            <w:r>
              <w:rPr>
                <w:rFonts w:ascii="Aptos" w:hAnsi="Aptos"/>
                <w:b w:val="0"/>
                <w:color w:val="22222A"/>
                <w:sz w:val="16"/>
              </w:rPr>
              <w:t>case_id, opening_balance_bdt, days[], recharges[], today, usual_daily_units, target_date, comparison</w:t>
            </w:r>
          </w:p>
        </w:tc>
        <w:tc>
          <w:tcPr>
            <w:tcW w:type="dxa" w:w="3360"/>
            <w:shd w:fill="F5F4F7"/>
            <w:vAlign w:val="center"/>
          </w:tcPr>
          <w:p>
            <w:r/>
            <w:r>
              <w:rPr>
                <w:rFonts w:ascii="Aptos" w:hAnsi="Aptos"/>
                <w:b w:val="0"/>
                <w:color w:val="22222A"/>
                <w:sz w:val="16"/>
              </w:rPr>
              <w:t>Directly derived from supplied JSON.</w:t>
            </w:r>
          </w:p>
        </w:tc>
      </w:tr>
      <w:tr>
        <w:tc>
          <w:tcPr>
            <w:tcW w:type="dxa" w:w="3360"/>
            <w:vAlign w:val="center"/>
          </w:tcPr>
          <w:p>
            <w:r/>
            <w:r>
              <w:rPr>
                <w:rFonts w:ascii="Aptos" w:hAnsi="Aptos"/>
                <w:b w:val="0"/>
                <w:color w:val="22222A"/>
                <w:sz w:val="16"/>
              </w:rPr>
              <w:t>DailyReading</w:t>
            </w:r>
          </w:p>
        </w:tc>
        <w:tc>
          <w:tcPr>
            <w:tcW w:type="dxa" w:w="3360"/>
            <w:vAlign w:val="center"/>
          </w:tcPr>
          <w:p>
            <w:r/>
            <w:r>
              <w:rPr>
                <w:rFonts w:ascii="Aptos" w:hAnsi="Aptos"/>
                <w:b w:val="0"/>
                <w:color w:val="22222A"/>
                <w:sz w:val="16"/>
              </w:rPr>
              <w:t>date, units</w:t>
            </w:r>
          </w:p>
        </w:tc>
        <w:tc>
          <w:tcPr>
            <w:tcW w:type="dxa" w:w="3360"/>
            <w:vAlign w:val="center"/>
          </w:tcPr>
          <w:p>
            <w:r/>
            <w:r>
              <w:rPr>
                <w:rFonts w:ascii="Aptos" w:hAnsi="Aptos"/>
                <w:b w:val="0"/>
                <w:color w:val="22222A"/>
                <w:sz w:val="16"/>
              </w:rPr>
              <w:t>Consecutive daily record; units are whole units.</w:t>
            </w:r>
          </w:p>
        </w:tc>
      </w:tr>
      <w:tr>
        <w:tc>
          <w:tcPr>
            <w:tcW w:type="dxa" w:w="3360"/>
            <w:shd w:fill="F5F4F7"/>
            <w:vAlign w:val="center"/>
          </w:tcPr>
          <w:p>
            <w:r/>
            <w:r>
              <w:rPr>
                <w:rFonts w:ascii="Aptos" w:hAnsi="Aptos"/>
                <w:b w:val="0"/>
                <w:color w:val="22222A"/>
                <w:sz w:val="16"/>
              </w:rPr>
              <w:t>Recharge</w:t>
            </w:r>
          </w:p>
        </w:tc>
        <w:tc>
          <w:tcPr>
            <w:tcW w:type="dxa" w:w="3360"/>
            <w:shd w:fill="F5F4F7"/>
            <w:vAlign w:val="center"/>
          </w:tcPr>
          <w:p>
            <w:r/>
            <w:r>
              <w:rPr>
                <w:rFonts w:ascii="Aptos" w:hAnsi="Aptos"/>
                <w:b w:val="0"/>
                <w:color w:val="22222A"/>
                <w:sz w:val="16"/>
              </w:rPr>
              <w:t>date, amount_bdt</w:t>
            </w:r>
          </w:p>
        </w:tc>
        <w:tc>
          <w:tcPr>
            <w:tcW w:type="dxa" w:w="3360"/>
            <w:shd w:fill="F5F4F7"/>
            <w:vAlign w:val="center"/>
          </w:tcPr>
          <w:p>
            <w:r/>
            <w:r>
              <w:rPr>
                <w:rFonts w:ascii="Aptos" w:hAnsi="Aptos"/>
                <w:b w:val="0"/>
                <w:color w:val="22222A"/>
                <w:sz w:val="16"/>
              </w:rPr>
              <w:t>May occur multiple times in a month; month’s first recharge triggers monthly fixed charges per tariff rule.</w:t>
            </w:r>
          </w:p>
        </w:tc>
      </w:tr>
      <w:tr>
        <w:tc>
          <w:tcPr>
            <w:tcW w:type="dxa" w:w="3360"/>
            <w:vAlign w:val="center"/>
          </w:tcPr>
          <w:p>
            <w:r/>
            <w:r>
              <w:rPr>
                <w:rFonts w:ascii="Aptos" w:hAnsi="Aptos"/>
                <w:b w:val="0"/>
                <w:color w:val="22222A"/>
                <w:sz w:val="16"/>
              </w:rPr>
              <w:t>ComparisonConfig</w:t>
            </w:r>
          </w:p>
        </w:tc>
        <w:tc>
          <w:tcPr>
            <w:tcW w:type="dxa" w:w="3360"/>
            <w:vAlign w:val="center"/>
          </w:tcPr>
          <w:p>
            <w:r/>
            <w:r>
              <w:rPr>
                <w:rFonts w:ascii="Aptos" w:hAnsi="Aptos"/>
                <w:b w:val="0"/>
                <w:color w:val="22222A"/>
                <w:sz w:val="16"/>
              </w:rPr>
              <w:t>months[], source, daily_units, opening_balance_bdt, low_threshold_bdt, low_amount_bdt, monthly_amount_bdt</w:t>
            </w:r>
          </w:p>
        </w:tc>
        <w:tc>
          <w:tcPr>
            <w:tcW w:type="dxa" w:w="3360"/>
            <w:vAlign w:val="center"/>
          </w:tcPr>
          <w:p>
            <w:r/>
            <w:r>
              <w:rPr>
                <w:rFonts w:ascii="Aptos" w:hAnsi="Aptos"/>
                <w:b w:val="0"/>
                <w:color w:val="22222A"/>
                <w:sz w:val="16"/>
              </w:rPr>
              <w:t>Drives the three-month comparison. PUB-01, for example, uses April–June 2026 and configured threshold/amounts. </w:t>
            </w:r>
          </w:p>
        </w:tc>
      </w:tr>
      <w:tr>
        <w:tc>
          <w:tcPr>
            <w:tcW w:type="dxa" w:w="3360"/>
            <w:shd w:fill="F5F4F7"/>
            <w:vAlign w:val="center"/>
          </w:tcPr>
          <w:p>
            <w:r/>
            <w:r>
              <w:rPr>
                <w:rFonts w:ascii="Aptos" w:hAnsi="Aptos"/>
                <w:b w:val="0"/>
                <w:color w:val="22222A"/>
                <w:sz w:val="16"/>
              </w:rPr>
              <w:t>DailyLedgerRow</w:t>
            </w:r>
          </w:p>
        </w:tc>
        <w:tc>
          <w:tcPr>
            <w:tcW w:type="dxa" w:w="3360"/>
            <w:shd w:fill="F5F4F7"/>
            <w:vAlign w:val="center"/>
          </w:tcPr>
          <w:p>
            <w:r/>
            <w:r>
              <w:rPr>
                <w:rFonts w:ascii="Aptos" w:hAnsi="Aptos"/>
                <w:b w:val="0"/>
                <w:color w:val="22222A"/>
                <w:sz w:val="16"/>
              </w:rPr>
              <w:t>date, units, monthly_running_units, recharge, energy_cost, fixed_charge, vat, total_cost, closing_balance</w:t>
            </w:r>
          </w:p>
        </w:tc>
        <w:tc>
          <w:tcPr>
            <w:tcW w:type="dxa" w:w="3360"/>
            <w:shd w:fill="F5F4F7"/>
            <w:vAlign w:val="center"/>
          </w:tcPr>
          <w:p>
            <w:r/>
            <w:r>
              <w:rPr>
                <w:rFonts w:ascii="Aptos" w:hAnsi="Aptos"/>
                <w:b w:val="0"/>
                <w:color w:val="22222A"/>
                <w:sz w:val="16"/>
              </w:rPr>
              <w:t>Derived simulation output.</w:t>
            </w:r>
          </w:p>
        </w:tc>
      </w:tr>
    </w:tbl>
    <w:p>
      <w:pPr>
        <w:spacing w:after="20"/>
      </w:pPr>
    </w:p>
    <w:p>
      <w:pPr>
        <w:pStyle w:val="Heading1"/>
      </w:pPr>
      <w:r>
        <w:t>11. Calculation Contract &amp; State Rules</w:t>
      </w:r>
    </w:p>
    <w:p>
      <w:r>
        <w:t>This section is intentionally strict because it is where most correctness failures can occur.</w:t>
      </w:r>
    </w:p>
    <w:p>
      <w:pPr>
        <w:pStyle w:val="Heading2"/>
      </w:pPr>
      <w:r>
        <w:t>Simulation state</w:t>
      </w:r>
    </w:p>
    <w:p>
      <w:pPr>
        <w:pStyle w:val="ListBullet"/>
        <w:ind w:left="0"/>
      </w:pPr>
      <w:r>
        <w:t>balance_bdt</w:t>
      </w:r>
    </w:p>
    <w:p>
      <w:pPr>
        <w:pStyle w:val="ListBullet"/>
        <w:ind w:left="0"/>
      </w:pPr>
      <w:r>
        <w:t>calendar_month</w:t>
      </w:r>
    </w:p>
    <w:p>
      <w:pPr>
        <w:pStyle w:val="ListBullet"/>
        <w:ind w:left="0"/>
      </w:pPr>
      <w:r>
        <w:t>monthly_running_units</w:t>
      </w:r>
    </w:p>
    <w:p>
      <w:pPr>
        <w:pStyle w:val="ListBullet"/>
        <w:ind w:left="0"/>
      </w:pPr>
      <w:r>
        <w:t>first_recharge_applied_this_month</w:t>
      </w:r>
    </w:p>
    <w:p>
      <w:pPr>
        <w:pStyle w:val="ListBullet"/>
        <w:ind w:left="0"/>
      </w:pPr>
      <w:r>
        <w:t>cumulative_meter_cost</w:t>
      </w:r>
    </w:p>
    <w:p>
      <w:pPr>
        <w:pStyle w:val="ListBullet"/>
        <w:ind w:left="0"/>
      </w:pPr>
      <w:r>
        <w:t>cumulative_energy_cost</w:t>
      </w:r>
    </w:p>
    <w:p>
      <w:pPr>
        <w:pStyle w:val="ListBullet"/>
        <w:ind w:left="0"/>
      </w:pPr>
      <w:r>
        <w:t>cumulative_fixed_charge</w:t>
      </w:r>
    </w:p>
    <w:p>
      <w:pPr>
        <w:pStyle w:val="ListBullet"/>
        <w:ind w:left="0"/>
      </w:pPr>
      <w:r>
        <w:t>cumulative_vat</w:t>
      </w:r>
    </w:p>
    <w:p>
      <w:pPr>
        <w:pStyle w:val="Heading2"/>
      </w:pPr>
      <w:r>
        <w:t>Daily processing order</w:t>
      </w:r>
    </w:p>
    <w:p>
      <w:pPr>
        <w:ind w:left="202" w:hanging="202"/>
      </w:pPr>
      <w:r>
        <w:rPr>
          <w:b/>
        </w:rPr>
        <w:t xml:space="preserve">1.  </w:t>
      </w:r>
      <w:r>
        <w:t>Detect calendar-month transition; reset monthly_running_units and first_recharge_applied_this_month state.</w:t>
      </w:r>
    </w:p>
    <w:p>
      <w:pPr>
        <w:ind w:left="202" w:hanging="202"/>
      </w:pPr>
      <w:r>
        <w:rPr>
          <w:b/>
        </w:rPr>
        <w:t xml:space="preserve">2.  </w:t>
      </w:r>
      <w:r>
        <w:t>Apply all recharge events dated for the current day to the balance/deposit ledger.</w:t>
      </w:r>
    </w:p>
    <w:p>
      <w:pPr>
        <w:ind w:left="202" w:hanging="202"/>
      </w:pPr>
      <w:r>
        <w:rPr>
          <w:b/>
        </w:rPr>
        <w:t xml:space="preserve">3.  </w:t>
      </w:r>
      <w:r>
        <w:t>If the current day contains the month’s first recharge, apply monthly fixed charges according to tariff and charge them to meter cost.</w:t>
      </w:r>
    </w:p>
    <w:p>
      <w:pPr>
        <w:ind w:left="202" w:hanging="202"/>
      </w:pPr>
      <w:r>
        <w:rPr>
          <w:b/>
        </w:rPr>
        <w:t xml:space="preserve">4.  </w:t>
      </w:r>
      <w:r>
        <w:t>Price the day’s units by the slab reached as the monthly running total advances across the current day.</w:t>
      </w:r>
    </w:p>
    <w:p>
      <w:pPr>
        <w:ind w:left="202" w:hanging="202"/>
      </w:pPr>
      <w:r>
        <w:rPr>
          <w:b/>
        </w:rPr>
        <w:t xml:space="preserve">5.  </w:t>
      </w:r>
      <w:r>
        <w:t>Compute VAT exactly per tariff rule and prescribed rounding stage.</w:t>
      </w:r>
    </w:p>
    <w:p>
      <w:pPr>
        <w:ind w:left="202" w:hanging="202"/>
      </w:pPr>
      <w:r>
        <w:rPr>
          <w:b/>
        </w:rPr>
        <w:t xml:space="preserve">6.  </w:t>
      </w:r>
      <w:r>
        <w:t>Deduct meter-consumed cost from balance.</w:t>
      </w:r>
    </w:p>
    <w:p>
      <w:pPr>
        <w:ind w:left="202" w:hanging="202"/>
      </w:pPr>
      <w:r>
        <w:rPr>
          <w:b/>
        </w:rPr>
        <w:t xml:space="preserve">7.  </w:t>
      </w:r>
      <w:r>
        <w:t>Increment monthly_running_units by the day’s units.</w:t>
      </w:r>
    </w:p>
    <w:p>
      <w:pPr>
        <w:ind w:left="202" w:hanging="202"/>
      </w:pPr>
      <w:r>
        <w:rPr>
          <w:b/>
        </w:rPr>
        <w:t xml:space="preserve">8.  </w:t>
      </w:r>
      <w:r>
        <w:t>Persist the closing balance and all component values in the daily ledger.</w:t>
      </w:r>
    </w:p>
    <w:tbl>
      <w:tblPr>
        <w:tblW w:type="auto" w:w="0"/>
        <w:jc w:val="center"/>
        <w:tblLook w:firstColumn="1" w:firstRow="1" w:lastColumn="0" w:lastRow="0" w:noHBand="0" w:noVBand="1" w:val="04A0"/>
      </w:tblPr>
      <w:tblGrid>
        <w:gridCol w:w="10080"/>
      </w:tblGrid>
      <w:tr>
        <w:tc>
          <w:tcPr>
            <w:tcW w:type="dxa" w:w="10080"/>
            <w:shd w:fill="F1EFF6"/>
          </w:tcPr>
          <w:p>
            <w:r>
              <w:rPr>
                <w:b/>
                <w:color w:val="3B205C"/>
                <w:sz w:val="18"/>
              </w:rPr>
              <w:t>Critical invariants</w:t>
              <w:br/>
            </w:r>
            <w:r>
              <w:rPr>
                <w:color w:val="22222A"/>
                <w:sz w:val="17"/>
              </w:rPr>
              <w:t>Recharge changes balance but does not reset monthly slab units. Historical and comparison simulations must use the same unit readings for both strategies. A strategy must never receive a lower energy rate merely because it recharged earlier. Fixed monthly charges may differ only because the timing/count of first recharges differs.</w:t>
            </w:r>
          </w:p>
        </w:tc>
      </w:tr>
    </w:tbl>
    <w:p>
      <w:pPr>
        <w:spacing w:after="0"/>
      </w:pPr>
    </w:p>
    <w:p>
      <w:pPr>
        <w:pStyle w:val="Heading1"/>
      </w:pPr>
      <w:r>
        <w:t>12. Validation, Error Handling &amp; Edge Cases</w:t>
      </w:r>
    </w:p>
    <w:tbl>
      <w:tblPr>
        <w:tblStyle w:val="TableGrid"/>
        <w:tblW w:type="auto" w:w="0"/>
        <w:jc w:val="center"/>
        <w:tblLook w:firstColumn="1" w:firstRow="1" w:lastColumn="0" w:lastRow="0" w:noHBand="0" w:noVBand="1" w:val="04A0"/>
      </w:tblPr>
      <w:tblGrid>
        <w:gridCol w:w="5040"/>
        <w:gridCol w:w="5040"/>
      </w:tblGrid>
      <w:tr>
        <w:tc>
          <w:tcPr>
            <w:tcW w:type="dxa" w:w="5040"/>
            <w:shd w:fill="3B205C"/>
            <w:vAlign w:val="center"/>
          </w:tcPr>
          <w:p>
            <w:r/>
            <w:r>
              <w:rPr>
                <w:rFonts w:ascii="Aptos" w:hAnsi="Aptos"/>
                <w:b/>
                <w:color w:val="FFFFFF"/>
                <w:sz w:val="16"/>
              </w:rPr>
              <w:t>Case</w:t>
            </w:r>
          </w:p>
        </w:tc>
        <w:tc>
          <w:tcPr>
            <w:tcW w:type="dxa" w:w="5040"/>
            <w:shd w:fill="3B205C"/>
            <w:vAlign w:val="center"/>
          </w:tcPr>
          <w:p>
            <w:r/>
            <w:r>
              <w:rPr>
                <w:rFonts w:ascii="Aptos" w:hAnsi="Aptos"/>
                <w:b/>
                <w:color w:val="FFFFFF"/>
                <w:sz w:val="16"/>
              </w:rPr>
              <w:t>Expected behavior</w:t>
            </w:r>
          </w:p>
        </w:tc>
      </w:tr>
      <w:tr>
        <w:tc>
          <w:tcPr>
            <w:tcW w:type="dxa" w:w="5040"/>
            <w:shd w:fill="F5F4F7"/>
            <w:vAlign w:val="center"/>
          </w:tcPr>
          <w:p>
            <w:r/>
            <w:r>
              <w:rPr>
                <w:rFonts w:ascii="Aptos" w:hAnsi="Aptos"/>
                <w:b w:val="0"/>
                <w:color w:val="22222A"/>
                <w:sz w:val="16"/>
              </w:rPr>
              <w:t>Recharge on first day of month</w:t>
            </w:r>
          </w:p>
        </w:tc>
        <w:tc>
          <w:tcPr>
            <w:tcW w:type="dxa" w:w="5040"/>
            <w:shd w:fill="F5F4F7"/>
            <w:vAlign w:val="center"/>
          </w:tcPr>
          <w:p>
            <w:r/>
            <w:r>
              <w:rPr>
                <w:rFonts w:ascii="Aptos" w:hAnsi="Aptos"/>
                <w:b w:val="0"/>
                <w:color w:val="22222A"/>
                <w:sz w:val="16"/>
              </w:rPr>
              <w:t>Apply first-recharge fixed charges once for that month.</w:t>
            </w:r>
          </w:p>
        </w:tc>
      </w:tr>
      <w:tr>
        <w:tc>
          <w:tcPr>
            <w:tcW w:type="dxa" w:w="5040"/>
            <w:vAlign w:val="center"/>
          </w:tcPr>
          <w:p>
            <w:r/>
            <w:r>
              <w:rPr>
                <w:rFonts w:ascii="Aptos" w:hAnsi="Aptos"/>
                <w:b w:val="0"/>
                <w:color w:val="22222A"/>
                <w:sz w:val="16"/>
              </w:rPr>
              <w:t>Multiple recharges same day</w:t>
            </w:r>
          </w:p>
        </w:tc>
        <w:tc>
          <w:tcPr>
            <w:tcW w:type="dxa" w:w="5040"/>
            <w:vAlign w:val="center"/>
          </w:tcPr>
          <w:p>
            <w:r/>
            <w:r>
              <w:rPr>
                <w:rFonts w:ascii="Aptos" w:hAnsi="Aptos"/>
                <w:b w:val="0"/>
                <w:color w:val="22222A"/>
                <w:sz w:val="16"/>
              </w:rPr>
              <w:t>Process all deposits; fixed charges trigger at most once for that month.</w:t>
            </w:r>
          </w:p>
        </w:tc>
      </w:tr>
      <w:tr>
        <w:tc>
          <w:tcPr>
            <w:tcW w:type="dxa" w:w="5040"/>
            <w:shd w:fill="F5F4F7"/>
            <w:vAlign w:val="center"/>
          </w:tcPr>
          <w:p>
            <w:r/>
            <w:r>
              <w:rPr>
                <w:rFonts w:ascii="Aptos" w:hAnsi="Aptos"/>
                <w:b w:val="0"/>
                <w:color w:val="22222A"/>
                <w:sz w:val="16"/>
              </w:rPr>
              <w:t>Recharge after balance would cross zero during a day</w:t>
            </w:r>
          </w:p>
        </w:tc>
        <w:tc>
          <w:tcPr>
            <w:tcW w:type="dxa" w:w="5040"/>
            <w:shd w:fill="F5F4F7"/>
            <w:vAlign w:val="center"/>
          </w:tcPr>
          <w:p>
            <w:r/>
            <w:r>
              <w:rPr>
                <w:rFonts w:ascii="Aptos" w:hAnsi="Aptos"/>
                <w:b w:val="0"/>
                <w:color w:val="22222A"/>
                <w:sz w:val="16"/>
              </w:rPr>
              <w:t>Follow the challenge’s defined day/recharge semantics; do not invent partial-day meter-credit rules. Make the adopted order explicit in docs/tests.</w:t>
            </w:r>
          </w:p>
        </w:tc>
      </w:tr>
      <w:tr>
        <w:tc>
          <w:tcPr>
            <w:tcW w:type="dxa" w:w="5040"/>
            <w:vAlign w:val="center"/>
          </w:tcPr>
          <w:p>
            <w:r/>
            <w:r>
              <w:rPr>
                <w:rFonts w:ascii="Aptos" w:hAnsi="Aptos"/>
                <w:b w:val="0"/>
                <w:color w:val="22222A"/>
                <w:sz w:val="16"/>
              </w:rPr>
              <w:t>Day crosses slab boundary</w:t>
            </w:r>
          </w:p>
        </w:tc>
        <w:tc>
          <w:tcPr>
            <w:tcW w:type="dxa" w:w="5040"/>
            <w:vAlign w:val="center"/>
          </w:tcPr>
          <w:p>
            <w:r/>
            <w:r>
              <w:rPr>
                <w:rFonts w:ascii="Aptos" w:hAnsi="Aptos"/>
                <w:b w:val="0"/>
                <w:color w:val="22222A"/>
                <w:sz w:val="16"/>
              </w:rPr>
              <w:t>Split the day’s units across slabs; do not price all units at the highest reached slab.</w:t>
            </w:r>
          </w:p>
        </w:tc>
      </w:tr>
      <w:tr>
        <w:tc>
          <w:tcPr>
            <w:tcW w:type="dxa" w:w="5040"/>
            <w:shd w:fill="F5F4F7"/>
            <w:vAlign w:val="center"/>
          </w:tcPr>
          <w:p>
            <w:r/>
            <w:r>
              <w:rPr>
                <w:rFonts w:ascii="Aptos" w:hAnsi="Aptos"/>
                <w:b w:val="0"/>
                <w:color w:val="22222A"/>
                <w:sz w:val="16"/>
              </w:rPr>
              <w:t>Month changes</w:t>
            </w:r>
          </w:p>
        </w:tc>
        <w:tc>
          <w:tcPr>
            <w:tcW w:type="dxa" w:w="5040"/>
            <w:shd w:fill="F5F4F7"/>
            <w:vAlign w:val="center"/>
          </w:tcPr>
          <w:p>
            <w:r/>
            <w:r>
              <w:rPr>
                <w:rFonts w:ascii="Aptos" w:hAnsi="Aptos"/>
                <w:b w:val="0"/>
                <w:color w:val="22222A"/>
                <w:sz w:val="16"/>
              </w:rPr>
              <w:t>Reset monthly running unit counter to zero before pricing the new month.</w:t>
            </w:r>
          </w:p>
        </w:tc>
      </w:tr>
      <w:tr>
        <w:tc>
          <w:tcPr>
            <w:tcW w:type="dxa" w:w="5040"/>
            <w:vAlign w:val="center"/>
          </w:tcPr>
          <w:p>
            <w:r/>
            <w:r>
              <w:rPr>
                <w:rFonts w:ascii="Aptos" w:hAnsi="Aptos"/>
                <w:b w:val="0"/>
                <w:color w:val="22222A"/>
                <w:sz w:val="16"/>
              </w:rPr>
              <w:t>No recharge in a month</w:t>
            </w:r>
          </w:p>
        </w:tc>
        <w:tc>
          <w:tcPr>
            <w:tcW w:type="dxa" w:w="5040"/>
            <w:vAlign w:val="center"/>
          </w:tcPr>
          <w:p>
            <w:r/>
            <w:r>
              <w:rPr>
                <w:rFonts w:ascii="Aptos" w:hAnsi="Aptos"/>
                <w:b w:val="0"/>
                <w:color w:val="22222A"/>
                <w:sz w:val="16"/>
              </w:rPr>
              <w:t>No first-recharge fixed charge is applied because there is no first recharge event.</w:t>
            </w:r>
          </w:p>
        </w:tc>
      </w:tr>
      <w:tr>
        <w:tc>
          <w:tcPr>
            <w:tcW w:type="dxa" w:w="5040"/>
            <w:shd w:fill="F5F4F7"/>
            <w:vAlign w:val="center"/>
          </w:tcPr>
          <w:p>
            <w:r/>
            <w:r>
              <w:rPr>
                <w:rFonts w:ascii="Aptos" w:hAnsi="Aptos"/>
                <w:b w:val="0"/>
                <w:color w:val="22222A"/>
                <w:sz w:val="16"/>
              </w:rPr>
              <w:t>Required recharge is negative</w:t>
            </w:r>
          </w:p>
        </w:tc>
        <w:tc>
          <w:tcPr>
            <w:tcW w:type="dxa" w:w="5040"/>
            <w:shd w:fill="F5F4F7"/>
            <w:vAlign w:val="center"/>
          </w:tcPr>
          <w:p>
            <w:r/>
            <w:r>
              <w:rPr>
                <w:rFonts w:ascii="Aptos" w:hAnsi="Aptos"/>
                <w:b w:val="0"/>
                <w:color w:val="22222A"/>
                <w:sz w:val="16"/>
              </w:rPr>
              <w:t>Clamp to zero; present “No additional recharge required.”</w:t>
            </w:r>
          </w:p>
        </w:tc>
      </w:tr>
      <w:tr>
        <w:tc>
          <w:tcPr>
            <w:tcW w:type="dxa" w:w="5040"/>
            <w:vAlign w:val="center"/>
          </w:tcPr>
          <w:p>
            <w:r/>
            <w:r>
              <w:rPr>
                <w:rFonts w:ascii="Aptos" w:hAnsi="Aptos"/>
                <w:b w:val="0"/>
                <w:color w:val="22222A"/>
                <w:sz w:val="16"/>
              </w:rPr>
              <w:t>Two strategies tie</w:t>
            </w:r>
          </w:p>
        </w:tc>
        <w:tc>
          <w:tcPr>
            <w:tcW w:type="dxa" w:w="5040"/>
            <w:vAlign w:val="center"/>
          </w:tcPr>
          <w:p>
            <w:r/>
            <w:r>
              <w:rPr>
                <w:rFonts w:ascii="Aptos" w:hAnsi="Aptos"/>
                <w:b w:val="0"/>
                <w:color w:val="22222A"/>
                <w:sz w:val="16"/>
              </w:rPr>
              <w:t>Display equal cost and BDT 0 difference.</w:t>
            </w:r>
          </w:p>
        </w:tc>
      </w:tr>
      <w:tr>
        <w:tc>
          <w:tcPr>
            <w:tcW w:type="dxa" w:w="5040"/>
            <w:shd w:fill="F5F4F7"/>
            <w:vAlign w:val="center"/>
          </w:tcPr>
          <w:p>
            <w:r/>
            <w:r>
              <w:rPr>
                <w:rFonts w:ascii="Aptos" w:hAnsi="Aptos"/>
                <w:b w:val="0"/>
                <w:color w:val="22222A"/>
                <w:sz w:val="16"/>
              </w:rPr>
              <w:t>Malformed source dates</w:t>
            </w:r>
          </w:p>
        </w:tc>
        <w:tc>
          <w:tcPr>
            <w:tcW w:type="dxa" w:w="5040"/>
            <w:shd w:fill="F5F4F7"/>
            <w:vAlign w:val="center"/>
          </w:tcPr>
          <w:p>
            <w:r/>
            <w:r>
              <w:rPr>
                <w:rFonts w:ascii="Aptos" w:hAnsi="Aptos"/>
                <w:b w:val="0"/>
                <w:color w:val="22222A"/>
                <w:sz w:val="16"/>
              </w:rPr>
              <w:t>Block simulation and explain the exact validation error.</w:t>
            </w:r>
          </w:p>
        </w:tc>
      </w:tr>
      <w:tr>
        <w:tc>
          <w:tcPr>
            <w:tcW w:type="dxa" w:w="5040"/>
            <w:vAlign w:val="center"/>
          </w:tcPr>
          <w:p>
            <w:r/>
            <w:r>
              <w:rPr>
                <w:rFonts w:ascii="Aptos" w:hAnsi="Aptos"/>
                <w:b w:val="0"/>
                <w:color w:val="22222A"/>
                <w:sz w:val="16"/>
              </w:rPr>
              <w:t>Missing tariff configuration</w:t>
            </w:r>
          </w:p>
        </w:tc>
        <w:tc>
          <w:tcPr>
            <w:tcW w:type="dxa" w:w="5040"/>
            <w:vAlign w:val="center"/>
          </w:tcPr>
          <w:p>
            <w:r/>
            <w:r>
              <w:rPr>
                <w:rFonts w:ascii="Aptos" w:hAnsi="Aptos"/>
                <w:b w:val="0"/>
                <w:color w:val="22222A"/>
                <w:sz w:val="16"/>
              </w:rPr>
              <w:t>Block numeric results; show “Tariff configuration unavailable” rather than guessing.</w:t>
            </w:r>
          </w:p>
        </w:tc>
      </w:tr>
      <w:tr>
        <w:tc>
          <w:tcPr>
            <w:tcW w:type="dxa" w:w="5040"/>
            <w:shd w:fill="F5F4F7"/>
            <w:vAlign w:val="center"/>
          </w:tcPr>
          <w:p>
            <w:r/>
            <w:r>
              <w:rPr>
                <w:rFonts w:ascii="Aptos" w:hAnsi="Aptos"/>
                <w:b w:val="0"/>
                <w:color w:val="22222A"/>
                <w:sz w:val="16"/>
              </w:rPr>
              <w:t>Large/very small BDT values</w:t>
            </w:r>
          </w:p>
        </w:tc>
        <w:tc>
          <w:tcPr>
            <w:tcW w:type="dxa" w:w="5040"/>
            <w:shd w:fill="F5F4F7"/>
            <w:vAlign w:val="center"/>
          </w:tcPr>
          <w:p>
            <w:r/>
            <w:r>
              <w:rPr>
                <w:rFonts w:ascii="Aptos" w:hAnsi="Aptos"/>
                <w:b w:val="0"/>
                <w:color w:val="22222A"/>
                <w:sz w:val="16"/>
              </w:rPr>
              <w:t>Use decimal arithmetic and fixed display precision according to the challenge rules.</w:t>
            </w:r>
          </w:p>
        </w:tc>
      </w:tr>
    </w:tbl>
    <w:p>
      <w:pPr>
        <w:spacing w:after="20"/>
      </w:pPr>
    </w:p>
    <w:p>
      <w:pPr>
        <w:pStyle w:val="Heading1"/>
      </w:pPr>
      <w:r>
        <w:t>13. Security, Performance &amp; Reliability</w:t>
      </w:r>
    </w:p>
    <w:p>
      <w:pPr>
        <w:pStyle w:val="ListBullet"/>
        <w:ind w:left="0"/>
      </w:pPr>
      <w:r>
        <w:t>Treat source JSON and tariff files as read-only application assets in the deployed MVP.</w:t>
      </w:r>
    </w:p>
    <w:p>
      <w:pPr>
        <w:pStyle w:val="ListBullet"/>
        <w:ind w:left="0"/>
      </w:pPr>
      <w:r>
        <w:t>No secret API keys are required for the core product.</w:t>
      </w:r>
    </w:p>
    <w:p>
      <w:pPr>
        <w:pStyle w:val="ListBullet"/>
        <w:ind w:left="0"/>
      </w:pPr>
      <w:r>
        <w:t>Validate all POST parameters server-side even if the UI validates them client-side.</w:t>
      </w:r>
    </w:p>
    <w:p>
      <w:pPr>
        <w:pStyle w:val="ListBullet"/>
        <w:ind w:left="0"/>
      </w:pPr>
      <w:r>
        <w:t>Return structured error responses with stable error codes for frontend handling.</w:t>
      </w:r>
    </w:p>
    <w:p>
      <w:pPr>
        <w:pStyle w:val="ListBullet"/>
        <w:ind w:left="0"/>
      </w:pPr>
      <w:r>
        <w:t>Avoid server-side mutable global simulation state; every request should be reproducible from explicit inputs.</w:t>
      </w:r>
    </w:p>
    <w:p>
      <w:pPr>
        <w:pStyle w:val="ListBullet"/>
        <w:ind w:left="0"/>
      </w:pPr>
      <w:r>
        <w:t>Target sub-500 ms API response for a normal case on a warm instance; calculations are lightweight enough to run synchronously.</w:t>
      </w:r>
    </w:p>
    <w:p>
      <w:pPr>
        <w:pStyle w:val="ListBullet"/>
        <w:ind w:left="0"/>
      </w:pPr>
      <w:r>
        <w:t>Lazy-load the 3D scene and chart libraries where possible so the initial app remains responsive.</w:t>
      </w:r>
    </w:p>
    <w:p>
      <w:pPr>
        <w:pStyle w:val="Heading1"/>
      </w:pPr>
      <w:r>
        <w:t>14. Accessibility &amp; Responsive Behavior</w:t>
      </w:r>
    </w:p>
    <w:p>
      <w:pPr>
        <w:pStyle w:val="ListBullet"/>
        <w:ind w:left="0"/>
      </w:pPr>
      <w:r>
        <w:t>Meet WCAG-oriented contrast expectations for core text and controls.</w:t>
      </w:r>
    </w:p>
    <w:p>
      <w:pPr>
        <w:pStyle w:val="ListBullet"/>
        <w:ind w:left="0"/>
      </w:pPr>
      <w:r>
        <w:t>Keyboard-focusable controls with visible focus indicators.</w:t>
      </w:r>
    </w:p>
    <w:p>
      <w:pPr>
        <w:pStyle w:val="ListBullet"/>
        <w:ind w:left="0"/>
      </w:pPr>
      <w:r>
        <w:t>No information should rely on color alone; charts and statuses need text labels/icons.</w:t>
      </w:r>
    </w:p>
    <w:p>
      <w:pPr>
        <w:pStyle w:val="ListBullet"/>
        <w:ind w:left="0"/>
      </w:pPr>
      <w:r>
        <w:t>Respect prefers-reduced-motion and provide a simplified visual mode.</w:t>
      </w:r>
    </w:p>
    <w:p>
      <w:pPr>
        <w:pStyle w:val="ListBullet"/>
        <w:ind w:left="0"/>
      </w:pPr>
      <w:r>
        <w:t>All numeric KPIs must remain readable at 200% browser zoom.</w:t>
      </w:r>
    </w:p>
    <w:p>
      <w:pPr>
        <w:pStyle w:val="ListBullet"/>
        <w:ind w:left="0"/>
      </w:pPr>
      <w:r>
        <w:t>Mobile layouts must preserve the order: current state → advisor result → breakdown → details.</w:t>
      </w:r>
    </w:p>
    <w:p>
      <w:pPr>
        <w:pStyle w:val="Heading1"/>
      </w:pPr>
      <w:r>
        <w:t>15. Testing &amp; Verification Plan</w:t>
      </w:r>
    </w:p>
    <w:p>
      <w:pPr>
        <w:pStyle w:val="Heading2"/>
      </w:pPr>
      <w:r>
        <w:t>Unit tests — mandatory</w:t>
      </w:r>
    </w:p>
    <w:p>
      <w:pPr>
        <w:pStyle w:val="ListBullet"/>
        <w:ind w:left="0"/>
      </w:pPr>
      <w:r>
        <w:t>Tariff slab boundary tests: exactly at boundary, one unit below, one unit above.</w:t>
      </w:r>
    </w:p>
    <w:p>
      <w:pPr>
        <w:pStyle w:val="ListBullet"/>
        <w:ind w:left="0"/>
      </w:pPr>
      <w:r>
        <w:t>Day-crossing-boundary tests: a single day spans two or more slabs.</w:t>
      </w:r>
    </w:p>
    <w:p>
      <w:pPr>
        <w:pStyle w:val="ListBullet"/>
        <w:ind w:left="0"/>
      </w:pPr>
      <w:r>
        <w:t>Month-reset tests: last day of month → first day of next month.</w:t>
      </w:r>
    </w:p>
    <w:p>
      <w:pPr>
        <w:pStyle w:val="ListBullet"/>
        <w:ind w:left="0"/>
      </w:pPr>
      <w:r>
        <w:t>Recharge tests: first recharge vs later recharge within same month.</w:t>
      </w:r>
    </w:p>
    <w:p>
      <w:pPr>
        <w:pStyle w:val="ListBullet"/>
        <w:ind w:left="0"/>
      </w:pPr>
      <w:r>
        <w:t>VAT tests against authoritative examples from the tariff specification.</w:t>
      </w:r>
    </w:p>
    <w:p>
      <w:pPr>
        <w:pStyle w:val="ListBullet"/>
        <w:ind w:left="0"/>
      </w:pPr>
      <w:r>
        <w:t>Historical balance reconstruction tests for at least one complete public case.</w:t>
      </w:r>
    </w:p>
    <w:p>
      <w:pPr>
        <w:pStyle w:val="ListBullet"/>
        <w:ind w:left="0"/>
      </w:pPr>
      <w:r>
        <w:t>Depletion date test with a hand-verified expected result.</w:t>
      </w:r>
    </w:p>
    <w:p>
      <w:pPr>
        <w:pStyle w:val="ListBullet"/>
        <w:ind w:left="0"/>
      </w:pPr>
      <w:r>
        <w:t>Target-date recharge test with hand-verified expected result.</w:t>
      </w:r>
    </w:p>
    <w:p>
      <w:pPr>
        <w:pStyle w:val="ListBullet"/>
        <w:ind w:left="0"/>
      </w:pPr>
      <w:r>
        <w:t>Comparison invariants: identical energy cost basis under identical readings/slab counters; difference only where fixed-charge occurrence differs.</w:t>
      </w:r>
    </w:p>
    <w:p>
      <w:pPr>
        <w:pStyle w:val="Heading2"/>
      </w:pPr>
      <w:r>
        <w:t>Acceptance matrix</w:t>
      </w:r>
    </w:p>
    <w:tbl>
      <w:tblPr>
        <w:tblStyle w:val="TableGrid"/>
        <w:tblW w:type="auto" w:w="0"/>
        <w:jc w:val="center"/>
        <w:tblLook w:firstColumn="1" w:firstRow="1" w:lastColumn="0" w:lastRow="0" w:noHBand="0" w:noVBand="1" w:val="04A0"/>
      </w:tblPr>
      <w:tblGrid>
        <w:gridCol w:w="5040"/>
        <w:gridCol w:w="5040"/>
      </w:tblGrid>
      <w:tr>
        <w:tc>
          <w:tcPr>
            <w:tcW w:type="dxa" w:w="5040"/>
            <w:shd w:fill="3B205C"/>
            <w:vAlign w:val="center"/>
          </w:tcPr>
          <w:p>
            <w:r/>
            <w:r>
              <w:rPr>
                <w:rFonts w:ascii="Aptos" w:hAnsi="Aptos"/>
                <w:b/>
                <w:color w:val="FFFFFF"/>
                <w:sz w:val="16"/>
              </w:rPr>
              <w:t>Acceptance ID</w:t>
            </w:r>
          </w:p>
        </w:tc>
        <w:tc>
          <w:tcPr>
            <w:tcW w:type="dxa" w:w="5040"/>
            <w:shd w:fill="3B205C"/>
            <w:vAlign w:val="center"/>
          </w:tcPr>
          <w:p>
            <w:r/>
            <w:r>
              <w:rPr>
                <w:rFonts w:ascii="Aptos" w:hAnsi="Aptos"/>
                <w:b/>
                <w:color w:val="FFFFFF"/>
                <w:sz w:val="16"/>
              </w:rPr>
              <w:t>Pass condition</w:t>
            </w:r>
          </w:p>
        </w:tc>
      </w:tr>
      <w:tr>
        <w:tc>
          <w:tcPr>
            <w:tcW w:type="dxa" w:w="5040"/>
            <w:shd w:fill="F5F4F7"/>
            <w:vAlign w:val="center"/>
          </w:tcPr>
          <w:p>
            <w:r/>
            <w:r>
              <w:rPr>
                <w:rFonts w:ascii="Aptos" w:hAnsi="Aptos"/>
                <w:b w:val="0"/>
                <w:color w:val="22222A"/>
                <w:sz w:val="16"/>
              </w:rPr>
              <w:t>AC-R1</w:t>
            </w:r>
          </w:p>
        </w:tc>
        <w:tc>
          <w:tcPr>
            <w:tcW w:type="dxa" w:w="5040"/>
            <w:shd w:fill="F5F4F7"/>
            <w:vAlign w:val="center"/>
          </w:tcPr>
          <w:p>
            <w:r/>
            <w:r>
              <w:rPr>
                <w:rFonts w:ascii="Aptos" w:hAnsi="Aptos"/>
                <w:b w:val="0"/>
                <w:color w:val="22222A"/>
                <w:sz w:val="16"/>
              </w:rPr>
              <w:t>At least one public case loads with six+ months of daily readings and recharge history; data characteristics can be inspected.</w:t>
            </w:r>
          </w:p>
        </w:tc>
      </w:tr>
      <w:tr>
        <w:tc>
          <w:tcPr>
            <w:tcW w:type="dxa" w:w="5040"/>
            <w:vAlign w:val="center"/>
          </w:tcPr>
          <w:p>
            <w:r/>
            <w:r>
              <w:rPr>
                <w:rFonts w:ascii="Aptos" w:hAnsi="Aptos"/>
                <w:b w:val="0"/>
                <w:color w:val="22222A"/>
                <w:sz w:val="16"/>
              </w:rPr>
              <w:t>AC-R2</w:t>
            </w:r>
          </w:p>
        </w:tc>
        <w:tc>
          <w:tcPr>
            <w:tcW w:type="dxa" w:w="5040"/>
            <w:vAlign w:val="center"/>
          </w:tcPr>
          <w:p>
            <w:r/>
            <w:r>
              <w:rPr>
                <w:rFonts w:ascii="Aptos" w:hAnsi="Aptos"/>
                <w:b w:val="0"/>
                <w:color w:val="22222A"/>
                <w:sz w:val="16"/>
              </w:rPr>
              <w:t>Daily ledger reconstructs balance and visibly marks every recharge on the balance line.</w:t>
            </w:r>
          </w:p>
        </w:tc>
      </w:tr>
      <w:tr>
        <w:tc>
          <w:tcPr>
            <w:tcW w:type="dxa" w:w="5040"/>
            <w:shd w:fill="F5F4F7"/>
            <w:vAlign w:val="center"/>
          </w:tcPr>
          <w:p>
            <w:r/>
            <w:r>
              <w:rPr>
                <w:rFonts w:ascii="Aptos" w:hAnsi="Aptos"/>
                <w:b w:val="0"/>
                <w:color w:val="22222A"/>
                <w:sz w:val="16"/>
              </w:rPr>
              <w:t>AC-R3</w:t>
            </w:r>
          </w:p>
        </w:tc>
        <w:tc>
          <w:tcPr>
            <w:tcW w:type="dxa" w:w="5040"/>
            <w:shd w:fill="F5F4F7"/>
            <w:vAlign w:val="center"/>
          </w:tcPr>
          <w:p>
            <w:r/>
            <w:r>
              <w:rPr>
                <w:rFonts w:ascii="Aptos" w:hAnsi="Aptos"/>
                <w:b w:val="0"/>
                <w:color w:val="22222A"/>
                <w:sz w:val="16"/>
              </w:rPr>
              <w:t>Depletion date and target-date recharge are produced from deterministic simulation and include the four requested breakdown components.</w:t>
            </w:r>
          </w:p>
        </w:tc>
      </w:tr>
      <w:tr>
        <w:tc>
          <w:tcPr>
            <w:tcW w:type="dxa" w:w="5040"/>
            <w:vAlign w:val="center"/>
          </w:tcPr>
          <w:p>
            <w:r/>
            <w:r>
              <w:rPr>
                <w:rFonts w:ascii="Aptos" w:hAnsi="Aptos"/>
                <w:b w:val="0"/>
                <w:color w:val="22222A"/>
                <w:sz w:val="16"/>
              </w:rPr>
              <w:t>AC-R4</w:t>
            </w:r>
          </w:p>
        </w:tc>
        <w:tc>
          <w:tcPr>
            <w:tcW w:type="dxa" w:w="5040"/>
            <w:vAlign w:val="center"/>
          </w:tcPr>
          <w:p>
            <w:r/>
            <w:r>
              <w:rPr>
                <w:rFonts w:ascii="Aptos" w:hAnsi="Aptos"/>
                <w:b w:val="0"/>
                <w:color w:val="22222A"/>
                <w:sz w:val="16"/>
              </w:rPr>
              <w:t>Two three-month strategies run on identical daily units and identical calendar-month slab logic; the comparison never invents an energy-rate saving from recharge timing.</w:t>
            </w:r>
          </w:p>
        </w:tc>
      </w:tr>
      <w:tr>
        <w:tc>
          <w:tcPr>
            <w:tcW w:type="dxa" w:w="5040"/>
            <w:shd w:fill="F5F4F7"/>
            <w:vAlign w:val="center"/>
          </w:tcPr>
          <w:p>
            <w:r/>
            <w:r>
              <w:rPr>
                <w:rFonts w:ascii="Aptos" w:hAnsi="Aptos"/>
                <w:b w:val="0"/>
                <w:color w:val="22222A"/>
                <w:sz w:val="16"/>
              </w:rPr>
              <w:t>AC-J1</w:t>
            </w:r>
          </w:p>
        </w:tc>
        <w:tc>
          <w:tcPr>
            <w:tcW w:type="dxa" w:w="5040"/>
            <w:shd w:fill="F5F4F7"/>
            <w:vAlign w:val="center"/>
          </w:tcPr>
          <w:p>
            <w:r/>
            <w:r>
              <w:rPr>
                <w:rFonts w:ascii="Aptos" w:hAnsi="Aptos"/>
                <w:b w:val="0"/>
                <w:color w:val="22222A"/>
                <w:sz w:val="16"/>
              </w:rPr>
              <w:t>Recharge amount is clearly distinguished from meter-consumed cost.</w:t>
            </w:r>
          </w:p>
        </w:tc>
      </w:tr>
      <w:tr>
        <w:tc>
          <w:tcPr>
            <w:tcW w:type="dxa" w:w="5040"/>
            <w:vAlign w:val="center"/>
          </w:tcPr>
          <w:p>
            <w:r/>
            <w:r>
              <w:rPr>
                <w:rFonts w:ascii="Aptos" w:hAnsi="Aptos"/>
                <w:b w:val="0"/>
                <w:color w:val="22222A"/>
                <w:sz w:val="16"/>
              </w:rPr>
              <w:t>AC-J2</w:t>
            </w:r>
          </w:p>
        </w:tc>
        <w:tc>
          <w:tcPr>
            <w:tcW w:type="dxa" w:w="5040"/>
            <w:vAlign w:val="center"/>
          </w:tcPr>
          <w:p>
            <w:r/>
            <w:r>
              <w:rPr>
                <w:rFonts w:ascii="Aptos" w:hAnsi="Aptos"/>
                <w:b w:val="0"/>
                <w:color w:val="22222A"/>
                <w:sz w:val="16"/>
              </w:rPr>
              <w:t>A zero-cost difference can be shown without forcing a winner.</w:t>
            </w:r>
          </w:p>
        </w:tc>
      </w:tr>
      <w:tr>
        <w:tc>
          <w:tcPr>
            <w:tcW w:type="dxa" w:w="5040"/>
            <w:shd w:fill="F5F4F7"/>
            <w:vAlign w:val="center"/>
          </w:tcPr>
          <w:p>
            <w:r/>
            <w:r>
              <w:rPr>
                <w:rFonts w:ascii="Aptos" w:hAnsi="Aptos"/>
                <w:b w:val="0"/>
                <w:color w:val="22222A"/>
                <w:sz w:val="16"/>
              </w:rPr>
              <w:t>AC-UX1</w:t>
            </w:r>
          </w:p>
        </w:tc>
        <w:tc>
          <w:tcPr>
            <w:tcW w:type="dxa" w:w="5040"/>
            <w:shd w:fill="F5F4F7"/>
            <w:vAlign w:val="center"/>
          </w:tcPr>
          <w:p>
            <w:r/>
            <w:r>
              <w:rPr>
                <w:rFonts w:ascii="Aptos" w:hAnsi="Aptos"/>
                <w:b w:val="0"/>
                <w:color w:val="22222A"/>
                <w:sz w:val="16"/>
              </w:rPr>
              <w:t>Desktop and mobile layouts are polished, responsive, and readable.</w:t>
            </w:r>
          </w:p>
        </w:tc>
      </w:tr>
      <w:tr>
        <w:tc>
          <w:tcPr>
            <w:tcW w:type="dxa" w:w="5040"/>
            <w:vAlign w:val="center"/>
          </w:tcPr>
          <w:p>
            <w:r/>
            <w:r>
              <w:rPr>
                <w:rFonts w:ascii="Aptos" w:hAnsi="Aptos"/>
                <w:b w:val="0"/>
                <w:color w:val="22222A"/>
                <w:sz w:val="16"/>
              </w:rPr>
              <w:t>AC-UX2</w:t>
            </w:r>
          </w:p>
        </w:tc>
        <w:tc>
          <w:tcPr>
            <w:tcW w:type="dxa" w:w="5040"/>
            <w:vAlign w:val="center"/>
          </w:tcPr>
          <w:p>
            <w:r/>
            <w:r>
              <w:rPr>
                <w:rFonts w:ascii="Aptos" w:hAnsi="Aptos"/>
                <w:b w:val="0"/>
                <w:color w:val="22222A"/>
                <w:sz w:val="16"/>
              </w:rPr>
              <w:t>Animation and 3D enhance the experience without blocking access to numeric results and work with reduced motion.</w:t>
            </w:r>
          </w:p>
        </w:tc>
      </w:tr>
      <w:tr>
        <w:tc>
          <w:tcPr>
            <w:tcW w:type="dxa" w:w="5040"/>
            <w:shd w:fill="F5F4F7"/>
            <w:vAlign w:val="center"/>
          </w:tcPr>
          <w:p>
            <w:r/>
            <w:r>
              <w:rPr>
                <w:rFonts w:ascii="Aptos" w:hAnsi="Aptos"/>
                <w:b w:val="0"/>
                <w:color w:val="22222A"/>
                <w:sz w:val="16"/>
              </w:rPr>
              <w:t>AC-DEP1</w:t>
            </w:r>
          </w:p>
        </w:tc>
        <w:tc>
          <w:tcPr>
            <w:tcW w:type="dxa" w:w="5040"/>
            <w:shd w:fill="F5F4F7"/>
            <w:vAlign w:val="center"/>
          </w:tcPr>
          <w:p>
            <w:r/>
            <w:r>
              <w:rPr>
                <w:rFonts w:ascii="Aptos" w:hAnsi="Aptos"/>
                <w:b w:val="0"/>
                <w:color w:val="22222A"/>
                <w:sz w:val="16"/>
              </w:rPr>
              <w:t>Public URL loads successfully with no database or admin setup required.</w:t>
            </w:r>
          </w:p>
        </w:tc>
      </w:tr>
    </w:tbl>
    <w:p>
      <w:pPr>
        <w:spacing w:after="20"/>
      </w:pPr>
    </w:p>
    <w:p>
      <w:pPr>
        <w:pStyle w:val="Heading1"/>
      </w:pPr>
      <w:r>
        <w:t>16. Deployment &amp; Environment</w:t>
      </w:r>
    </w:p>
    <w:tbl>
      <w:tblPr>
        <w:tblStyle w:val="TableGrid"/>
        <w:tblW w:type="auto" w:w="0"/>
        <w:jc w:val="center"/>
        <w:tblLook w:firstColumn="1" w:firstRow="1" w:lastColumn="0" w:lastRow="0" w:noHBand="0" w:noVBand="1" w:val="04A0"/>
      </w:tblPr>
      <w:tblGrid>
        <w:gridCol w:w="5040"/>
        <w:gridCol w:w="5040"/>
      </w:tblGrid>
      <w:tr>
        <w:tc>
          <w:tcPr>
            <w:tcW w:type="dxa" w:w="5040"/>
            <w:shd w:fill="3B205C"/>
            <w:vAlign w:val="center"/>
          </w:tcPr>
          <w:p>
            <w:r/>
            <w:r>
              <w:rPr>
                <w:rFonts w:ascii="Aptos" w:hAnsi="Aptos"/>
                <w:b/>
                <w:color w:val="FFFFFF"/>
                <w:sz w:val="16"/>
              </w:rPr>
              <w:t>Component</w:t>
            </w:r>
          </w:p>
        </w:tc>
        <w:tc>
          <w:tcPr>
            <w:tcW w:type="dxa" w:w="5040"/>
            <w:shd w:fill="3B205C"/>
            <w:vAlign w:val="center"/>
          </w:tcPr>
          <w:p>
            <w:r/>
            <w:r>
              <w:rPr>
                <w:rFonts w:ascii="Aptos" w:hAnsi="Aptos"/>
                <w:b/>
                <w:color w:val="FFFFFF"/>
                <w:sz w:val="16"/>
              </w:rPr>
              <w:t>Environment variables / assets</w:t>
            </w:r>
          </w:p>
        </w:tc>
      </w:tr>
      <w:tr>
        <w:tc>
          <w:tcPr>
            <w:tcW w:type="dxa" w:w="5040"/>
            <w:shd w:fill="F5F4F7"/>
            <w:vAlign w:val="center"/>
          </w:tcPr>
          <w:p>
            <w:r/>
            <w:r>
              <w:rPr>
                <w:rFonts w:ascii="Aptos" w:hAnsi="Aptos"/>
                <w:b w:val="0"/>
                <w:color w:val="22222A"/>
                <w:sz w:val="16"/>
              </w:rPr>
              <w:t>Frontend</w:t>
            </w:r>
          </w:p>
        </w:tc>
        <w:tc>
          <w:tcPr>
            <w:tcW w:type="dxa" w:w="5040"/>
            <w:shd w:fill="F5F4F7"/>
            <w:vAlign w:val="center"/>
          </w:tcPr>
          <w:p>
            <w:r/>
            <w:r>
              <w:rPr>
                <w:rFonts w:ascii="Aptos" w:hAnsi="Aptos"/>
                <w:b w:val="0"/>
                <w:color w:val="22222A"/>
                <w:sz w:val="16"/>
              </w:rPr>
              <w:t>VITE_API_BASE_URL; optional analytics disabled by default.</w:t>
            </w:r>
          </w:p>
        </w:tc>
      </w:tr>
      <w:tr>
        <w:tc>
          <w:tcPr>
            <w:tcW w:type="dxa" w:w="5040"/>
            <w:vAlign w:val="center"/>
          </w:tcPr>
          <w:p>
            <w:r/>
            <w:r>
              <w:rPr>
                <w:rFonts w:ascii="Aptos" w:hAnsi="Aptos"/>
                <w:b w:val="0"/>
                <w:color w:val="22222A"/>
                <w:sz w:val="16"/>
              </w:rPr>
              <w:t>Backend</w:t>
            </w:r>
          </w:p>
        </w:tc>
        <w:tc>
          <w:tcPr>
            <w:tcW w:type="dxa" w:w="5040"/>
            <w:vAlign w:val="center"/>
          </w:tcPr>
          <w:p>
            <w:r/>
            <w:r>
              <w:rPr>
                <w:rFonts w:ascii="Aptos" w:hAnsi="Aptos"/>
                <w:b w:val="0"/>
                <w:color w:val="22222A"/>
                <w:sz w:val="16"/>
              </w:rPr>
              <w:t>PORT; optional CORS_ORIGINS.</w:t>
            </w:r>
          </w:p>
        </w:tc>
      </w:tr>
      <w:tr>
        <w:tc>
          <w:tcPr>
            <w:tcW w:type="dxa" w:w="5040"/>
            <w:shd w:fill="F5F4F7"/>
            <w:vAlign w:val="center"/>
          </w:tcPr>
          <w:p>
            <w:r/>
            <w:r>
              <w:rPr>
                <w:rFonts w:ascii="Aptos" w:hAnsi="Aptos"/>
                <w:b w:val="0"/>
                <w:color w:val="22222A"/>
                <w:sz w:val="16"/>
              </w:rPr>
              <w:t>Data assets</w:t>
            </w:r>
          </w:p>
        </w:tc>
        <w:tc>
          <w:tcPr>
            <w:tcW w:type="dxa" w:w="5040"/>
            <w:shd w:fill="F5F4F7"/>
            <w:vAlign w:val="center"/>
          </w:tcPr>
          <w:p>
            <w:r/>
            <w:r>
              <w:rPr>
                <w:rFonts w:ascii="Aptos" w:hAnsi="Aptos"/>
                <w:b w:val="0"/>
                <w:color w:val="22222A"/>
                <w:sz w:val="16"/>
              </w:rPr>
              <w:t>public/cases/P10_prepaid_meter_public.json and versioned tariff configuration.</w:t>
            </w:r>
          </w:p>
        </w:tc>
      </w:tr>
      <w:tr>
        <w:tc>
          <w:tcPr>
            <w:tcW w:type="dxa" w:w="5040"/>
            <w:vAlign w:val="center"/>
          </w:tcPr>
          <w:p>
            <w:r/>
            <w:r>
              <w:rPr>
                <w:rFonts w:ascii="Aptos" w:hAnsi="Aptos"/>
                <w:b w:val="0"/>
                <w:color w:val="22222A"/>
                <w:sz w:val="16"/>
              </w:rPr>
              <w:t>No required secrets</w:t>
            </w:r>
          </w:p>
        </w:tc>
        <w:tc>
          <w:tcPr>
            <w:tcW w:type="dxa" w:w="5040"/>
            <w:vAlign w:val="center"/>
          </w:tcPr>
          <w:p>
            <w:r/>
            <w:r>
              <w:rPr>
                <w:rFonts w:ascii="Aptos" w:hAnsi="Aptos"/>
                <w:b w:val="0"/>
                <w:color w:val="22222A"/>
                <w:sz w:val="16"/>
              </w:rPr>
              <w:t>Core calculations do not require API keys.</w:t>
            </w:r>
          </w:p>
        </w:tc>
      </w:tr>
    </w:tbl>
    <w:p>
      <w:pPr>
        <w:spacing w:after="20"/>
      </w:pPr>
    </w:p>
    <w:p>
      <w:pPr>
        <w:pStyle w:val="Heading2"/>
      </w:pPr>
      <w:r>
        <w:t>Deployment checklist</w:t>
      </w:r>
    </w:p>
    <w:p>
      <w:pPr>
        <w:pStyle w:val="ListBullet"/>
        <w:ind w:left="0"/>
      </w:pPr>
      <w:r>
        <w:t>Build frontend in production mode.</w:t>
      </w:r>
    </w:p>
    <w:p>
      <w:pPr>
        <w:pStyle w:val="ListBullet"/>
        <w:ind w:left="0"/>
      </w:pPr>
      <w:r>
        <w:t>Deploy backend with health endpoint /health.</w:t>
      </w:r>
    </w:p>
    <w:p>
      <w:pPr>
        <w:pStyle w:val="ListBullet"/>
        <w:ind w:left="0"/>
      </w:pPr>
      <w:r>
        <w:t>Verify CORS against production frontend origin.</w:t>
      </w:r>
    </w:p>
    <w:p>
      <w:pPr>
        <w:pStyle w:val="ListBullet"/>
        <w:ind w:left="0"/>
      </w:pPr>
      <w:r>
        <w:t>Run smoke tests on all public cases.</w:t>
      </w:r>
    </w:p>
    <w:p>
      <w:pPr>
        <w:pStyle w:val="ListBullet"/>
        <w:ind w:left="0"/>
      </w:pPr>
      <w:r>
        <w:t>Verify tariff version displayed matches deployed configuration.</w:t>
      </w:r>
    </w:p>
    <w:p>
      <w:pPr>
        <w:pStyle w:val="ListBullet"/>
        <w:ind w:left="0"/>
      </w:pPr>
      <w:r>
        <w:t>Verify mobile and reduced-motion behavior.</w:t>
      </w:r>
    </w:p>
    <w:p>
      <w:pPr>
        <w:pStyle w:val="ListBullet"/>
        <w:ind w:left="0"/>
      </w:pPr>
      <w:r>
        <w:t>Provide a short “How this calculation works” drawer for judges.</w:t>
      </w:r>
    </w:p>
    <w:p>
      <w:pPr>
        <w:pStyle w:val="Heading1"/>
      </w:pPr>
      <w:r>
        <w:t>17. Hackathon Execution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B205C"/>
            <w:vAlign w:val="center"/>
          </w:tcPr>
          <w:p>
            <w:r/>
            <w:r>
              <w:rPr>
                <w:rFonts w:ascii="Aptos" w:hAnsi="Aptos"/>
                <w:b/>
                <w:color w:val="FFFFFF"/>
                <w:sz w:val="16"/>
              </w:rPr>
              <w:t>Phase</w:t>
            </w:r>
          </w:p>
        </w:tc>
        <w:tc>
          <w:tcPr>
            <w:tcW w:type="dxa" w:w="3360"/>
            <w:shd w:fill="3B205C"/>
            <w:vAlign w:val="center"/>
          </w:tcPr>
          <w:p>
            <w:r/>
            <w:r>
              <w:rPr>
                <w:rFonts w:ascii="Aptos" w:hAnsi="Aptos"/>
                <w:b/>
                <w:color w:val="FFFFFF"/>
                <w:sz w:val="16"/>
              </w:rPr>
              <w:t>Priority</w:t>
            </w:r>
          </w:p>
        </w:tc>
        <w:tc>
          <w:tcPr>
            <w:tcW w:type="dxa" w:w="3360"/>
            <w:shd w:fill="3B205C"/>
            <w:vAlign w:val="center"/>
          </w:tcPr>
          <w:p>
            <w:r/>
            <w:r>
              <w:rPr>
                <w:rFonts w:ascii="Aptos" w:hAnsi="Aptos"/>
                <w:b/>
                <w:color w:val="FFFFFF"/>
                <w:sz w:val="16"/>
              </w:rPr>
              <w:t>Deliverable</w:t>
            </w:r>
          </w:p>
        </w:tc>
      </w:tr>
      <w:tr>
        <w:tc>
          <w:tcPr>
            <w:tcW w:type="dxa" w:w="3360"/>
            <w:shd w:fill="F5F4F7"/>
            <w:vAlign w:val="center"/>
          </w:tcPr>
          <w:p>
            <w:r/>
            <w:r>
              <w:rPr>
                <w:rFonts w:ascii="Aptos" w:hAnsi="Aptos"/>
                <w:b w:val="0"/>
                <w:color w:val="22222A"/>
                <w:sz w:val="16"/>
              </w:rPr>
              <w:t>Phase 1</w:t>
            </w:r>
          </w:p>
        </w:tc>
        <w:tc>
          <w:tcPr>
            <w:tcW w:type="dxa" w:w="3360"/>
            <w:shd w:fill="F5F4F7"/>
            <w:vAlign w:val="center"/>
          </w:tcPr>
          <w:p>
            <w:r/>
            <w:r>
              <w:rPr>
                <w:rFonts w:ascii="Aptos" w:hAnsi="Aptos"/>
                <w:b w:val="0"/>
                <w:color w:val="22222A"/>
                <w:sz w:val="16"/>
              </w:rPr>
              <w:t>P0</w:t>
            </w:r>
          </w:p>
        </w:tc>
        <w:tc>
          <w:tcPr>
            <w:tcW w:type="dxa" w:w="3360"/>
            <w:shd w:fill="F5F4F7"/>
            <w:vAlign w:val="center"/>
          </w:tcPr>
          <w:p>
            <w:r/>
            <w:r>
              <w:rPr>
                <w:rFonts w:ascii="Aptos" w:hAnsi="Aptos"/>
                <w:b w:val="0"/>
                <w:color w:val="22222A"/>
                <w:sz w:val="16"/>
              </w:rPr>
              <w:t>Tariff config + JSON loader + typed models + slab/fixed/VAT functions.</w:t>
            </w:r>
          </w:p>
        </w:tc>
      </w:tr>
      <w:tr>
        <w:tc>
          <w:tcPr>
            <w:tcW w:type="dxa" w:w="3360"/>
            <w:vAlign w:val="center"/>
          </w:tcPr>
          <w:p>
            <w:r/>
            <w:r>
              <w:rPr>
                <w:rFonts w:ascii="Aptos" w:hAnsi="Aptos"/>
                <w:b w:val="0"/>
                <w:color w:val="22222A"/>
                <w:sz w:val="16"/>
              </w:rPr>
              <w:t>Phase 2</w:t>
            </w:r>
          </w:p>
        </w:tc>
        <w:tc>
          <w:tcPr>
            <w:tcW w:type="dxa" w:w="3360"/>
            <w:vAlign w:val="center"/>
          </w:tcPr>
          <w:p>
            <w:r/>
            <w:r>
              <w:rPr>
                <w:rFonts w:ascii="Aptos" w:hAnsi="Aptos"/>
                <w:b w:val="0"/>
                <w:color w:val="22222A"/>
                <w:sz w:val="16"/>
              </w:rPr>
              <w:t>P0</w:t>
            </w:r>
          </w:p>
        </w:tc>
        <w:tc>
          <w:tcPr>
            <w:tcW w:type="dxa" w:w="3360"/>
            <w:vAlign w:val="center"/>
          </w:tcPr>
          <w:p>
            <w:r/>
            <w:r>
              <w:rPr>
                <w:rFonts w:ascii="Aptos" w:hAnsi="Aptos"/>
                <w:b w:val="0"/>
                <w:color w:val="22222A"/>
                <w:sz w:val="16"/>
              </w:rPr>
              <w:t>Historical meter simulation + daily ledger + balance chart.</w:t>
            </w:r>
          </w:p>
        </w:tc>
      </w:tr>
      <w:tr>
        <w:tc>
          <w:tcPr>
            <w:tcW w:type="dxa" w:w="3360"/>
            <w:shd w:fill="F5F4F7"/>
            <w:vAlign w:val="center"/>
          </w:tcPr>
          <w:p>
            <w:r/>
            <w:r>
              <w:rPr>
                <w:rFonts w:ascii="Aptos" w:hAnsi="Aptos"/>
                <w:b w:val="0"/>
                <w:color w:val="22222A"/>
                <w:sz w:val="16"/>
              </w:rPr>
              <w:t>Phase 3</w:t>
            </w:r>
          </w:p>
        </w:tc>
        <w:tc>
          <w:tcPr>
            <w:tcW w:type="dxa" w:w="3360"/>
            <w:shd w:fill="F5F4F7"/>
            <w:vAlign w:val="center"/>
          </w:tcPr>
          <w:p>
            <w:r/>
            <w:r>
              <w:rPr>
                <w:rFonts w:ascii="Aptos" w:hAnsi="Aptos"/>
                <w:b w:val="0"/>
                <w:color w:val="22222A"/>
                <w:sz w:val="16"/>
              </w:rPr>
              <w:t>P0</w:t>
            </w:r>
          </w:p>
        </w:tc>
        <w:tc>
          <w:tcPr>
            <w:tcW w:type="dxa" w:w="3360"/>
            <w:shd w:fill="F5F4F7"/>
            <w:vAlign w:val="center"/>
          </w:tcPr>
          <w:p>
            <w:r/>
            <w:r>
              <w:rPr>
                <w:rFonts w:ascii="Aptos" w:hAnsi="Aptos"/>
                <w:b w:val="0"/>
                <w:color w:val="22222A"/>
                <w:sz w:val="16"/>
              </w:rPr>
              <w:t>Depletion + target-date recharge advisor + breakdown.</w:t>
            </w:r>
          </w:p>
        </w:tc>
      </w:tr>
      <w:tr>
        <w:tc>
          <w:tcPr>
            <w:tcW w:type="dxa" w:w="3360"/>
            <w:vAlign w:val="center"/>
          </w:tcPr>
          <w:p>
            <w:r/>
            <w:r>
              <w:rPr>
                <w:rFonts w:ascii="Aptos" w:hAnsi="Aptos"/>
                <w:b w:val="0"/>
                <w:color w:val="22222A"/>
                <w:sz w:val="16"/>
              </w:rPr>
              <w:t>Phase 4</w:t>
            </w:r>
          </w:p>
        </w:tc>
        <w:tc>
          <w:tcPr>
            <w:tcW w:type="dxa" w:w="3360"/>
            <w:vAlign w:val="center"/>
          </w:tcPr>
          <w:p>
            <w:r/>
            <w:r>
              <w:rPr>
                <w:rFonts w:ascii="Aptos" w:hAnsi="Aptos"/>
                <w:b w:val="0"/>
                <w:color w:val="22222A"/>
                <w:sz w:val="16"/>
              </w:rPr>
              <w:t>P0</w:t>
            </w:r>
          </w:p>
        </w:tc>
        <w:tc>
          <w:tcPr>
            <w:tcW w:type="dxa" w:w="3360"/>
            <w:vAlign w:val="center"/>
          </w:tcPr>
          <w:p>
            <w:r/>
            <w:r>
              <w:rPr>
                <w:rFonts w:ascii="Aptos" w:hAnsi="Aptos"/>
                <w:b w:val="0"/>
                <w:color w:val="22222A"/>
                <w:sz w:val="16"/>
              </w:rPr>
              <w:t>Three-month strategy comparison + judge clarification UI.</w:t>
            </w:r>
          </w:p>
        </w:tc>
      </w:tr>
      <w:tr>
        <w:tc>
          <w:tcPr>
            <w:tcW w:type="dxa" w:w="3360"/>
            <w:shd w:fill="F5F4F7"/>
            <w:vAlign w:val="center"/>
          </w:tcPr>
          <w:p>
            <w:r/>
            <w:r>
              <w:rPr>
                <w:rFonts w:ascii="Aptos" w:hAnsi="Aptos"/>
                <w:b w:val="0"/>
                <w:color w:val="22222A"/>
                <w:sz w:val="16"/>
              </w:rPr>
              <w:t>Phase 5</w:t>
            </w:r>
          </w:p>
        </w:tc>
        <w:tc>
          <w:tcPr>
            <w:tcW w:type="dxa" w:w="3360"/>
            <w:shd w:fill="F5F4F7"/>
            <w:vAlign w:val="center"/>
          </w:tcPr>
          <w:p>
            <w:r/>
            <w:r>
              <w:rPr>
                <w:rFonts w:ascii="Aptos" w:hAnsi="Aptos"/>
                <w:b w:val="0"/>
                <w:color w:val="22222A"/>
                <w:sz w:val="16"/>
              </w:rPr>
              <w:t>P1</w:t>
            </w:r>
          </w:p>
        </w:tc>
        <w:tc>
          <w:tcPr>
            <w:tcW w:type="dxa" w:w="3360"/>
            <w:shd w:fill="F5F4F7"/>
            <w:vAlign w:val="center"/>
          </w:tcPr>
          <w:p>
            <w:r/>
            <w:r>
              <w:rPr>
                <w:rFonts w:ascii="Aptos" w:hAnsi="Aptos"/>
                <w:b w:val="0"/>
                <w:color w:val="22222A"/>
                <w:sz w:val="16"/>
              </w:rPr>
              <w:t>Polished dashboard, responsive layouts, charts, interaction design.</w:t>
            </w:r>
          </w:p>
        </w:tc>
      </w:tr>
      <w:tr>
        <w:tc>
          <w:tcPr>
            <w:tcW w:type="dxa" w:w="3360"/>
            <w:vAlign w:val="center"/>
          </w:tcPr>
          <w:p>
            <w:r/>
            <w:r>
              <w:rPr>
                <w:rFonts w:ascii="Aptos" w:hAnsi="Aptos"/>
                <w:b w:val="0"/>
                <w:color w:val="22222A"/>
                <w:sz w:val="16"/>
              </w:rPr>
              <w:t>Phase 6</w:t>
            </w:r>
          </w:p>
        </w:tc>
        <w:tc>
          <w:tcPr>
            <w:tcW w:type="dxa" w:w="3360"/>
            <w:vAlign w:val="center"/>
          </w:tcPr>
          <w:p>
            <w:r/>
            <w:r>
              <w:rPr>
                <w:rFonts w:ascii="Aptos" w:hAnsi="Aptos"/>
                <w:b w:val="0"/>
                <w:color w:val="22222A"/>
                <w:sz w:val="16"/>
              </w:rPr>
              <w:t>P1</w:t>
            </w:r>
          </w:p>
        </w:tc>
        <w:tc>
          <w:tcPr>
            <w:tcW w:type="dxa" w:w="3360"/>
            <w:vAlign w:val="center"/>
          </w:tcPr>
          <w:p>
            <w:r/>
            <w:r>
              <w:rPr>
                <w:rFonts w:ascii="Aptos" w:hAnsi="Aptos"/>
                <w:b w:val="0"/>
                <w:color w:val="22222A"/>
                <w:sz w:val="16"/>
              </w:rPr>
              <w:t>3D hero, micro-interactions, reduced-motion support.</w:t>
            </w:r>
          </w:p>
        </w:tc>
      </w:tr>
      <w:tr>
        <w:tc>
          <w:tcPr>
            <w:tcW w:type="dxa" w:w="3360"/>
            <w:shd w:fill="F5F4F7"/>
            <w:vAlign w:val="center"/>
          </w:tcPr>
          <w:p>
            <w:r/>
            <w:r>
              <w:rPr>
                <w:rFonts w:ascii="Aptos" w:hAnsi="Aptos"/>
                <w:b w:val="0"/>
                <w:color w:val="22222A"/>
                <w:sz w:val="16"/>
              </w:rPr>
              <w:t>Phase 7</w:t>
            </w:r>
          </w:p>
        </w:tc>
        <w:tc>
          <w:tcPr>
            <w:tcW w:type="dxa" w:w="3360"/>
            <w:shd w:fill="F5F4F7"/>
            <w:vAlign w:val="center"/>
          </w:tcPr>
          <w:p>
            <w:r/>
            <w:r>
              <w:rPr>
                <w:rFonts w:ascii="Aptos" w:hAnsi="Aptos"/>
                <w:b w:val="0"/>
                <w:color w:val="22222A"/>
                <w:sz w:val="16"/>
              </w:rPr>
              <w:t>P0</w:t>
            </w:r>
          </w:p>
        </w:tc>
        <w:tc>
          <w:tcPr>
            <w:tcW w:type="dxa" w:w="3360"/>
            <w:shd w:fill="F5F4F7"/>
            <w:vAlign w:val="center"/>
          </w:tcPr>
          <w:p>
            <w:r/>
            <w:r>
              <w:rPr>
                <w:rFonts w:ascii="Aptos" w:hAnsi="Aptos"/>
                <w:b w:val="0"/>
                <w:color w:val="22222A"/>
                <w:sz w:val="16"/>
              </w:rPr>
              <w:t>Unit tests, public-case regression tests, deployment and demo rehearsal.</w:t>
            </w:r>
          </w:p>
        </w:tc>
      </w:tr>
    </w:tbl>
    <w:p>
      <w:pPr>
        <w:spacing w:after="20"/>
      </w:pPr>
    </w:p>
    <w:p>
      <w:pPr>
        <w:pStyle w:val="Heading2"/>
      </w:pPr>
      <w:r>
        <w:t>2–3 hour MVP order</w:t>
      </w:r>
    </w:p>
    <w:p>
      <w:pPr>
        <w:ind w:left="202" w:hanging="202"/>
      </w:pPr>
      <w:r>
        <w:rPr>
          <w:b/>
        </w:rPr>
        <w:t xml:space="preserve">1.  </w:t>
      </w:r>
      <w:r>
        <w:t>Build and test calculation engine before UI polish.</w:t>
      </w:r>
    </w:p>
    <w:p>
      <w:pPr>
        <w:ind w:left="202" w:hanging="202"/>
      </w:pPr>
      <w:r>
        <w:rPr>
          <w:b/>
        </w:rPr>
        <w:t xml:space="preserve">2.  </w:t>
      </w:r>
      <w:r>
        <w:t>Expose 4–6 API endpoints.</w:t>
      </w:r>
    </w:p>
    <w:p>
      <w:pPr>
        <w:ind w:left="202" w:hanging="202"/>
      </w:pPr>
      <w:r>
        <w:rPr>
          <w:b/>
        </w:rPr>
        <w:t xml:space="preserve">3.  </w:t>
      </w:r>
      <w:r>
        <w:t>Build Overview + Advisor + Comparison first; Simulation and Case Data can follow.</w:t>
      </w:r>
    </w:p>
    <w:p>
      <w:pPr>
        <w:ind w:left="202" w:hanging="202"/>
      </w:pPr>
      <w:r>
        <w:rPr>
          <w:b/>
        </w:rPr>
        <w:t xml:space="preserve">4.  </w:t>
      </w:r>
      <w:r>
        <w:t>Add chart and one restrained 3D visual only after numerical correctness is locked.</w:t>
      </w:r>
    </w:p>
    <w:p>
      <w:pPr>
        <w:ind w:left="202" w:hanging="202"/>
      </w:pPr>
      <w:r>
        <w:rPr>
          <w:b/>
        </w:rPr>
        <w:t xml:space="preserve">5.  </w:t>
      </w:r>
      <w:r>
        <w:t>Deploy early, then run regression tests against the public cases.</w:t>
      </w:r>
    </w:p>
    <w:p>
      <w:pPr>
        <w:pStyle w:val="Heading1"/>
      </w:pPr>
      <w:r>
        <w:t>18. Judge Demo Flow</w:t>
      </w:r>
    </w:p>
    <w:p>
      <w:pPr>
        <w:ind w:left="202" w:hanging="202"/>
      </w:pPr>
      <w:r>
        <w:rPr>
          <w:b/>
        </w:rPr>
        <w:t xml:space="preserve">1.  </w:t>
      </w:r>
      <w:r>
        <w:t>Open the app and select PUB-01.</w:t>
      </w:r>
    </w:p>
    <w:p>
      <w:pPr>
        <w:ind w:left="202" w:hanging="202"/>
      </w:pPr>
      <w:r>
        <w:rPr>
          <w:b/>
        </w:rPr>
        <w:t xml:space="preserve">2.  </w:t>
      </w:r>
      <w:r>
        <w:t>Show the current balance and historical usage trend.</w:t>
      </w:r>
    </w:p>
    <w:p>
      <w:pPr>
        <w:ind w:left="202" w:hanging="202"/>
      </w:pPr>
      <w:r>
        <w:rPr>
          <w:b/>
        </w:rPr>
        <w:t xml:space="preserve">3.  </w:t>
      </w:r>
      <w:r>
        <w:t>Open Simulation and point out that recharge markers sit on the balance curve while the monthly slab counter progresses independently.</w:t>
      </w:r>
    </w:p>
    <w:p>
      <w:pPr>
        <w:ind w:left="202" w:hanging="202"/>
      </w:pPr>
      <w:r>
        <w:rPr>
          <w:b/>
        </w:rPr>
        <w:t xml:space="preserve">4.  </w:t>
      </w:r>
      <w:r>
        <w:t>Open Advisor and show the depletion date and target-date recharge.</w:t>
      </w:r>
    </w:p>
    <w:p>
      <w:pPr>
        <w:ind w:left="202" w:hanging="202"/>
      </w:pPr>
      <w:r>
        <w:rPr>
          <w:b/>
        </w:rPr>
        <w:t xml:space="preserve">5.  </w:t>
      </w:r>
      <w:r>
        <w:t>Open the cost breakdown and distinguish energy, higher-slab effect, fixed charges, VAT, and deposit.</w:t>
      </w:r>
    </w:p>
    <w:p>
      <w:pPr>
        <w:ind w:left="202" w:hanging="202"/>
      </w:pPr>
      <w:r>
        <w:rPr>
          <w:b/>
        </w:rPr>
        <w:t xml:space="preserve">6.  </w:t>
      </w:r>
      <w:r>
        <w:t>Open Comparison and explicitly state: “Both strategies use the same daily readings and the same calendar-month slab counter; any difference comes from fixed-charge occurrence, not a fabricated energy-rate saving.”</w:t>
      </w:r>
    </w:p>
    <w:p>
      <w:pPr>
        <w:ind w:left="202" w:hanging="202"/>
      </w:pPr>
      <w:r>
        <w:rPr>
          <w:b/>
        </w:rPr>
        <w:t xml:space="preserve">7.  </w:t>
      </w:r>
      <w:r>
        <w:t>Show the exact difference; if the result is zero, display “Equal cost” rather than choosing a winner.</w:t>
      </w:r>
    </w:p>
    <w:p>
      <w:pPr>
        <w:ind w:left="202" w:hanging="202"/>
      </w:pPr>
      <w:r>
        <w:rPr>
          <w:b/>
        </w:rPr>
        <w:t xml:space="preserve">8.  </w:t>
      </w:r>
      <w:r>
        <w:t>Open the calculation-details drawer to show tariff version and assumptions.</w:t>
      </w:r>
    </w:p>
    <w:p>
      <w:pPr>
        <w:pStyle w:val="Heading1"/>
      </w:pPr>
      <w:r>
        <w:t>19. Open Questions / Inputs Required Before Coding</w:t>
      </w:r>
    </w:p>
    <w:tbl>
      <w:tblPr>
        <w:tblW w:type="auto" w:w="0"/>
        <w:jc w:val="center"/>
        <w:tblLook w:firstColumn="1" w:firstRow="1" w:lastColumn="0" w:lastRow="0" w:noHBand="0" w:noVBand="1" w:val="04A0"/>
      </w:tblPr>
      <w:tblGrid>
        <w:gridCol w:w="10080"/>
      </w:tblGrid>
      <w:tr>
        <w:tc>
          <w:tcPr>
            <w:tcW w:type="dxa" w:w="10080"/>
            <w:shd w:fill="F1EFF6"/>
          </w:tcPr>
          <w:p>
            <w:r>
              <w:rPr>
                <w:b/>
                <w:color w:val="3B205C"/>
                <w:sz w:val="18"/>
              </w:rPr>
              <w:t>Critical input still required</w:t>
              <w:br/>
            </w:r>
            <w:r>
              <w:rPr>
                <w:color w:val="22222A"/>
                <w:sz w:val="17"/>
              </w:rPr>
              <w:t>The uploaded P10 JSON contains the case schema and case data, but the actual tariff table referenced by the problem statement (“tariff above”) is not included in the JSON excerpt. Before implementing the numeric engine, load the authoritative tariff specification from the hackathon statement. This must include slab boundaries/rates, demand charge, meter rent, VAT rule, rounding rules, and any exact recharge/charge ordering semantics. Do not guess these values.</w:t>
            </w:r>
          </w:p>
        </w:tc>
      </w:tr>
    </w:tbl>
    <w:p>
      <w:pPr>
        <w:spacing w:after="0"/>
      </w:pPr>
    </w:p>
    <w:p>
      <w:pPr>
        <w:pStyle w:val="ListBullet"/>
        <w:ind w:left="0"/>
      </w:pPr>
      <w:r>
        <w:t>Confirm exact tariff table and rounding convention from the challenge statement.</w:t>
      </w:r>
    </w:p>
    <w:p>
      <w:pPr>
        <w:pStyle w:val="ListBullet"/>
        <w:ind w:left="0"/>
      </w:pPr>
      <w:r>
        <w:t>Confirm the exact convention for a day where a recharge and consumption both occur and balance is insufficient before the recharge event.</w:t>
      </w:r>
    </w:p>
    <w:p>
      <w:pPr>
        <w:pStyle w:val="ListBullet"/>
        <w:ind w:left="0"/>
      </w:pPr>
      <w:r>
        <w:t>Confirm whether “higher-slab effect” is defined against the first slab rate or another reference basis in the challenge’s official wording.</w:t>
      </w:r>
    </w:p>
    <w:p>
      <w:pPr>
        <w:pStyle w:val="Heading1"/>
      </w:pPr>
      <w:r>
        <w:t>20. Final Product Requirements Checklist</w:t>
      </w:r>
    </w:p>
    <w:p>
      <w:pPr>
        <w:pStyle w:val="ListBullet"/>
        <w:ind w:left="0"/>
      </w:pPr>
      <w:r>
        <w:t>[ ] Six+ months of daily readings supported and validated.</w:t>
      </w:r>
    </w:p>
    <w:p>
      <w:pPr>
        <w:pStyle w:val="ListBullet"/>
        <w:ind w:left="0"/>
      </w:pPr>
      <w:r>
        <w:t>[ ] Light month, heavy summer month, and last-week large recharge visible in case data.</w:t>
      </w:r>
    </w:p>
    <w:p>
      <w:pPr>
        <w:pStyle w:val="ListBullet"/>
        <w:ind w:left="0"/>
      </w:pPr>
      <w:r>
        <w:t>[ ] Daily balance reconstructed from opening balance + recharges - meter costs.</w:t>
      </w:r>
    </w:p>
    <w:p>
      <w:pPr>
        <w:pStyle w:val="ListBullet"/>
        <w:ind w:left="0"/>
      </w:pPr>
      <w:r>
        <w:t>[ ] Monthly slab counter resets only at calendar-month boundaries.</w:t>
      </w:r>
    </w:p>
    <w:p>
      <w:pPr>
        <w:pStyle w:val="ListBullet"/>
        <w:ind w:left="0"/>
      </w:pPr>
      <w:r>
        <w:t>[ ] A day can span multiple slabs.</w:t>
      </w:r>
    </w:p>
    <w:p>
      <w:pPr>
        <w:pStyle w:val="ListBullet"/>
        <w:ind w:left="0"/>
      </w:pPr>
      <w:r>
        <w:t>[ ] Recharge does not reset slab counter.</w:t>
      </w:r>
    </w:p>
    <w:p>
      <w:pPr>
        <w:pStyle w:val="ListBullet"/>
        <w:ind w:left="0"/>
      </w:pPr>
      <w:r>
        <w:t>[ ] Demand charge and meter rent apply on first recharge of each month only, per tariff.</w:t>
      </w:r>
    </w:p>
    <w:p>
      <w:pPr>
        <w:pStyle w:val="ListBullet"/>
        <w:ind w:left="0"/>
      </w:pPr>
      <w:r>
        <w:t>[ ] VAT is calculated separately and visibly.</w:t>
      </w:r>
    </w:p>
    <w:p>
      <w:pPr>
        <w:pStyle w:val="ListBullet"/>
        <w:ind w:left="0"/>
      </w:pPr>
      <w:r>
        <w:t>[ ] Every recharge is marked on the balance line.</w:t>
      </w:r>
    </w:p>
    <w:p>
      <w:pPr>
        <w:pStyle w:val="ListBullet"/>
        <w:ind w:left="0"/>
      </w:pPr>
      <w:r>
        <w:t>[ ] Depletion date is deterministic and explainable.</w:t>
      </w:r>
    </w:p>
    <w:p>
      <w:pPr>
        <w:pStyle w:val="ListBullet"/>
        <w:ind w:left="0"/>
      </w:pPr>
      <w:r>
        <w:t>[ ] Target-date recharge is deterministic and decomposed into four required parts.</w:t>
      </w:r>
    </w:p>
    <w:p>
      <w:pPr>
        <w:pStyle w:val="ListBullet"/>
        <w:ind w:left="0"/>
      </w:pPr>
      <w:r>
        <w:t>[ ] Low-balance and monthly habits share identical daily consumption and slab progression.</w:t>
      </w:r>
    </w:p>
    <w:p>
      <w:pPr>
        <w:pStyle w:val="ListBullet"/>
        <w:ind w:left="0"/>
      </w:pPr>
      <w:r>
        <w:t>[ ] Comparison cost excludes the recharge/deposit amount itself.</w:t>
      </w:r>
    </w:p>
    <w:p>
      <w:pPr>
        <w:pStyle w:val="ListBullet"/>
        <w:ind w:left="0"/>
      </w:pPr>
      <w:r>
        <w:t>[ ] Tie outcomes are supported.</w:t>
      </w:r>
    </w:p>
    <w:p>
      <w:pPr>
        <w:pStyle w:val="ListBullet"/>
        <w:ind w:left="0"/>
      </w:pPr>
      <w:r>
        <w:t>[ ] No invented energy-rate savings from recharge timing.</w:t>
      </w:r>
    </w:p>
    <w:p>
      <w:pPr>
        <w:pStyle w:val="ListBullet"/>
        <w:ind w:left="0"/>
      </w:pPr>
      <w:r>
        <w:t>[ ] Professional responsive UI, restrained animation, purposeful 3D, reduced-motion support.</w:t>
      </w:r>
    </w:p>
    <w:p>
      <w:pPr>
        <w:pStyle w:val="ListBullet"/>
        <w:ind w:left="0"/>
      </w:pPr>
      <w:r>
        <w:t>[ ] No database/admin dependency for MVP.</w:t>
      </w:r>
    </w:p>
    <w:p>
      <w:pPr>
        <w:pStyle w:val="ListBullet"/>
        <w:ind w:left="0"/>
      </w:pPr>
      <w:r>
        <w:t>[ ] Production deployment has health checks, CORS, validation, and regression tests.</w:t>
      </w:r>
    </w:p>
    <w:p>
      <w:pPr>
        <w:jc w:val="center"/>
      </w:pPr>
      <w:r>
        <w:rPr>
          <w:b/>
          <w:color w:val="3B205C"/>
        </w:rPr>
        <w:t>End of PRD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A73"/>
        <w:sz w:val="15"/>
      </w:rPr>
      <w:t>Hackathon PRD  •  Version 1.0  •  30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A73"/>
        <w:sz w:val="15"/>
      </w:rPr>
      <w:t>P10  |  PREPAID METER RECHARGE ADVISOR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B205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B205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18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41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40"/>
    </w:pPr>
    <w:rPr>
      <w:rFonts w:ascii="Aptos" w:hAnsi="Aptos"/>
      <w:b/>
      <w:color w:val="F4B94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P10 Prepaid Meter Recharge Advisor — Product Requirements Document</dc:title>
  <dc:subject>Hackathon PRD</dc:subject>
  <dc:creator>OpenAI</dc:creator>
  <cp:keywords>P10, prepaid meter, recharge advisor, hackathon, PRD</cp:keywords>
  <dc:description>generated by python-docx</dc:description>
  <cp:lastModifiedBy/>
  <cp:revision>1</cp:revision>
  <dcterms:created xsi:type="dcterms:W3CDTF">2013-12-23T23:15:00Z</dcterms:created>
  <dcterms:modified xsi:type="dcterms:W3CDTF">2013-12-23T23:15:00Z</dcterms:modified>
  <cp:category/>
</cp:coreProperties>
</file>