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62F5" w14:textId="136BFEFF" w:rsidR="00253AF4" w:rsidRPr="00CB7660" w:rsidRDefault="00C67E98" w:rsidP="007D2047">
      <w:pPr>
        <w:pStyle w:val="ListParagraph"/>
        <w:numPr>
          <w:ilvl w:val="0"/>
          <w:numId w:val="2"/>
        </w:numPr>
        <w:ind w:left="714" w:hanging="357"/>
        <w:contextualSpacing w:val="0"/>
        <w:jc w:val="both"/>
        <w:rPr>
          <w:sz w:val="28"/>
          <w:szCs w:val="28"/>
        </w:rPr>
      </w:pPr>
      <w:r w:rsidRPr="00CB7660">
        <w:rPr>
          <w:rFonts w:hint="eastAsia"/>
          <w:sz w:val="28"/>
          <w:szCs w:val="28"/>
        </w:rPr>
        <w:t>それでは、発表を始めさせて頂きます。タイトルは、</w:t>
      </w:r>
      <w:r w:rsidRPr="00CB7660">
        <w:rPr>
          <w:sz w:val="28"/>
          <w:szCs w:val="28"/>
        </w:rPr>
        <w:t>The Dynamics Between Inflation and Unemployment:</w:t>
      </w:r>
      <w:r w:rsidRPr="00CB7660">
        <w:rPr>
          <w:rFonts w:hint="eastAsia"/>
          <w:sz w:val="28"/>
          <w:szCs w:val="28"/>
        </w:rPr>
        <w:t xml:space="preserve"> </w:t>
      </w:r>
      <w:r w:rsidRPr="00CB7660">
        <w:rPr>
          <w:sz w:val="28"/>
          <w:szCs w:val="28"/>
        </w:rPr>
        <w:t>Empirical Evidence from U.S. Macroeconomic Data</w:t>
      </w:r>
      <w:r w:rsidRPr="00CB7660">
        <w:rPr>
          <w:rFonts w:hint="eastAsia"/>
          <w:sz w:val="28"/>
          <w:szCs w:val="28"/>
        </w:rPr>
        <w:t>です。</w:t>
      </w:r>
    </w:p>
    <w:p w14:paraId="70E5EE48" w14:textId="3EE7A9DB" w:rsidR="001B562D" w:rsidRPr="00CB7660" w:rsidRDefault="001B562D" w:rsidP="007D2047">
      <w:pPr>
        <w:pStyle w:val="ListParagraph"/>
        <w:numPr>
          <w:ilvl w:val="0"/>
          <w:numId w:val="2"/>
        </w:numPr>
        <w:ind w:left="714" w:hanging="357"/>
        <w:contextualSpacing w:val="0"/>
        <w:jc w:val="both"/>
        <w:rPr>
          <w:sz w:val="28"/>
          <w:szCs w:val="28"/>
          <w:shd w:val="pct15" w:color="auto" w:fill="FFFFFF"/>
        </w:rPr>
      </w:pPr>
      <w:r w:rsidRPr="00CB7660">
        <w:rPr>
          <w:sz w:val="28"/>
          <w:szCs w:val="28"/>
          <w:shd w:val="pct15" w:color="auto" w:fill="FFFFFF"/>
        </w:rPr>
        <w:t>Now, I would like to begin my presentation. The title is The Dynamics Between Inflation and Unemployment: Empirical Evidence from U.S. Macroeconomic Data.</w:t>
      </w:r>
    </w:p>
    <w:p w14:paraId="1590E61A" w14:textId="642686E1" w:rsidR="006C70B2" w:rsidRPr="00CB7660" w:rsidRDefault="006C70B2" w:rsidP="007D2047">
      <w:pPr>
        <w:pStyle w:val="ListParagraph"/>
        <w:numPr>
          <w:ilvl w:val="0"/>
          <w:numId w:val="2"/>
        </w:numPr>
        <w:ind w:left="714" w:hanging="357"/>
        <w:contextualSpacing w:val="0"/>
        <w:jc w:val="both"/>
        <w:rPr>
          <w:sz w:val="28"/>
          <w:szCs w:val="28"/>
        </w:rPr>
      </w:pPr>
      <w:r w:rsidRPr="00CB7660">
        <w:rPr>
          <w:rFonts w:hint="eastAsia"/>
          <w:sz w:val="28"/>
          <w:szCs w:val="28"/>
        </w:rPr>
        <w:t>本日のアウトラインは、こちらに示す通りです。</w:t>
      </w:r>
    </w:p>
    <w:p w14:paraId="7233DD43" w14:textId="0D2BE69B" w:rsidR="001F575B" w:rsidRDefault="006C70B2" w:rsidP="007D2047">
      <w:pPr>
        <w:pStyle w:val="ListParagraph"/>
        <w:numPr>
          <w:ilvl w:val="0"/>
          <w:numId w:val="2"/>
        </w:numPr>
        <w:ind w:left="714" w:hanging="357"/>
        <w:contextualSpacing w:val="0"/>
        <w:jc w:val="both"/>
        <w:rPr>
          <w:sz w:val="28"/>
          <w:szCs w:val="28"/>
          <w:shd w:val="pct15" w:color="auto" w:fill="FFFFFF"/>
        </w:rPr>
      </w:pPr>
      <w:r w:rsidRPr="00CB7660">
        <w:rPr>
          <w:sz w:val="28"/>
          <w:szCs w:val="28"/>
          <w:shd w:val="pct15" w:color="auto" w:fill="FFFFFF"/>
        </w:rPr>
        <w:t>Here is today's outline.</w:t>
      </w:r>
    </w:p>
    <w:p w14:paraId="683A91F6" w14:textId="77777777" w:rsidR="001F575B" w:rsidRDefault="001F575B">
      <w:pPr>
        <w:rPr>
          <w:sz w:val="28"/>
          <w:szCs w:val="28"/>
          <w:shd w:val="pct15" w:color="auto" w:fill="FFFFFF"/>
        </w:rPr>
      </w:pPr>
      <w:r>
        <w:rPr>
          <w:sz w:val="28"/>
          <w:szCs w:val="28"/>
          <w:shd w:val="pct15" w:color="auto" w:fill="FFFFFF"/>
        </w:rPr>
        <w:br w:type="page"/>
      </w:r>
    </w:p>
    <w:p w14:paraId="40830C68" w14:textId="01772FF6" w:rsidR="00332329" w:rsidRPr="00CB7660" w:rsidRDefault="00BD49B3" w:rsidP="007D2047">
      <w:pPr>
        <w:pStyle w:val="ListParagraph"/>
        <w:numPr>
          <w:ilvl w:val="0"/>
          <w:numId w:val="1"/>
        </w:numPr>
        <w:contextualSpacing w:val="0"/>
        <w:rPr>
          <w:sz w:val="28"/>
          <w:szCs w:val="28"/>
        </w:rPr>
      </w:pPr>
      <w:r w:rsidRPr="00CB7660">
        <w:rPr>
          <w:rFonts w:hint="eastAsia"/>
          <w:sz w:val="28"/>
          <w:szCs w:val="28"/>
        </w:rPr>
        <w:lastRenderedPageBreak/>
        <w:t>Introduction</w:t>
      </w:r>
    </w:p>
    <w:p w14:paraId="316A8597" w14:textId="77777777" w:rsidR="000E22C1" w:rsidRPr="000E22C1" w:rsidRDefault="000E22C1" w:rsidP="000E22C1">
      <w:pPr>
        <w:pStyle w:val="ListParagraph"/>
        <w:numPr>
          <w:ilvl w:val="0"/>
          <w:numId w:val="3"/>
        </w:numPr>
        <w:jc w:val="both"/>
        <w:rPr>
          <w:sz w:val="28"/>
          <w:szCs w:val="28"/>
          <w:shd w:val="pct15" w:color="auto" w:fill="FFFFFF"/>
        </w:rPr>
      </w:pPr>
      <w:r w:rsidRPr="000E22C1">
        <w:rPr>
          <w:sz w:val="28"/>
          <w:szCs w:val="28"/>
          <w:shd w:val="pct15" w:color="auto" w:fill="FFFFFF"/>
        </w:rPr>
        <w:t>In this study, I examine why the inflation–unemployment relationship, or the Phillips curve, has become increasingly unstable.</w:t>
      </w:r>
    </w:p>
    <w:p w14:paraId="65A70C98" w14:textId="4383F5CB" w:rsidR="000E22C1" w:rsidRPr="000E22C1" w:rsidRDefault="000E22C1" w:rsidP="000E22C1">
      <w:pPr>
        <w:pStyle w:val="ListParagraph"/>
        <w:numPr>
          <w:ilvl w:val="0"/>
          <w:numId w:val="3"/>
        </w:numPr>
        <w:jc w:val="both"/>
        <w:rPr>
          <w:sz w:val="28"/>
          <w:szCs w:val="28"/>
          <w:shd w:val="pct15" w:color="auto" w:fill="FFFFFF"/>
        </w:rPr>
      </w:pPr>
      <w:r w:rsidRPr="000E22C1">
        <w:rPr>
          <w:sz w:val="28"/>
          <w:szCs w:val="28"/>
          <w:shd w:val="pct15" w:color="auto" w:fill="FFFFFF"/>
        </w:rPr>
        <w:t>Recent evidence shows that the curve has flattened and may behave nonlinearly, suggesting that its dynamics differ across economic regimes.</w:t>
      </w:r>
    </w:p>
    <w:p w14:paraId="7C3FFADF" w14:textId="77777777" w:rsidR="00CF2D4E" w:rsidRDefault="000E22C1" w:rsidP="000E22C1">
      <w:pPr>
        <w:pStyle w:val="ListParagraph"/>
        <w:numPr>
          <w:ilvl w:val="0"/>
          <w:numId w:val="3"/>
        </w:numPr>
        <w:jc w:val="both"/>
        <w:rPr>
          <w:sz w:val="28"/>
          <w:szCs w:val="28"/>
          <w:shd w:val="pct15" w:color="auto" w:fill="FFFFFF"/>
        </w:rPr>
      </w:pPr>
      <w:r w:rsidRPr="000E22C1">
        <w:rPr>
          <w:sz w:val="28"/>
          <w:szCs w:val="28"/>
          <w:shd w:val="pct15" w:color="auto" w:fill="FFFFFF"/>
        </w:rPr>
        <w:t>To better understand these changes, it is essential to uncover the macroeconomic factors that drive inflation and unemployment, and to identify potential regime shifts in the data.</w:t>
      </w:r>
    </w:p>
    <w:p w14:paraId="5CBC4E26" w14:textId="4CE80621" w:rsidR="000E22C1" w:rsidRDefault="000E22C1" w:rsidP="000E22C1">
      <w:pPr>
        <w:pStyle w:val="ListParagraph"/>
        <w:numPr>
          <w:ilvl w:val="0"/>
          <w:numId w:val="3"/>
        </w:numPr>
        <w:jc w:val="both"/>
        <w:rPr>
          <w:sz w:val="28"/>
          <w:szCs w:val="28"/>
          <w:shd w:val="pct15" w:color="auto" w:fill="FFFFFF"/>
        </w:rPr>
      </w:pPr>
      <w:r w:rsidRPr="000E22C1">
        <w:rPr>
          <w:sz w:val="28"/>
          <w:szCs w:val="28"/>
          <w:shd w:val="pct15" w:color="auto" w:fill="FFFFFF"/>
        </w:rPr>
        <w:t>Machine-learning methods can help classify these economic states, although their interpretability remains limited.</w:t>
      </w:r>
    </w:p>
    <w:p w14:paraId="7365F4C7" w14:textId="77777777" w:rsidR="00C2645A" w:rsidRPr="000E22C1" w:rsidRDefault="00C2645A" w:rsidP="00C2645A">
      <w:pPr>
        <w:pStyle w:val="ListParagraph"/>
        <w:jc w:val="both"/>
        <w:rPr>
          <w:sz w:val="28"/>
          <w:szCs w:val="28"/>
          <w:shd w:val="pct15" w:color="auto" w:fill="FFFFFF"/>
        </w:rPr>
      </w:pPr>
    </w:p>
    <w:p w14:paraId="3F0EF37A" w14:textId="77777777" w:rsidR="000E22C1" w:rsidRPr="000E22C1" w:rsidRDefault="000E22C1" w:rsidP="000E22C1">
      <w:pPr>
        <w:pStyle w:val="ListParagraph"/>
        <w:numPr>
          <w:ilvl w:val="0"/>
          <w:numId w:val="3"/>
        </w:numPr>
        <w:jc w:val="both"/>
        <w:rPr>
          <w:sz w:val="28"/>
          <w:szCs w:val="28"/>
          <w:shd w:val="pct15" w:color="auto" w:fill="FFFFFF"/>
        </w:rPr>
      </w:pPr>
      <w:r w:rsidRPr="000E22C1">
        <w:rPr>
          <w:sz w:val="28"/>
          <w:szCs w:val="28"/>
          <w:shd w:val="pct15" w:color="auto" w:fill="FFFFFF"/>
        </w:rPr>
        <w:t>This study has three main goals.</w:t>
      </w:r>
    </w:p>
    <w:p w14:paraId="3B9F69D6" w14:textId="77777777" w:rsidR="000E22C1" w:rsidRPr="000E22C1" w:rsidRDefault="000E22C1" w:rsidP="000E22C1">
      <w:pPr>
        <w:pStyle w:val="ListParagraph"/>
        <w:numPr>
          <w:ilvl w:val="0"/>
          <w:numId w:val="3"/>
        </w:numPr>
        <w:jc w:val="both"/>
        <w:rPr>
          <w:sz w:val="28"/>
          <w:szCs w:val="28"/>
          <w:shd w:val="pct15" w:color="auto" w:fill="FFFFFF"/>
        </w:rPr>
      </w:pPr>
      <w:r w:rsidRPr="000E22C1">
        <w:rPr>
          <w:sz w:val="28"/>
          <w:szCs w:val="28"/>
          <w:shd w:val="pct15" w:color="auto" w:fill="FFFFFF"/>
        </w:rPr>
        <w:t>First, to extract key macroeconomic factors using PCA.</w:t>
      </w:r>
    </w:p>
    <w:p w14:paraId="6DABFA66" w14:textId="77777777" w:rsidR="000E22C1" w:rsidRPr="000E22C1" w:rsidRDefault="000E22C1" w:rsidP="000E22C1">
      <w:pPr>
        <w:pStyle w:val="ListParagraph"/>
        <w:numPr>
          <w:ilvl w:val="0"/>
          <w:numId w:val="3"/>
        </w:numPr>
        <w:jc w:val="both"/>
        <w:rPr>
          <w:sz w:val="28"/>
          <w:szCs w:val="28"/>
          <w:shd w:val="pct15" w:color="auto" w:fill="FFFFFF"/>
        </w:rPr>
      </w:pPr>
      <w:r w:rsidRPr="000E22C1">
        <w:rPr>
          <w:sz w:val="28"/>
          <w:szCs w:val="28"/>
          <w:shd w:val="pct15" w:color="auto" w:fill="FFFFFF"/>
        </w:rPr>
        <w:t>Second, to detect regime shifts through clustering methods.</w:t>
      </w:r>
    </w:p>
    <w:p w14:paraId="40E8D0C8" w14:textId="634F4F21" w:rsidR="00D45D24" w:rsidRDefault="000E22C1" w:rsidP="00D45D24">
      <w:pPr>
        <w:pStyle w:val="ListParagraph"/>
        <w:numPr>
          <w:ilvl w:val="0"/>
          <w:numId w:val="3"/>
        </w:numPr>
        <w:contextualSpacing w:val="0"/>
        <w:jc w:val="both"/>
        <w:rPr>
          <w:sz w:val="28"/>
          <w:szCs w:val="28"/>
          <w:shd w:val="pct15" w:color="auto" w:fill="FFFFFF"/>
        </w:rPr>
      </w:pPr>
      <w:r w:rsidRPr="000E22C1">
        <w:rPr>
          <w:sz w:val="28"/>
          <w:szCs w:val="28"/>
          <w:shd w:val="pct15" w:color="auto" w:fill="FFFFFF"/>
        </w:rPr>
        <w:t xml:space="preserve">And third, to evaluate whether machine-learning models — specifically Naïve Bayes, Decision Trees, and </w:t>
      </w:r>
      <w:proofErr w:type="spellStart"/>
      <w:r w:rsidRPr="000E22C1">
        <w:rPr>
          <w:sz w:val="28"/>
          <w:szCs w:val="28"/>
          <w:shd w:val="pct15" w:color="auto" w:fill="FFFFFF"/>
        </w:rPr>
        <w:t>XGBoost</w:t>
      </w:r>
      <w:proofErr w:type="spellEnd"/>
      <w:r w:rsidRPr="000E22C1">
        <w:rPr>
          <w:sz w:val="28"/>
          <w:szCs w:val="28"/>
          <w:shd w:val="pct15" w:color="auto" w:fill="FFFFFF"/>
        </w:rPr>
        <w:t xml:space="preserve"> — can accurately identify these regimes.</w:t>
      </w:r>
    </w:p>
    <w:p w14:paraId="117F0197" w14:textId="2BE454B5" w:rsidR="00D45D24" w:rsidRDefault="00D45D24">
      <w:pPr>
        <w:rPr>
          <w:sz w:val="28"/>
          <w:szCs w:val="28"/>
          <w:shd w:val="pct15" w:color="auto" w:fill="FFFFFF"/>
        </w:rPr>
      </w:pPr>
      <w:r>
        <w:rPr>
          <w:sz w:val="28"/>
          <w:szCs w:val="28"/>
          <w:shd w:val="pct15" w:color="auto" w:fill="FFFFFF"/>
        </w:rPr>
        <w:br w:type="page"/>
      </w:r>
    </w:p>
    <w:p w14:paraId="5A213AB0" w14:textId="71383706" w:rsidR="00E5596E" w:rsidRDefault="00BD49B3" w:rsidP="00E5596E">
      <w:pPr>
        <w:pStyle w:val="ListParagraph"/>
        <w:numPr>
          <w:ilvl w:val="0"/>
          <w:numId w:val="1"/>
        </w:numPr>
        <w:contextualSpacing w:val="0"/>
        <w:rPr>
          <w:sz w:val="28"/>
          <w:szCs w:val="28"/>
        </w:rPr>
      </w:pPr>
      <w:r w:rsidRPr="00CB7660">
        <w:rPr>
          <w:rFonts w:hint="eastAsia"/>
          <w:sz w:val="28"/>
          <w:szCs w:val="28"/>
        </w:rPr>
        <w:lastRenderedPageBreak/>
        <w:t>Related Literature</w:t>
      </w:r>
    </w:p>
    <w:p w14:paraId="789D56B4" w14:textId="77777777" w:rsidR="00E5596E" w:rsidRPr="00E5596E" w:rsidRDefault="00E5596E" w:rsidP="00E5596E">
      <w:pPr>
        <w:pStyle w:val="ListParagraph"/>
        <w:numPr>
          <w:ilvl w:val="0"/>
          <w:numId w:val="4"/>
        </w:numPr>
        <w:jc w:val="both"/>
        <w:rPr>
          <w:sz w:val="28"/>
          <w:szCs w:val="28"/>
          <w:shd w:val="pct15" w:color="auto" w:fill="FFFFFF"/>
        </w:rPr>
      </w:pPr>
      <w:r w:rsidRPr="00E5596E">
        <w:rPr>
          <w:sz w:val="28"/>
          <w:szCs w:val="28"/>
          <w:shd w:val="pct15" w:color="auto" w:fill="FFFFFF"/>
        </w:rPr>
        <w:t>The literature shows that the inflation–unemployment relationship has evolved significantly.</w:t>
      </w:r>
    </w:p>
    <w:p w14:paraId="6D3858E1" w14:textId="11D69370" w:rsidR="00E5596E" w:rsidRPr="00E5596E" w:rsidRDefault="00E5596E" w:rsidP="00E5596E">
      <w:pPr>
        <w:pStyle w:val="ListParagraph"/>
        <w:numPr>
          <w:ilvl w:val="0"/>
          <w:numId w:val="4"/>
        </w:numPr>
        <w:jc w:val="both"/>
        <w:rPr>
          <w:sz w:val="28"/>
          <w:szCs w:val="28"/>
          <w:shd w:val="pct15" w:color="auto" w:fill="FFFFFF"/>
        </w:rPr>
      </w:pPr>
      <w:r w:rsidRPr="00E5596E">
        <w:rPr>
          <w:sz w:val="28"/>
          <w:szCs w:val="28"/>
          <w:shd w:val="pct15" w:color="auto" w:fill="FFFFFF"/>
        </w:rPr>
        <w:t>Early studies identified a trade-off, but later work revealed instability, expectation-driven shifts, and a gradual flattening of the Phillips curve. Recent evidence also shows that this relationship is nonlinear and depends on the economic regime.</w:t>
      </w:r>
    </w:p>
    <w:p w14:paraId="25B6933F" w14:textId="77777777" w:rsidR="00E5596E" w:rsidRPr="00E5596E" w:rsidRDefault="00E5596E" w:rsidP="00E5596E">
      <w:pPr>
        <w:pStyle w:val="ListParagraph"/>
        <w:numPr>
          <w:ilvl w:val="0"/>
          <w:numId w:val="4"/>
        </w:numPr>
        <w:jc w:val="both"/>
        <w:rPr>
          <w:sz w:val="28"/>
          <w:szCs w:val="28"/>
          <w:shd w:val="pct15" w:color="auto" w:fill="FFFFFF"/>
        </w:rPr>
      </w:pPr>
      <w:r w:rsidRPr="00E5596E">
        <w:rPr>
          <w:sz w:val="28"/>
          <w:szCs w:val="28"/>
          <w:shd w:val="pct15" w:color="auto" w:fill="FFFFFF"/>
        </w:rPr>
        <w:t>Machine-learning research further suggests that ML methods can help detect economic states and capture these nonlinear patterns.</w:t>
      </w:r>
    </w:p>
    <w:p w14:paraId="683B93C1" w14:textId="77777777" w:rsidR="00E5596E" w:rsidRPr="00E5596E" w:rsidRDefault="00E5596E" w:rsidP="00E5596E">
      <w:pPr>
        <w:pStyle w:val="ListParagraph"/>
        <w:ind w:left="1080"/>
        <w:jc w:val="both"/>
        <w:rPr>
          <w:sz w:val="28"/>
          <w:szCs w:val="28"/>
        </w:rPr>
      </w:pPr>
    </w:p>
    <w:p w14:paraId="46786D30" w14:textId="0393B47F" w:rsidR="00E5596E" w:rsidRPr="00E5596E" w:rsidRDefault="00E5596E" w:rsidP="00E5596E">
      <w:pPr>
        <w:pStyle w:val="ListParagraph"/>
        <w:numPr>
          <w:ilvl w:val="0"/>
          <w:numId w:val="4"/>
        </w:numPr>
        <w:jc w:val="both"/>
        <w:rPr>
          <w:sz w:val="28"/>
          <w:szCs w:val="28"/>
          <w:shd w:val="pct15" w:color="auto" w:fill="FFFFFF"/>
        </w:rPr>
      </w:pPr>
      <w:r w:rsidRPr="00E5596E">
        <w:rPr>
          <w:sz w:val="28"/>
          <w:szCs w:val="28"/>
          <w:shd w:val="pct15" w:color="auto" w:fill="FFFFFF"/>
        </w:rPr>
        <w:t>The main insight from the literature is that the Phillips curve is not stable — it varies with regimes and underlying shocks.</w:t>
      </w:r>
    </w:p>
    <w:p w14:paraId="549CA0F0" w14:textId="77777777" w:rsidR="00E5596E" w:rsidRPr="00E5596E" w:rsidRDefault="00E5596E" w:rsidP="00E5596E">
      <w:pPr>
        <w:pStyle w:val="ListParagraph"/>
        <w:ind w:left="1080"/>
        <w:jc w:val="both"/>
        <w:rPr>
          <w:sz w:val="28"/>
          <w:szCs w:val="28"/>
        </w:rPr>
      </w:pPr>
    </w:p>
    <w:p w14:paraId="6DB12248" w14:textId="2CA9F5A6" w:rsidR="00E5596E" w:rsidRDefault="00E5596E" w:rsidP="00E5596E">
      <w:pPr>
        <w:pStyle w:val="ListParagraph"/>
        <w:numPr>
          <w:ilvl w:val="0"/>
          <w:numId w:val="4"/>
        </w:numPr>
        <w:contextualSpacing w:val="0"/>
        <w:jc w:val="both"/>
        <w:rPr>
          <w:sz w:val="28"/>
          <w:szCs w:val="28"/>
          <w:shd w:val="pct15" w:color="auto" w:fill="FFFFFF"/>
        </w:rPr>
      </w:pPr>
      <w:r w:rsidRPr="00E5596E">
        <w:rPr>
          <w:sz w:val="28"/>
          <w:szCs w:val="28"/>
          <w:shd w:val="pct15" w:color="auto" w:fill="FFFFFF"/>
        </w:rPr>
        <w:t>But a gap remains: no existing study provides a unified framework that jointly analyzes inflation and unemployment, identifies regimes, and evaluates regime classification using ML tools.</w:t>
      </w:r>
    </w:p>
    <w:p w14:paraId="3228390A" w14:textId="2FC4EF38" w:rsidR="004E54DC" w:rsidRDefault="004E54DC">
      <w:pPr>
        <w:rPr>
          <w:sz w:val="28"/>
          <w:szCs w:val="28"/>
          <w:shd w:val="pct15" w:color="auto" w:fill="FFFFFF"/>
        </w:rPr>
      </w:pPr>
      <w:r>
        <w:rPr>
          <w:sz w:val="28"/>
          <w:szCs w:val="28"/>
          <w:shd w:val="pct15" w:color="auto" w:fill="FFFFFF"/>
        </w:rPr>
        <w:br w:type="page"/>
      </w:r>
    </w:p>
    <w:p w14:paraId="25C46C8C" w14:textId="30E0DC4C" w:rsidR="00BD49B3" w:rsidRDefault="00BD49B3" w:rsidP="007D2047">
      <w:pPr>
        <w:pStyle w:val="ListParagraph"/>
        <w:numPr>
          <w:ilvl w:val="0"/>
          <w:numId w:val="1"/>
        </w:numPr>
        <w:contextualSpacing w:val="0"/>
        <w:rPr>
          <w:sz w:val="28"/>
          <w:szCs w:val="28"/>
        </w:rPr>
      </w:pPr>
      <w:r w:rsidRPr="00CB7660">
        <w:rPr>
          <w:rFonts w:hint="eastAsia"/>
          <w:sz w:val="28"/>
          <w:szCs w:val="28"/>
        </w:rPr>
        <w:lastRenderedPageBreak/>
        <w:t>Data</w:t>
      </w:r>
    </w:p>
    <w:p w14:paraId="2E86154D" w14:textId="77777777" w:rsidR="004E54DC" w:rsidRPr="00A50C46" w:rsidRDefault="004E54DC" w:rsidP="004E54DC">
      <w:pPr>
        <w:pStyle w:val="ListParagraph"/>
        <w:numPr>
          <w:ilvl w:val="0"/>
          <w:numId w:val="5"/>
        </w:numPr>
        <w:jc w:val="both"/>
        <w:rPr>
          <w:sz w:val="28"/>
          <w:szCs w:val="28"/>
          <w:shd w:val="pct15" w:color="auto" w:fill="FFFFFF"/>
        </w:rPr>
      </w:pPr>
      <w:r w:rsidRPr="00A50C46">
        <w:rPr>
          <w:sz w:val="28"/>
          <w:szCs w:val="28"/>
          <w:shd w:val="pct15" w:color="auto" w:fill="FFFFFF"/>
        </w:rPr>
        <w:t>This slide summarizes the 23 macroeconomic series used in the study.</w:t>
      </w:r>
    </w:p>
    <w:p w14:paraId="68EC0290" w14:textId="14F90FED" w:rsidR="004E54DC" w:rsidRPr="00A50C46" w:rsidRDefault="004E54DC" w:rsidP="004E54DC">
      <w:pPr>
        <w:pStyle w:val="ListParagraph"/>
        <w:numPr>
          <w:ilvl w:val="0"/>
          <w:numId w:val="5"/>
        </w:numPr>
        <w:jc w:val="both"/>
        <w:rPr>
          <w:sz w:val="28"/>
          <w:szCs w:val="28"/>
          <w:shd w:val="pct15" w:color="auto" w:fill="FFFFFF"/>
        </w:rPr>
      </w:pPr>
      <w:r w:rsidRPr="00A50C46">
        <w:rPr>
          <w:rFonts w:hint="eastAsia"/>
          <w:sz w:val="28"/>
          <w:szCs w:val="28"/>
          <w:shd w:val="pct15" w:color="auto" w:fill="FFFFFF"/>
        </w:rPr>
        <w:t>I</w:t>
      </w:r>
      <w:r w:rsidRPr="00A50C46">
        <w:rPr>
          <w:sz w:val="28"/>
          <w:szCs w:val="28"/>
          <w:shd w:val="pct15" w:color="auto" w:fill="FFFFFF"/>
        </w:rPr>
        <w:t xml:space="preserve"> include core measures of inflation and unemployment, several regime indicators, and key demand and supply variables such as GDP, industrial production, and oil prices.</w:t>
      </w:r>
    </w:p>
    <w:p w14:paraId="31A17B78" w14:textId="7A229FC4" w:rsidR="004E54DC" w:rsidRPr="00A50C46" w:rsidRDefault="004E54DC" w:rsidP="00D20D79">
      <w:pPr>
        <w:pStyle w:val="ListParagraph"/>
        <w:numPr>
          <w:ilvl w:val="0"/>
          <w:numId w:val="5"/>
        </w:numPr>
        <w:jc w:val="both"/>
        <w:rPr>
          <w:sz w:val="28"/>
          <w:szCs w:val="28"/>
          <w:shd w:val="pct15" w:color="auto" w:fill="FFFFFF"/>
        </w:rPr>
      </w:pPr>
      <w:r w:rsidRPr="00A50C46">
        <w:rPr>
          <w:sz w:val="28"/>
          <w:szCs w:val="28"/>
          <w:shd w:val="pct15" w:color="auto" w:fill="FFFFFF"/>
        </w:rPr>
        <w:t>Monetary policy variables — including the federal funds rate, money supply, and Fed balance sheet — are also incorporated, along with market- and survey-based inflation expectations.</w:t>
      </w:r>
    </w:p>
    <w:p w14:paraId="207CA43D" w14:textId="75D50C08" w:rsidR="004E54DC" w:rsidRPr="00A50C46" w:rsidRDefault="004E54DC" w:rsidP="004E54DC">
      <w:pPr>
        <w:pStyle w:val="ListParagraph"/>
        <w:numPr>
          <w:ilvl w:val="0"/>
          <w:numId w:val="5"/>
        </w:numPr>
        <w:contextualSpacing w:val="0"/>
        <w:jc w:val="both"/>
        <w:rPr>
          <w:sz w:val="28"/>
          <w:szCs w:val="28"/>
          <w:shd w:val="pct15" w:color="auto" w:fill="FFFFFF"/>
        </w:rPr>
      </w:pPr>
      <w:r w:rsidRPr="00A50C46">
        <w:rPr>
          <w:sz w:val="28"/>
          <w:szCs w:val="28"/>
          <w:shd w:val="pct15" w:color="auto" w:fill="FFFFFF"/>
        </w:rPr>
        <w:t xml:space="preserve">Together, these variables provide broad coverage of the macroeconomic environment for </w:t>
      </w:r>
      <w:r w:rsidR="00D20D79" w:rsidRPr="00A50C46">
        <w:rPr>
          <w:rFonts w:hint="eastAsia"/>
          <w:sz w:val="28"/>
          <w:szCs w:val="28"/>
          <w:shd w:val="pct15" w:color="auto" w:fill="FFFFFF"/>
        </w:rPr>
        <w:t>my</w:t>
      </w:r>
      <w:r w:rsidRPr="00A50C46">
        <w:rPr>
          <w:sz w:val="28"/>
          <w:szCs w:val="28"/>
          <w:shd w:val="pct15" w:color="auto" w:fill="FFFFFF"/>
        </w:rPr>
        <w:t xml:space="preserve"> analysis.</w:t>
      </w:r>
    </w:p>
    <w:p w14:paraId="23EBDD2B" w14:textId="77777777" w:rsidR="00A50C46" w:rsidRDefault="00A50C46">
      <w:pPr>
        <w:rPr>
          <w:sz w:val="28"/>
          <w:szCs w:val="28"/>
        </w:rPr>
      </w:pPr>
      <w:r>
        <w:rPr>
          <w:sz w:val="28"/>
          <w:szCs w:val="28"/>
        </w:rPr>
        <w:br w:type="page"/>
      </w:r>
    </w:p>
    <w:p w14:paraId="0E4CE7FE" w14:textId="0A6A1D1F" w:rsidR="00BD49B3" w:rsidRDefault="00BD49B3" w:rsidP="007D2047">
      <w:pPr>
        <w:pStyle w:val="ListParagraph"/>
        <w:numPr>
          <w:ilvl w:val="0"/>
          <w:numId w:val="1"/>
        </w:numPr>
        <w:contextualSpacing w:val="0"/>
        <w:rPr>
          <w:sz w:val="28"/>
          <w:szCs w:val="28"/>
        </w:rPr>
      </w:pPr>
      <w:r w:rsidRPr="00CB7660">
        <w:rPr>
          <w:rFonts w:hint="eastAsia"/>
          <w:sz w:val="28"/>
          <w:szCs w:val="28"/>
        </w:rPr>
        <w:lastRenderedPageBreak/>
        <w:t>Method</w:t>
      </w:r>
    </w:p>
    <w:p w14:paraId="005B45F1" w14:textId="77777777" w:rsidR="00DA0694" w:rsidRPr="00D340B0" w:rsidRDefault="00DA0694" w:rsidP="00DA0694">
      <w:pPr>
        <w:pStyle w:val="ListParagraph"/>
        <w:numPr>
          <w:ilvl w:val="0"/>
          <w:numId w:val="6"/>
        </w:numPr>
        <w:jc w:val="both"/>
        <w:rPr>
          <w:sz w:val="28"/>
          <w:szCs w:val="28"/>
          <w:shd w:val="pct15" w:color="auto" w:fill="FFFFFF"/>
        </w:rPr>
      </w:pPr>
      <w:r w:rsidRPr="00D340B0">
        <w:rPr>
          <w:sz w:val="28"/>
          <w:szCs w:val="28"/>
          <w:shd w:val="pct15" w:color="auto" w:fill="FFFFFF"/>
        </w:rPr>
        <w:t>I use PCA to reduce dimensionality and extract the key inflation and business-cycle factors.</w:t>
      </w:r>
    </w:p>
    <w:p w14:paraId="4896EED7" w14:textId="77777777" w:rsidR="00DA0694" w:rsidRPr="00D340B0" w:rsidRDefault="00DA0694" w:rsidP="00DA0694">
      <w:pPr>
        <w:pStyle w:val="ListParagraph"/>
        <w:numPr>
          <w:ilvl w:val="0"/>
          <w:numId w:val="6"/>
        </w:numPr>
        <w:jc w:val="both"/>
        <w:rPr>
          <w:sz w:val="28"/>
          <w:szCs w:val="28"/>
          <w:shd w:val="pct15" w:color="auto" w:fill="FFFFFF"/>
        </w:rPr>
      </w:pPr>
      <w:r w:rsidRPr="00D340B0">
        <w:rPr>
          <w:sz w:val="28"/>
          <w:szCs w:val="28"/>
          <w:shd w:val="pct15" w:color="auto" w:fill="FFFFFF"/>
        </w:rPr>
        <w:t>I then apply K-means and hierarchical clustering to identify macroeconomic regimes.</w:t>
      </w:r>
    </w:p>
    <w:p w14:paraId="6155821A" w14:textId="77777777" w:rsidR="00DA0694" w:rsidRPr="00D340B0" w:rsidRDefault="00DA0694" w:rsidP="00DA0694">
      <w:pPr>
        <w:pStyle w:val="ListParagraph"/>
        <w:numPr>
          <w:ilvl w:val="0"/>
          <w:numId w:val="6"/>
        </w:numPr>
        <w:jc w:val="both"/>
        <w:rPr>
          <w:sz w:val="28"/>
          <w:szCs w:val="28"/>
          <w:shd w:val="pct15" w:color="auto" w:fill="FFFFFF"/>
        </w:rPr>
      </w:pPr>
      <w:r w:rsidRPr="00D340B0">
        <w:rPr>
          <w:sz w:val="28"/>
          <w:szCs w:val="28"/>
          <w:shd w:val="pct15" w:color="auto" w:fill="FFFFFF"/>
        </w:rPr>
        <w:t>For classification, I compare three methods:</w:t>
      </w:r>
    </w:p>
    <w:p w14:paraId="286CF910" w14:textId="77777777" w:rsidR="00DA0694" w:rsidRPr="00D340B0" w:rsidRDefault="00DA0694" w:rsidP="00DA0694">
      <w:pPr>
        <w:pStyle w:val="ListParagraph"/>
        <w:numPr>
          <w:ilvl w:val="0"/>
          <w:numId w:val="6"/>
        </w:numPr>
        <w:jc w:val="both"/>
        <w:rPr>
          <w:sz w:val="28"/>
          <w:szCs w:val="28"/>
          <w:shd w:val="pct15" w:color="auto" w:fill="FFFFFF"/>
        </w:rPr>
      </w:pPr>
      <w:r w:rsidRPr="00D340B0">
        <w:rPr>
          <w:sz w:val="28"/>
          <w:szCs w:val="28"/>
          <w:shd w:val="pct15" w:color="auto" w:fill="FFFFFF"/>
        </w:rPr>
        <w:t>Naïve Bayes for simple probabilistic classification,</w:t>
      </w:r>
    </w:p>
    <w:p w14:paraId="779B9794" w14:textId="77777777" w:rsidR="00DA0694" w:rsidRPr="00D340B0" w:rsidRDefault="00DA0694" w:rsidP="00DA0694">
      <w:pPr>
        <w:pStyle w:val="ListParagraph"/>
        <w:numPr>
          <w:ilvl w:val="0"/>
          <w:numId w:val="6"/>
        </w:numPr>
        <w:jc w:val="both"/>
        <w:rPr>
          <w:sz w:val="28"/>
          <w:szCs w:val="28"/>
          <w:shd w:val="pct15" w:color="auto" w:fill="FFFFFF"/>
        </w:rPr>
      </w:pPr>
      <w:r w:rsidRPr="00D340B0">
        <w:rPr>
          <w:sz w:val="28"/>
          <w:szCs w:val="28"/>
          <w:shd w:val="pct15" w:color="auto" w:fill="FFFFFF"/>
        </w:rPr>
        <w:t>Decision Trees for interpretable nonlinear rules,</w:t>
      </w:r>
    </w:p>
    <w:p w14:paraId="1B6A68E2" w14:textId="2712EE85" w:rsidR="00DA0694" w:rsidRPr="00D340B0" w:rsidRDefault="00DA0694" w:rsidP="00DA0694">
      <w:pPr>
        <w:pStyle w:val="ListParagraph"/>
        <w:numPr>
          <w:ilvl w:val="0"/>
          <w:numId w:val="6"/>
        </w:numPr>
        <w:contextualSpacing w:val="0"/>
        <w:jc w:val="both"/>
        <w:rPr>
          <w:sz w:val="28"/>
          <w:szCs w:val="28"/>
          <w:shd w:val="pct15" w:color="auto" w:fill="FFFFFF"/>
        </w:rPr>
      </w:pPr>
      <w:r w:rsidRPr="00D340B0">
        <w:rPr>
          <w:sz w:val="28"/>
          <w:szCs w:val="28"/>
          <w:shd w:val="pct15" w:color="auto" w:fill="FFFFFF"/>
        </w:rPr>
        <w:t xml:space="preserve">and </w:t>
      </w:r>
      <w:proofErr w:type="spellStart"/>
      <w:r w:rsidRPr="00D340B0">
        <w:rPr>
          <w:sz w:val="28"/>
          <w:szCs w:val="28"/>
          <w:shd w:val="pct15" w:color="auto" w:fill="FFFFFF"/>
        </w:rPr>
        <w:t>XGBoost</w:t>
      </w:r>
      <w:proofErr w:type="spellEnd"/>
      <w:r w:rsidRPr="00D340B0">
        <w:rPr>
          <w:sz w:val="28"/>
          <w:szCs w:val="28"/>
          <w:shd w:val="pct15" w:color="auto" w:fill="FFFFFF"/>
        </w:rPr>
        <w:t xml:space="preserve"> to capture more complex patterns and improve accuracy.</w:t>
      </w:r>
    </w:p>
    <w:p w14:paraId="5C705D6E" w14:textId="77777777" w:rsidR="00D340B0" w:rsidRDefault="00D340B0">
      <w:pPr>
        <w:rPr>
          <w:sz w:val="28"/>
          <w:szCs w:val="28"/>
        </w:rPr>
      </w:pPr>
      <w:r>
        <w:rPr>
          <w:sz w:val="28"/>
          <w:szCs w:val="28"/>
        </w:rPr>
        <w:br w:type="page"/>
      </w:r>
    </w:p>
    <w:p w14:paraId="4240ECC0" w14:textId="5591FBA9" w:rsidR="00BD49B3" w:rsidRDefault="00BD49B3" w:rsidP="007D2047">
      <w:pPr>
        <w:pStyle w:val="ListParagraph"/>
        <w:numPr>
          <w:ilvl w:val="0"/>
          <w:numId w:val="1"/>
        </w:numPr>
        <w:contextualSpacing w:val="0"/>
        <w:rPr>
          <w:sz w:val="28"/>
          <w:szCs w:val="28"/>
        </w:rPr>
      </w:pPr>
      <w:r w:rsidRPr="00CB7660">
        <w:rPr>
          <w:rFonts w:hint="eastAsia"/>
          <w:sz w:val="28"/>
          <w:szCs w:val="28"/>
        </w:rPr>
        <w:lastRenderedPageBreak/>
        <w:t>Results &amp; Discussions</w:t>
      </w:r>
    </w:p>
    <w:p w14:paraId="3F4FE23C" w14:textId="5966DEF9" w:rsidR="00D340B0" w:rsidRDefault="007F6F49" w:rsidP="007F6F49">
      <w:pPr>
        <w:pStyle w:val="ListParagraph"/>
        <w:numPr>
          <w:ilvl w:val="1"/>
          <w:numId w:val="1"/>
        </w:numPr>
        <w:contextualSpacing w:val="0"/>
        <w:rPr>
          <w:sz w:val="28"/>
          <w:szCs w:val="28"/>
        </w:rPr>
      </w:pPr>
      <w:r>
        <w:rPr>
          <w:rFonts w:hint="eastAsia"/>
          <w:sz w:val="28"/>
          <w:szCs w:val="28"/>
        </w:rPr>
        <w:t>PCA</w:t>
      </w:r>
    </w:p>
    <w:p w14:paraId="6309CD66" w14:textId="77777777" w:rsidR="00AA3925" w:rsidRPr="00123D5B" w:rsidRDefault="00AA3925" w:rsidP="00AA3925">
      <w:pPr>
        <w:pStyle w:val="ListParagraph"/>
        <w:numPr>
          <w:ilvl w:val="0"/>
          <w:numId w:val="8"/>
        </w:numPr>
        <w:jc w:val="both"/>
        <w:rPr>
          <w:sz w:val="28"/>
          <w:szCs w:val="28"/>
          <w:shd w:val="pct15" w:color="auto" w:fill="FFFFFF"/>
        </w:rPr>
      </w:pPr>
      <w:r w:rsidRPr="00123D5B">
        <w:rPr>
          <w:sz w:val="28"/>
          <w:szCs w:val="28"/>
          <w:shd w:val="pct15" w:color="auto" w:fill="FFFFFF"/>
        </w:rPr>
        <w:t>Here I summarize the PCA results.</w:t>
      </w:r>
    </w:p>
    <w:p w14:paraId="0A19B66C" w14:textId="77777777" w:rsidR="00AA3925" w:rsidRPr="00123D5B" w:rsidRDefault="00AA3925" w:rsidP="00AA3925">
      <w:pPr>
        <w:pStyle w:val="ListParagraph"/>
        <w:numPr>
          <w:ilvl w:val="0"/>
          <w:numId w:val="8"/>
        </w:numPr>
        <w:jc w:val="both"/>
        <w:rPr>
          <w:sz w:val="28"/>
          <w:szCs w:val="28"/>
          <w:shd w:val="pct15" w:color="auto" w:fill="FFFFFF"/>
        </w:rPr>
      </w:pPr>
      <w:r w:rsidRPr="00123D5B">
        <w:rPr>
          <w:sz w:val="28"/>
          <w:szCs w:val="28"/>
          <w:shd w:val="pct15" w:color="auto" w:fill="FFFFFF"/>
        </w:rPr>
        <w:t>PC1 clearly loads on inflation: it is strongly correlated with Core PCE and inflation expectations, and negatively correlated with unemployment.</w:t>
      </w:r>
    </w:p>
    <w:p w14:paraId="724171F7" w14:textId="322C723D" w:rsidR="00AA3925" w:rsidRPr="00123D5B" w:rsidRDefault="00AA3925" w:rsidP="00AA3925">
      <w:pPr>
        <w:pStyle w:val="ListParagraph"/>
        <w:numPr>
          <w:ilvl w:val="0"/>
          <w:numId w:val="8"/>
        </w:numPr>
        <w:jc w:val="both"/>
        <w:rPr>
          <w:sz w:val="28"/>
          <w:szCs w:val="28"/>
          <w:shd w:val="pct15" w:color="auto" w:fill="FFFFFF"/>
        </w:rPr>
      </w:pPr>
      <w:r w:rsidRPr="00123D5B">
        <w:rPr>
          <w:sz w:val="28"/>
          <w:szCs w:val="28"/>
          <w:shd w:val="pct15" w:color="auto" w:fill="FFFFFF"/>
        </w:rPr>
        <w:t>PC2 and PC3 capture business-cycle dynamics, driven by production, sales, and labor-market indicators.</w:t>
      </w:r>
    </w:p>
    <w:p w14:paraId="3E7F886E" w14:textId="6E724E0A" w:rsidR="00AA3925" w:rsidRPr="00123D5B" w:rsidRDefault="00AA3925" w:rsidP="00AA3925">
      <w:pPr>
        <w:pStyle w:val="ListParagraph"/>
        <w:numPr>
          <w:ilvl w:val="0"/>
          <w:numId w:val="8"/>
        </w:numPr>
        <w:jc w:val="both"/>
        <w:rPr>
          <w:sz w:val="28"/>
          <w:szCs w:val="28"/>
          <w:shd w:val="pct15" w:color="auto" w:fill="FFFFFF"/>
        </w:rPr>
      </w:pPr>
      <w:r w:rsidRPr="00123D5B">
        <w:rPr>
          <w:sz w:val="28"/>
          <w:szCs w:val="28"/>
          <w:shd w:val="pct15" w:color="auto" w:fill="FFFFFF"/>
        </w:rPr>
        <w:t>Policy-related variables, such as the federal funds rate, M2, and the Fed’s balance sheet, are spread across several components rather than concentrated in one.</w:t>
      </w:r>
    </w:p>
    <w:p w14:paraId="3667E6A2" w14:textId="432A151A" w:rsidR="002F5C8B" w:rsidRPr="00123D5B" w:rsidRDefault="00AA3925" w:rsidP="00AA3925">
      <w:pPr>
        <w:pStyle w:val="ListParagraph"/>
        <w:numPr>
          <w:ilvl w:val="0"/>
          <w:numId w:val="8"/>
        </w:numPr>
        <w:contextualSpacing w:val="0"/>
        <w:jc w:val="both"/>
        <w:rPr>
          <w:sz w:val="28"/>
          <w:szCs w:val="28"/>
          <w:shd w:val="pct15" w:color="auto" w:fill="FFFFFF"/>
        </w:rPr>
      </w:pPr>
      <w:r w:rsidRPr="00123D5B">
        <w:rPr>
          <w:sz w:val="28"/>
          <w:szCs w:val="28"/>
          <w:shd w:val="pct15" w:color="auto" w:fill="FFFFFF"/>
        </w:rPr>
        <w:t>Overall, PCA separates the data into an inflation factor and a set of business-cycle factors.</w:t>
      </w:r>
    </w:p>
    <w:p w14:paraId="2B67AB79" w14:textId="1195AA0A" w:rsidR="00AA3925" w:rsidRPr="002F5C8B" w:rsidRDefault="002F5C8B" w:rsidP="002F5C8B">
      <w:pPr>
        <w:rPr>
          <w:sz w:val="28"/>
          <w:szCs w:val="28"/>
        </w:rPr>
      </w:pPr>
      <w:r>
        <w:rPr>
          <w:sz w:val="28"/>
          <w:szCs w:val="28"/>
        </w:rPr>
        <w:br w:type="page"/>
      </w:r>
    </w:p>
    <w:p w14:paraId="62C709BF" w14:textId="3EB1EEEC" w:rsidR="00CD1109" w:rsidRPr="00CD1109" w:rsidRDefault="007F6F49" w:rsidP="00CD1109">
      <w:pPr>
        <w:pStyle w:val="ListParagraph"/>
        <w:numPr>
          <w:ilvl w:val="1"/>
          <w:numId w:val="1"/>
        </w:numPr>
        <w:contextualSpacing w:val="0"/>
        <w:rPr>
          <w:sz w:val="28"/>
          <w:szCs w:val="28"/>
        </w:rPr>
      </w:pPr>
      <w:r>
        <w:rPr>
          <w:rFonts w:hint="eastAsia"/>
          <w:sz w:val="28"/>
          <w:szCs w:val="28"/>
        </w:rPr>
        <w:lastRenderedPageBreak/>
        <w:t>Clustering</w:t>
      </w:r>
    </w:p>
    <w:p w14:paraId="4D6E443C" w14:textId="68712A39" w:rsidR="00CD1109" w:rsidRDefault="00CD1109" w:rsidP="003C2930">
      <w:pPr>
        <w:pStyle w:val="ListParagraph"/>
        <w:numPr>
          <w:ilvl w:val="0"/>
          <w:numId w:val="9"/>
        </w:numPr>
        <w:jc w:val="both"/>
        <w:rPr>
          <w:sz w:val="28"/>
          <w:szCs w:val="28"/>
        </w:rPr>
      </w:pPr>
      <w:r>
        <w:rPr>
          <w:rFonts w:hint="eastAsia"/>
          <w:sz w:val="28"/>
          <w:szCs w:val="28"/>
        </w:rPr>
        <w:t>ここでは、データを</w:t>
      </w:r>
      <w:r w:rsidR="0096062E">
        <w:rPr>
          <w:rFonts w:hint="eastAsia"/>
          <w:sz w:val="28"/>
          <w:szCs w:val="28"/>
        </w:rPr>
        <w:t>12</w:t>
      </w:r>
      <w:r w:rsidR="0096062E">
        <w:rPr>
          <w:rFonts w:hint="eastAsia"/>
          <w:sz w:val="28"/>
          <w:szCs w:val="28"/>
        </w:rPr>
        <w:t>のクラスタに分け、それぞれのクラスタに占める不景気ダミー、ゼロ下限制約ダミー、コロナダミーの比率を可視化し、各クラスタがレジームを識別できているかどうかを分析しました。</w:t>
      </w:r>
      <w:r w:rsidR="004C7CDE" w:rsidRPr="004C7CDE">
        <w:rPr>
          <w:rFonts w:hint="eastAsia"/>
          <w:sz w:val="28"/>
          <w:szCs w:val="28"/>
        </w:rPr>
        <w:t>結果は</w:t>
      </w:r>
      <w:r w:rsidR="004C7CDE" w:rsidRPr="004C7CDE">
        <w:rPr>
          <w:rFonts w:hint="eastAsia"/>
          <w:sz w:val="28"/>
          <w:szCs w:val="28"/>
        </w:rPr>
        <w:t>3</w:t>
      </w:r>
      <w:r w:rsidR="004C7CDE" w:rsidRPr="004C7CDE">
        <w:rPr>
          <w:rFonts w:hint="eastAsia"/>
          <w:sz w:val="28"/>
          <w:szCs w:val="28"/>
        </w:rPr>
        <w:t>ページに分けて示しています。</w:t>
      </w:r>
    </w:p>
    <w:p w14:paraId="7F29161F" w14:textId="6711F83C" w:rsidR="004C7CDE" w:rsidRPr="002F5C8B" w:rsidRDefault="004C7CDE" w:rsidP="003C2930">
      <w:pPr>
        <w:pStyle w:val="ListParagraph"/>
        <w:numPr>
          <w:ilvl w:val="0"/>
          <w:numId w:val="9"/>
        </w:numPr>
        <w:jc w:val="both"/>
        <w:rPr>
          <w:sz w:val="28"/>
          <w:szCs w:val="28"/>
          <w:shd w:val="pct15" w:color="auto" w:fill="FFFFFF"/>
        </w:rPr>
      </w:pPr>
      <w:r w:rsidRPr="002F5C8B">
        <w:rPr>
          <w:sz w:val="28"/>
          <w:szCs w:val="28"/>
          <w:shd w:val="pct15" w:color="auto" w:fill="FFFFFF"/>
        </w:rPr>
        <w:t>Here, I divide the data into 12 clusters and visualize the proportion of the recession dummy, the zero lower bound dummy, and the COVID dummy within each cluster. This allows me to assess whether each cluster successfully identifies distinct economic regimes.</w:t>
      </w:r>
      <w:r w:rsidRPr="002F5C8B">
        <w:rPr>
          <w:rFonts w:hint="eastAsia"/>
          <w:sz w:val="28"/>
          <w:szCs w:val="28"/>
          <w:shd w:val="pct15" w:color="auto" w:fill="FFFFFF"/>
        </w:rPr>
        <w:t xml:space="preserve"> </w:t>
      </w:r>
      <w:r w:rsidRPr="002F5C8B">
        <w:rPr>
          <w:sz w:val="28"/>
          <w:szCs w:val="28"/>
          <w:shd w:val="pct15" w:color="auto" w:fill="FFFFFF"/>
        </w:rPr>
        <w:t>The results are presented across three pages.</w:t>
      </w:r>
    </w:p>
    <w:p w14:paraId="06BFFC71" w14:textId="5A90C6D7" w:rsidR="00B76E1B" w:rsidRPr="002F5C8B" w:rsidRDefault="00B76E1B" w:rsidP="003C2930">
      <w:pPr>
        <w:pStyle w:val="ListParagraph"/>
        <w:numPr>
          <w:ilvl w:val="0"/>
          <w:numId w:val="9"/>
        </w:numPr>
        <w:jc w:val="both"/>
        <w:rPr>
          <w:sz w:val="28"/>
          <w:szCs w:val="28"/>
          <w:shd w:val="pct15" w:color="auto" w:fill="FFFFFF"/>
        </w:rPr>
      </w:pPr>
      <w:r w:rsidRPr="002F5C8B">
        <w:rPr>
          <w:sz w:val="28"/>
          <w:szCs w:val="28"/>
          <w:shd w:val="pct15" w:color="auto" w:fill="FFFFFF"/>
        </w:rPr>
        <w:t>The clustering results reveal a clear pattern.</w:t>
      </w:r>
    </w:p>
    <w:p w14:paraId="0E4425FD" w14:textId="77777777" w:rsidR="00B76E1B" w:rsidRPr="002F5C8B" w:rsidRDefault="00B76E1B" w:rsidP="003C2930">
      <w:pPr>
        <w:pStyle w:val="ListParagraph"/>
        <w:numPr>
          <w:ilvl w:val="0"/>
          <w:numId w:val="9"/>
        </w:numPr>
        <w:jc w:val="both"/>
        <w:rPr>
          <w:sz w:val="28"/>
          <w:szCs w:val="28"/>
          <w:shd w:val="pct15" w:color="auto" w:fill="FFFFFF"/>
        </w:rPr>
      </w:pPr>
      <w:r w:rsidRPr="002F5C8B">
        <w:rPr>
          <w:sz w:val="28"/>
          <w:szCs w:val="28"/>
          <w:shd w:val="pct15" w:color="auto" w:fill="FFFFFF"/>
        </w:rPr>
        <w:t>Many clusters show almost pure 0/1 splits for variables such as the recession indicator, the zero lower bound, and the COVID-19 dummy.</w:t>
      </w:r>
    </w:p>
    <w:p w14:paraId="1E149856" w14:textId="0710BFF6" w:rsidR="00B76E1B" w:rsidRPr="002F5C8B" w:rsidRDefault="00B76E1B" w:rsidP="003C2930">
      <w:pPr>
        <w:pStyle w:val="ListParagraph"/>
        <w:numPr>
          <w:ilvl w:val="0"/>
          <w:numId w:val="9"/>
        </w:numPr>
        <w:jc w:val="both"/>
        <w:rPr>
          <w:sz w:val="28"/>
          <w:szCs w:val="28"/>
          <w:shd w:val="pct15" w:color="auto" w:fill="FFFFFF"/>
        </w:rPr>
      </w:pPr>
      <w:r w:rsidRPr="002F5C8B">
        <w:rPr>
          <w:sz w:val="28"/>
          <w:szCs w:val="28"/>
          <w:shd w:val="pct15" w:color="auto" w:fill="FFFFFF"/>
        </w:rPr>
        <w:t>This means that the clusters align closely with well-known macroeconomic regimes — including recessions, ZLB episodes, and the COVID-19 shock.</w:t>
      </w:r>
    </w:p>
    <w:p w14:paraId="1724E520" w14:textId="77777777" w:rsidR="00B76E1B" w:rsidRPr="002F5C8B" w:rsidRDefault="00B76E1B" w:rsidP="003C2930">
      <w:pPr>
        <w:pStyle w:val="ListParagraph"/>
        <w:numPr>
          <w:ilvl w:val="0"/>
          <w:numId w:val="9"/>
        </w:numPr>
        <w:jc w:val="both"/>
        <w:rPr>
          <w:sz w:val="28"/>
          <w:szCs w:val="28"/>
          <w:shd w:val="pct15" w:color="auto" w:fill="FFFFFF"/>
        </w:rPr>
      </w:pPr>
      <w:r w:rsidRPr="002F5C8B">
        <w:rPr>
          <w:sz w:val="28"/>
          <w:szCs w:val="28"/>
          <w:shd w:val="pct15" w:color="auto" w:fill="FFFFFF"/>
        </w:rPr>
        <w:t>In summary, the clustering methods successfully identify major economic regimes, including high-inflation periods and recessions.</w:t>
      </w:r>
    </w:p>
    <w:p w14:paraId="62DF19F7" w14:textId="7D76B3D8" w:rsidR="00B76E1B" w:rsidRPr="002F5C8B" w:rsidRDefault="00B76E1B" w:rsidP="003C2930">
      <w:pPr>
        <w:pStyle w:val="ListParagraph"/>
        <w:numPr>
          <w:ilvl w:val="0"/>
          <w:numId w:val="9"/>
        </w:numPr>
        <w:contextualSpacing w:val="0"/>
        <w:jc w:val="both"/>
        <w:rPr>
          <w:sz w:val="28"/>
          <w:szCs w:val="28"/>
          <w:shd w:val="pct15" w:color="auto" w:fill="FFFFFF"/>
        </w:rPr>
      </w:pPr>
      <w:r w:rsidRPr="002F5C8B">
        <w:rPr>
          <w:sz w:val="28"/>
          <w:szCs w:val="28"/>
          <w:shd w:val="pct15" w:color="auto" w:fill="FFFFFF"/>
        </w:rPr>
        <w:t>Hierarchical clustering produces a very similar separation.</w:t>
      </w:r>
    </w:p>
    <w:p w14:paraId="041D3BDB" w14:textId="77777777" w:rsidR="004F42D2" w:rsidRDefault="004F42D2">
      <w:pPr>
        <w:rPr>
          <w:sz w:val="28"/>
          <w:szCs w:val="28"/>
        </w:rPr>
      </w:pPr>
      <w:r>
        <w:rPr>
          <w:sz w:val="28"/>
          <w:szCs w:val="28"/>
        </w:rPr>
        <w:br w:type="page"/>
      </w:r>
    </w:p>
    <w:p w14:paraId="1D0B9738" w14:textId="3DBFDA0F" w:rsidR="007F6F49" w:rsidRDefault="007F6F49" w:rsidP="007F6F49">
      <w:pPr>
        <w:pStyle w:val="ListParagraph"/>
        <w:numPr>
          <w:ilvl w:val="1"/>
          <w:numId w:val="1"/>
        </w:numPr>
        <w:contextualSpacing w:val="0"/>
        <w:rPr>
          <w:sz w:val="28"/>
          <w:szCs w:val="28"/>
        </w:rPr>
      </w:pPr>
      <w:r>
        <w:rPr>
          <w:rFonts w:hint="eastAsia"/>
          <w:sz w:val="28"/>
          <w:szCs w:val="28"/>
        </w:rPr>
        <w:lastRenderedPageBreak/>
        <w:t>ML</w:t>
      </w:r>
    </w:p>
    <w:p w14:paraId="33F6AD83" w14:textId="77777777" w:rsidR="00677D95" w:rsidRPr="00D5113C" w:rsidRDefault="00677D95" w:rsidP="00D5113C">
      <w:pPr>
        <w:pStyle w:val="ListParagraph"/>
        <w:numPr>
          <w:ilvl w:val="0"/>
          <w:numId w:val="10"/>
        </w:numPr>
        <w:jc w:val="both"/>
        <w:rPr>
          <w:sz w:val="28"/>
          <w:szCs w:val="28"/>
          <w:shd w:val="pct15" w:color="auto" w:fill="FFFFFF"/>
        </w:rPr>
      </w:pPr>
      <w:r w:rsidRPr="00D5113C">
        <w:rPr>
          <w:sz w:val="28"/>
          <w:szCs w:val="28"/>
          <w:shd w:val="pct15" w:color="auto" w:fill="FFFFFF"/>
        </w:rPr>
        <w:t>This slide summarizes the classification accuracy of the machine-learning models.</w:t>
      </w:r>
    </w:p>
    <w:p w14:paraId="41B8DDFE" w14:textId="63874AF7" w:rsidR="00677D95" w:rsidRPr="00D5113C" w:rsidRDefault="00677D95" w:rsidP="00D5113C">
      <w:pPr>
        <w:pStyle w:val="ListParagraph"/>
        <w:numPr>
          <w:ilvl w:val="0"/>
          <w:numId w:val="10"/>
        </w:numPr>
        <w:jc w:val="both"/>
        <w:rPr>
          <w:sz w:val="28"/>
          <w:szCs w:val="28"/>
          <w:shd w:val="pct15" w:color="auto" w:fill="FFFFFF"/>
        </w:rPr>
      </w:pPr>
      <w:r w:rsidRPr="00D5113C">
        <w:rPr>
          <w:sz w:val="28"/>
          <w:szCs w:val="28"/>
          <w:shd w:val="pct15" w:color="auto" w:fill="FFFFFF"/>
        </w:rPr>
        <w:t xml:space="preserve">For unemployment, both the Decision Tree and all versions of </w:t>
      </w:r>
      <w:proofErr w:type="spellStart"/>
      <w:r w:rsidRPr="00D5113C">
        <w:rPr>
          <w:sz w:val="28"/>
          <w:szCs w:val="28"/>
          <w:shd w:val="pct15" w:color="auto" w:fill="FFFFFF"/>
        </w:rPr>
        <w:t>XGBoost</w:t>
      </w:r>
      <w:proofErr w:type="spellEnd"/>
      <w:r w:rsidRPr="00D5113C">
        <w:rPr>
          <w:sz w:val="28"/>
          <w:szCs w:val="28"/>
          <w:shd w:val="pct15" w:color="auto" w:fill="FFFFFF"/>
        </w:rPr>
        <w:t xml:space="preserve"> achieve very high accuracy — around 96 to 97 percent — indicating that unemployment regimes are relatively easy to classify.</w:t>
      </w:r>
    </w:p>
    <w:p w14:paraId="6C292CBE" w14:textId="77777777" w:rsidR="00677D95" w:rsidRPr="00D5113C" w:rsidRDefault="00677D95" w:rsidP="00D5113C">
      <w:pPr>
        <w:pStyle w:val="ListParagraph"/>
        <w:numPr>
          <w:ilvl w:val="0"/>
          <w:numId w:val="10"/>
        </w:numPr>
        <w:jc w:val="both"/>
        <w:rPr>
          <w:sz w:val="28"/>
          <w:szCs w:val="28"/>
          <w:shd w:val="pct15" w:color="auto" w:fill="FFFFFF"/>
        </w:rPr>
      </w:pPr>
      <w:r w:rsidRPr="00D5113C">
        <w:rPr>
          <w:sz w:val="28"/>
          <w:szCs w:val="28"/>
          <w:shd w:val="pct15" w:color="auto" w:fill="FFFFFF"/>
        </w:rPr>
        <w:t>For inflation on a year-over-year basis, all models perform reasonably well, with the Decision Tree again producing the best results.</w:t>
      </w:r>
    </w:p>
    <w:p w14:paraId="12F71680" w14:textId="02A65C34" w:rsidR="004F42D2" w:rsidRPr="00D5113C" w:rsidRDefault="00677D95" w:rsidP="00D5113C">
      <w:pPr>
        <w:pStyle w:val="ListParagraph"/>
        <w:numPr>
          <w:ilvl w:val="0"/>
          <w:numId w:val="10"/>
        </w:numPr>
        <w:contextualSpacing w:val="0"/>
        <w:jc w:val="both"/>
        <w:rPr>
          <w:sz w:val="28"/>
          <w:szCs w:val="28"/>
          <w:shd w:val="pct15" w:color="auto" w:fill="FFFFFF"/>
        </w:rPr>
      </w:pPr>
      <w:r w:rsidRPr="00D5113C">
        <w:rPr>
          <w:sz w:val="28"/>
          <w:szCs w:val="28"/>
          <w:shd w:val="pct15" w:color="auto" w:fill="FFFFFF"/>
        </w:rPr>
        <w:t>However, month-to-month inflation is clearly the most challenging task: accuracy drops across all models, reflecting the noisier and more volatile nature of MoM inflation.</w:t>
      </w:r>
    </w:p>
    <w:p w14:paraId="01D2A5CB" w14:textId="77777777" w:rsidR="00AF2EAA" w:rsidRDefault="00AF2EAA">
      <w:pPr>
        <w:rPr>
          <w:sz w:val="28"/>
          <w:szCs w:val="28"/>
        </w:rPr>
      </w:pPr>
      <w:r>
        <w:rPr>
          <w:sz w:val="28"/>
          <w:szCs w:val="28"/>
        </w:rPr>
        <w:br w:type="page"/>
      </w:r>
    </w:p>
    <w:p w14:paraId="5DAAFAD7" w14:textId="6AE8D8D0" w:rsidR="00BD49B3" w:rsidRDefault="00BD49B3" w:rsidP="007D2047">
      <w:pPr>
        <w:pStyle w:val="ListParagraph"/>
        <w:numPr>
          <w:ilvl w:val="0"/>
          <w:numId w:val="1"/>
        </w:numPr>
        <w:contextualSpacing w:val="0"/>
        <w:rPr>
          <w:sz w:val="28"/>
          <w:szCs w:val="28"/>
        </w:rPr>
      </w:pPr>
      <w:r w:rsidRPr="00CB7660">
        <w:rPr>
          <w:rFonts w:hint="eastAsia"/>
          <w:sz w:val="28"/>
          <w:szCs w:val="28"/>
        </w:rPr>
        <w:lastRenderedPageBreak/>
        <w:t>Conclusion</w:t>
      </w:r>
    </w:p>
    <w:p w14:paraId="74DBFFE0" w14:textId="77777777" w:rsidR="000572E1" w:rsidRPr="00A70BFE" w:rsidRDefault="000572E1" w:rsidP="00A70BFE">
      <w:pPr>
        <w:pStyle w:val="ListParagraph"/>
        <w:numPr>
          <w:ilvl w:val="0"/>
          <w:numId w:val="11"/>
        </w:numPr>
        <w:jc w:val="both"/>
        <w:rPr>
          <w:sz w:val="28"/>
          <w:szCs w:val="28"/>
          <w:shd w:val="pct15" w:color="auto" w:fill="FFFFFF"/>
        </w:rPr>
      </w:pPr>
      <w:r w:rsidRPr="00A70BFE">
        <w:rPr>
          <w:sz w:val="28"/>
          <w:szCs w:val="28"/>
          <w:shd w:val="pct15" w:color="auto" w:fill="FFFFFF"/>
        </w:rPr>
        <w:t>To conclude, the PCA results show that inflation and business-cycle forces are captured by distinct factors.</w:t>
      </w:r>
    </w:p>
    <w:p w14:paraId="36F42093" w14:textId="77777777" w:rsidR="000572E1" w:rsidRPr="00A70BFE" w:rsidRDefault="000572E1" w:rsidP="00A70BFE">
      <w:pPr>
        <w:pStyle w:val="ListParagraph"/>
        <w:numPr>
          <w:ilvl w:val="0"/>
          <w:numId w:val="11"/>
        </w:numPr>
        <w:jc w:val="both"/>
        <w:rPr>
          <w:sz w:val="28"/>
          <w:szCs w:val="28"/>
          <w:shd w:val="pct15" w:color="auto" w:fill="FFFFFF"/>
        </w:rPr>
      </w:pPr>
      <w:r w:rsidRPr="00A70BFE">
        <w:rPr>
          <w:sz w:val="28"/>
          <w:szCs w:val="28"/>
          <w:shd w:val="pct15" w:color="auto" w:fill="FFFFFF"/>
        </w:rPr>
        <w:t>The clustering analysis successfully identifies major macroeconomic regimes, and the machine-learning models classify unemployment and year-over-year inflation quite well, although month-to-month inflation remains very noisy.</w:t>
      </w:r>
    </w:p>
    <w:p w14:paraId="4E9265F8" w14:textId="77777777" w:rsidR="000572E1" w:rsidRPr="000572E1" w:rsidRDefault="000572E1" w:rsidP="00A70BFE">
      <w:pPr>
        <w:pStyle w:val="ListParagraph"/>
        <w:ind w:left="1080"/>
        <w:jc w:val="both"/>
        <w:rPr>
          <w:sz w:val="28"/>
          <w:szCs w:val="28"/>
        </w:rPr>
      </w:pPr>
    </w:p>
    <w:p w14:paraId="615EA845" w14:textId="77777777" w:rsidR="000572E1" w:rsidRPr="00A70BFE" w:rsidRDefault="000572E1" w:rsidP="00A70BFE">
      <w:pPr>
        <w:pStyle w:val="ListParagraph"/>
        <w:numPr>
          <w:ilvl w:val="0"/>
          <w:numId w:val="11"/>
        </w:numPr>
        <w:jc w:val="both"/>
        <w:rPr>
          <w:sz w:val="28"/>
          <w:szCs w:val="28"/>
          <w:shd w:val="pct15" w:color="auto" w:fill="FFFFFF"/>
        </w:rPr>
      </w:pPr>
      <w:r w:rsidRPr="00A70BFE">
        <w:rPr>
          <w:sz w:val="28"/>
          <w:szCs w:val="28"/>
          <w:shd w:val="pct15" w:color="auto" w:fill="FFFFFF"/>
        </w:rPr>
        <w:t>These findings imply that macroeconomic dynamics are inherently multi-factor and complex, and that ML methods can support rapid monitoring of macroeconomic states. They also highlight that short-term inflation indicators require careful interpretation.</w:t>
      </w:r>
    </w:p>
    <w:p w14:paraId="076A3C5B" w14:textId="77777777" w:rsidR="000572E1" w:rsidRPr="000572E1" w:rsidRDefault="000572E1" w:rsidP="00A70BFE">
      <w:pPr>
        <w:pStyle w:val="ListParagraph"/>
        <w:ind w:left="1080"/>
        <w:jc w:val="both"/>
        <w:rPr>
          <w:sz w:val="28"/>
          <w:szCs w:val="28"/>
        </w:rPr>
      </w:pPr>
    </w:p>
    <w:p w14:paraId="478EA787" w14:textId="119A2802" w:rsidR="000572E1" w:rsidRPr="00A70BFE" w:rsidRDefault="000572E1" w:rsidP="00A70BFE">
      <w:pPr>
        <w:pStyle w:val="ListParagraph"/>
        <w:numPr>
          <w:ilvl w:val="0"/>
          <w:numId w:val="11"/>
        </w:numPr>
        <w:contextualSpacing w:val="0"/>
        <w:jc w:val="both"/>
        <w:rPr>
          <w:sz w:val="28"/>
          <w:szCs w:val="28"/>
          <w:shd w:val="pct15" w:color="auto" w:fill="FFFFFF"/>
        </w:rPr>
      </w:pPr>
      <w:r w:rsidRPr="00A70BFE">
        <w:rPr>
          <w:sz w:val="28"/>
          <w:szCs w:val="28"/>
          <w:shd w:val="pct15" w:color="auto" w:fill="FFFFFF"/>
        </w:rPr>
        <w:t>For future work, I plan to incorporate higher-frequency data, examine regime-specific changes in inflation–unemployment dynamics, and compare these ML-based approaches with traditional macroeconomic models.</w:t>
      </w:r>
    </w:p>
    <w:sectPr w:rsidR="000572E1" w:rsidRPr="00A70B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5FC1"/>
    <w:multiLevelType w:val="hybridMultilevel"/>
    <w:tmpl w:val="6150A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77763"/>
    <w:multiLevelType w:val="hybridMultilevel"/>
    <w:tmpl w:val="D0D2A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26FD8"/>
    <w:multiLevelType w:val="hybridMultilevel"/>
    <w:tmpl w:val="F420F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A1038C"/>
    <w:multiLevelType w:val="hybridMultilevel"/>
    <w:tmpl w:val="5ECE7F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BCF37D8"/>
    <w:multiLevelType w:val="hybridMultilevel"/>
    <w:tmpl w:val="2618B5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F7A5A72"/>
    <w:multiLevelType w:val="hybridMultilevel"/>
    <w:tmpl w:val="1CF8A8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9851B44"/>
    <w:multiLevelType w:val="hybridMultilevel"/>
    <w:tmpl w:val="7A06A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475FB7"/>
    <w:multiLevelType w:val="hybridMultilevel"/>
    <w:tmpl w:val="86D62E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3FB514E"/>
    <w:multiLevelType w:val="hybridMultilevel"/>
    <w:tmpl w:val="C73CCE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6F2112B"/>
    <w:multiLevelType w:val="hybridMultilevel"/>
    <w:tmpl w:val="B4D0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A470BF"/>
    <w:multiLevelType w:val="hybridMultilevel"/>
    <w:tmpl w:val="3B7C9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119311">
    <w:abstractNumId w:val="3"/>
  </w:num>
  <w:num w:numId="2" w16cid:durableId="627205576">
    <w:abstractNumId w:val="10"/>
  </w:num>
  <w:num w:numId="3" w16cid:durableId="1509638700">
    <w:abstractNumId w:val="9"/>
  </w:num>
  <w:num w:numId="4" w16cid:durableId="98842934">
    <w:abstractNumId w:val="1"/>
  </w:num>
  <w:num w:numId="5" w16cid:durableId="1236017071">
    <w:abstractNumId w:val="2"/>
  </w:num>
  <w:num w:numId="6" w16cid:durableId="1291352771">
    <w:abstractNumId w:val="6"/>
  </w:num>
  <w:num w:numId="7" w16cid:durableId="769813374">
    <w:abstractNumId w:val="0"/>
  </w:num>
  <w:num w:numId="8" w16cid:durableId="1447190309">
    <w:abstractNumId w:val="8"/>
  </w:num>
  <w:num w:numId="9" w16cid:durableId="2092509422">
    <w:abstractNumId w:val="7"/>
  </w:num>
  <w:num w:numId="10" w16cid:durableId="1129661448">
    <w:abstractNumId w:val="4"/>
  </w:num>
  <w:num w:numId="11" w16cid:durableId="764956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566"/>
    <w:rsid w:val="000572E1"/>
    <w:rsid w:val="000E22C1"/>
    <w:rsid w:val="00123D5B"/>
    <w:rsid w:val="001B562D"/>
    <w:rsid w:val="001F575B"/>
    <w:rsid w:val="00253AF4"/>
    <w:rsid w:val="002F5C8B"/>
    <w:rsid w:val="00332329"/>
    <w:rsid w:val="003C2930"/>
    <w:rsid w:val="003E6650"/>
    <w:rsid w:val="004C7CDE"/>
    <w:rsid w:val="004D3CA5"/>
    <w:rsid w:val="004E54DC"/>
    <w:rsid w:val="004F42D2"/>
    <w:rsid w:val="00677D95"/>
    <w:rsid w:val="006C70B2"/>
    <w:rsid w:val="007D2047"/>
    <w:rsid w:val="007E0566"/>
    <w:rsid w:val="007F6F49"/>
    <w:rsid w:val="0096062E"/>
    <w:rsid w:val="00A50C46"/>
    <w:rsid w:val="00A561AF"/>
    <w:rsid w:val="00A70BFE"/>
    <w:rsid w:val="00AA3925"/>
    <w:rsid w:val="00AF2EAA"/>
    <w:rsid w:val="00B76E1B"/>
    <w:rsid w:val="00BB557F"/>
    <w:rsid w:val="00BD49B3"/>
    <w:rsid w:val="00BF1794"/>
    <w:rsid w:val="00C2645A"/>
    <w:rsid w:val="00C67E98"/>
    <w:rsid w:val="00CB7660"/>
    <w:rsid w:val="00CD1109"/>
    <w:rsid w:val="00CF2D4E"/>
    <w:rsid w:val="00D20D79"/>
    <w:rsid w:val="00D340B0"/>
    <w:rsid w:val="00D45D24"/>
    <w:rsid w:val="00D5113C"/>
    <w:rsid w:val="00D67EEA"/>
    <w:rsid w:val="00DA0694"/>
    <w:rsid w:val="00E559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98244"/>
  <w15:chartTrackingRefBased/>
  <w15:docId w15:val="{C0870F9E-73FC-48C4-9693-D42A90B73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566"/>
    <w:rPr>
      <w:rFonts w:eastAsiaTheme="majorEastAsia" w:cstheme="majorBidi"/>
      <w:color w:val="272727" w:themeColor="text1" w:themeTint="D8"/>
    </w:rPr>
  </w:style>
  <w:style w:type="paragraph" w:styleId="Title">
    <w:name w:val="Title"/>
    <w:basedOn w:val="Normal"/>
    <w:next w:val="Normal"/>
    <w:link w:val="TitleChar"/>
    <w:uiPriority w:val="10"/>
    <w:qFormat/>
    <w:rsid w:val="007E0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566"/>
    <w:pPr>
      <w:spacing w:before="160"/>
      <w:jc w:val="center"/>
    </w:pPr>
    <w:rPr>
      <w:i/>
      <w:iCs/>
      <w:color w:val="404040" w:themeColor="text1" w:themeTint="BF"/>
    </w:rPr>
  </w:style>
  <w:style w:type="character" w:customStyle="1" w:styleId="QuoteChar">
    <w:name w:val="Quote Char"/>
    <w:basedOn w:val="DefaultParagraphFont"/>
    <w:link w:val="Quote"/>
    <w:uiPriority w:val="29"/>
    <w:rsid w:val="007E0566"/>
    <w:rPr>
      <w:i/>
      <w:iCs/>
      <w:color w:val="404040" w:themeColor="text1" w:themeTint="BF"/>
    </w:rPr>
  </w:style>
  <w:style w:type="paragraph" w:styleId="ListParagraph">
    <w:name w:val="List Paragraph"/>
    <w:basedOn w:val="Normal"/>
    <w:uiPriority w:val="34"/>
    <w:qFormat/>
    <w:rsid w:val="007E0566"/>
    <w:pPr>
      <w:ind w:left="720"/>
      <w:contextualSpacing/>
    </w:pPr>
  </w:style>
  <w:style w:type="character" w:styleId="IntenseEmphasis">
    <w:name w:val="Intense Emphasis"/>
    <w:basedOn w:val="DefaultParagraphFont"/>
    <w:uiPriority w:val="21"/>
    <w:qFormat/>
    <w:rsid w:val="007E0566"/>
    <w:rPr>
      <w:i/>
      <w:iCs/>
      <w:color w:val="0F4761" w:themeColor="accent1" w:themeShade="BF"/>
    </w:rPr>
  </w:style>
  <w:style w:type="paragraph" w:styleId="IntenseQuote">
    <w:name w:val="Intense Quote"/>
    <w:basedOn w:val="Normal"/>
    <w:next w:val="Normal"/>
    <w:link w:val="IntenseQuoteChar"/>
    <w:uiPriority w:val="30"/>
    <w:qFormat/>
    <w:rsid w:val="007E0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566"/>
    <w:rPr>
      <w:i/>
      <w:iCs/>
      <w:color w:val="0F4761" w:themeColor="accent1" w:themeShade="BF"/>
    </w:rPr>
  </w:style>
  <w:style w:type="character" w:styleId="IntenseReference">
    <w:name w:val="Intense Reference"/>
    <w:basedOn w:val="DefaultParagraphFont"/>
    <w:uiPriority w:val="32"/>
    <w:qFormat/>
    <w:rsid w:val="007E05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731</Words>
  <Characters>5122</Characters>
  <Application>Microsoft Office Word</Application>
  <DocSecurity>0</DocSecurity>
  <Lines>365</Lines>
  <Paragraphs>390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泰平 曽根</dc:creator>
  <cp:keywords/>
  <dc:description/>
  <cp:lastModifiedBy>泰平 曽根</cp:lastModifiedBy>
  <cp:revision>38</cp:revision>
  <dcterms:created xsi:type="dcterms:W3CDTF">2025-12-05T03:11:00Z</dcterms:created>
  <dcterms:modified xsi:type="dcterms:W3CDTF">2025-12-05T03:49:00Z</dcterms:modified>
</cp:coreProperties>
</file>