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sz w:val="27"/>
          <w:szCs w:val="27"/>
        </w:rPr>
        <w:t xml:space="preserve">Classificação interpretável do estresse hídrico do solo via microbioma bacteriano e sua integração com sistemas de pulverização de taxa variável para bioinoculação de precisão</w:t>
      </w:r>
    </w:p>
    <w:p>
      <w:pPr>
        <w:spacing w:after="200"/>
        <w:jc w:val="center"/>
      </w:pPr>
      <w:r>
        <w:rPr>
          <w:rFonts w:ascii="Calibri" w:cs="Calibri" w:eastAsia="Calibri" w:hAnsi="Calibri"/>
          <w:i/>
          <w:iCs/>
          <w:sz w:val="20"/>
          <w:szCs w:val="20"/>
        </w:rPr>
        <w:t xml:space="preserve">Pré-projeto de pesquisa — Disciplina: Mecanização Agrícola</w:t>
      </w:r>
    </w:p>
    <w:p>
      <w:pPr>
        <w:spacing w:after="300"/>
        <w:jc w:val="center"/>
      </w:pPr>
      <w:r>
        <w:rPr>
          <w:rFonts w:ascii="Calibri" w:cs="Calibri" w:eastAsia="Calibri" w:hAnsi="Calibri"/>
          <w:sz w:val="22"/>
          <w:szCs w:val="22"/>
        </w:rPr>
        <w:t xml:space="preserve">Nome: Tassiane Anzolin</w:t>
      </w:r>
    </w:p>
    <w:p>
      <w:pPr>
        <w:pStyle w:val="Heading1"/>
        <w:spacing w:after="160" w:before="320"/>
      </w:pPr>
      <w:r>
        <w:rPr>
          <w:rFonts w:ascii="Calibri" w:cs="Calibri" w:eastAsia="Calibri" w:hAnsi="Calibri"/>
          <w:b/>
          <w:bCs/>
          <w:sz w:val="26"/>
          <w:szCs w:val="26"/>
        </w:rPr>
        <w:t xml:space="preserve">Resumo</w:t>
      </w:r>
    </w:p>
    <w:p>
      <w:pPr>
        <w:spacing w:after="160" w:line="276"/>
        <w:jc w:val="both"/>
      </w:pPr>
      <w:r>
        <w:rPr>
          <w:rFonts w:ascii="Calibri" w:cs="Calibri" w:eastAsia="Calibri" w:hAnsi="Calibri"/>
          <w:i w:val="false"/>
          <w:iCs w:val="false"/>
          <w:sz w:val="22"/>
          <w:szCs w:val="22"/>
        </w:rPr>
        <w:t xml:space="preserve">A intensificação de eventos climáticos extremos, particularmente secas, representa uma ameaça relevante à produtividade agrícola e à segurança alimentar. O microbioma bacteriano do solo responde de forma mensurável ao déficit hídrico, e modelos de aprendizado de máquina interpretáveis, como o Random Forest associado a valores de Shapley (SHAP), demonstraram capacidade preditiva elevada (acurácia superior a 90%) para essa classificação a partir de dados de sequenciamento 16S rRNA. Paralelamente, a mecanização agrícola avançou de sistemas de aplicação uniforme para sistemas de taxa variável (VRT), nos quais mapas de prescrição derivados de sensoriamento acionam atuadores de forma localizada. Este pré-projeto propõe articular essas duas frentes, especificando a integração entre um classificador de estresse hídrico baseado em microbioma do solo e um pulverizador de taxa variável destinado à aplicação localizada de bioinsumos microbianos. A proposta replica, para um novo domínio de dado (metagenômico) e um novo modelo (Random Forest interpretável), a arquitetura de decisão-atuação previamente empregada pela autora em um sistema de detecção de insetos-praga por visão computacional acoplado a pulverizador.</w:t>
      </w:r>
    </w:p>
    <w:p>
      <w:pPr>
        <w:spacing w:after="160" w:line="276"/>
        <w:jc w:val="both"/>
      </w:pPr>
      <w:r>
        <w:rPr>
          <w:rFonts w:ascii="Calibri" w:cs="Calibri" w:eastAsia="Calibri" w:hAnsi="Calibri"/>
          <w:i/>
          <w:iCs/>
          <w:sz w:val="22"/>
          <w:szCs w:val="22"/>
        </w:rPr>
        <w:t xml:space="preserve">Palavras-chave: microbioma do solo; estresse hídrico; aprendizado de máquina interpretável; SHAP; agricultura de precisão; taxa variável.</w:t>
      </w:r>
    </w:p>
    <w:p>
      <w:pPr>
        <w:pStyle w:val="Heading1"/>
        <w:spacing w:after="160" w:before="320"/>
      </w:pPr>
      <w:r>
        <w:rPr>
          <w:rFonts w:ascii="Calibri" w:cs="Calibri" w:eastAsia="Calibri" w:hAnsi="Calibri"/>
          <w:b/>
          <w:bCs/>
          <w:sz w:val="26"/>
          <w:szCs w:val="26"/>
        </w:rPr>
        <w:t xml:space="preserve">1. Introdução</w:t>
      </w:r>
    </w:p>
    <w:p>
      <w:pPr>
        <w:spacing w:after="160" w:line="276"/>
        <w:jc w:val="both"/>
      </w:pPr>
      <w:r>
        <w:rPr>
          <w:rFonts w:ascii="Calibri" w:cs="Calibri" w:eastAsia="Calibri" w:hAnsi="Calibri"/>
          <w:i w:val="false"/>
          <w:iCs w:val="false"/>
          <w:sz w:val="22"/>
          <w:szCs w:val="22"/>
        </w:rPr>
        <w:t xml:space="preserve">A ocorrência de eventos de seca tem se intensificado como consequência das mudanças climáticas, com impactos diretos sobre a produtividade de culturas e a segurança alimentar (Wheeler &amp; von Braun, 2013; Trenberth et al., 2014). Esses eventos alteram a dinâmica da comunidade microbiana do solo, uma vez que a composição microbiana responde à disponibilidade hídrica por meio de mecanismos de recrutamento seletivo de micro-organismos benéficos junto às raízes (Ossowicki et al., 2021; Berendsen et al., 2012). Essa resposta composicional constitui, em princípio, um sinal biológico explorável para diagnóstico precoce de estresse hídrico em nível de talhão.</w:t>
      </w:r>
    </w:p>
    <w:p>
      <w:pPr>
        <w:spacing w:after="160" w:line="276"/>
        <w:jc w:val="both"/>
      </w:pPr>
      <w:r>
        <w:rPr>
          <w:rFonts w:ascii="Calibri" w:cs="Calibri" w:eastAsia="Calibri" w:hAnsi="Calibri"/>
          <w:i w:val="false"/>
          <w:iCs w:val="false"/>
          <w:sz w:val="22"/>
          <w:szCs w:val="22"/>
        </w:rPr>
        <w:t xml:space="preserve">Do ponto de vista computacional, Hagen et al. (2024) demonstraram que um classificador Random Forest treinado sobre dados de abundância relativa de táxons bacterianos do solo (16S rRNA) é capaz de discriminar amostras sob regime de seca e de controle com acurácia de 92,3% no nível taxonômico de gênero, superando o desempenho de um classificador de Regressão Logística equivalente. Os autores empregaram valores SHAP (Lundberg &amp; Lee, 2017) para interpretar as contribuições individuais de cada táxon à predição, obtendo concordância entre 79,59% e 82,65% com os resultados de métodos convencionais de Análise Diferencial de Abundância (DAA), como ANCOM-BC2 (Lin &amp; Peddada, 2020), ALDEx2 (Fernandes et al., 2013) e DESeq2 (Love et al., 2014).</w:t>
      </w:r>
    </w:p>
    <w:p>
      <w:pPr>
        <w:spacing w:after="160" w:line="276"/>
        <w:jc w:val="both"/>
      </w:pPr>
      <w:r>
        <w:rPr>
          <w:rFonts w:ascii="Calibri" w:cs="Calibri" w:eastAsia="Calibri" w:hAnsi="Calibri"/>
          <w:i w:val="false"/>
          <w:iCs w:val="false"/>
          <w:sz w:val="22"/>
          <w:szCs w:val="22"/>
        </w:rPr>
        <w:t xml:space="preserve">Do ponto de vista da mecanização agrícola, a tecnologia de taxa variável (Variable Rate Technology, VRT) já é consolidada para aplicação de fertilizantes, defensivos e sementes, condicionando o acionamento do implemento a mapas de prescrição derivados de sensoriamento remoto, amostragem de solo ou modelos preditivos. Contudo, a literatura consultada não indica trabalhos que articulem diagnóstico do microbioma do solo, por meio de aprendizado de máquina interpretável, com sistemas de aplicação em taxa variável de bioinsumos microbianos. Esse é o problema abordado neste pré-projeto, que parte de uma arquitetura de decisão-atuação já validada conceitualmente pela autora em outro domínio: um sistema de detecção de insetos-praga por CNN e Vision Transformer (ViT), cuja saída aciona um pulverizador de taxa variável de defensivo agrícola.</w:t>
      </w:r>
    </w:p>
    <w:p>
      <w:pPr>
        <w:pStyle w:val="Heading1"/>
        <w:spacing w:after="160" w:before="320"/>
      </w:pPr>
      <w:r>
        <w:rPr>
          <w:rFonts w:ascii="Calibri" w:cs="Calibri" w:eastAsia="Calibri" w:hAnsi="Calibri"/>
          <w:b/>
          <w:bCs/>
          <w:sz w:val="26"/>
          <w:szCs w:val="26"/>
        </w:rPr>
        <w:t xml:space="preserve">2. Problema de pesquisa e hipótese</w:t>
      </w:r>
    </w:p>
    <w:p>
      <w:pPr>
        <w:spacing w:after="160" w:line="276"/>
        <w:jc w:val="both"/>
      </w:pPr>
      <w:r>
        <w:rPr>
          <w:rFonts w:ascii="Calibri" w:cs="Calibri" w:eastAsia="Calibri" w:hAnsi="Calibri"/>
          <w:i w:val="false"/>
          <w:iCs w:val="false"/>
          <w:sz w:val="22"/>
          <w:szCs w:val="22"/>
        </w:rPr>
        <w:t xml:space="preserve">Problema de pesquisa: como estruturar a integração entre um classificador interpretável de estresse hídrico baseado em microbioma do solo e um sistema de pulverização de taxa variável, de modo que a saída do modelo (classe prevista e táxons marcadores) seja traduzida em parâmetros operacionais de aplicação (dose e composição do bioinsumo)?</w:t>
      </w:r>
    </w:p>
    <w:p>
      <w:pPr>
        <w:spacing w:after="160" w:line="276"/>
        <w:jc w:val="both"/>
      </w:pPr>
      <w:r>
        <w:rPr>
          <w:rFonts w:ascii="Calibri" w:cs="Calibri" w:eastAsia="Calibri" w:hAnsi="Calibri"/>
          <w:i w:val="false"/>
          <w:iCs w:val="false"/>
          <w:sz w:val="22"/>
          <w:szCs w:val="22"/>
        </w:rPr>
        <w:t xml:space="preserve">Hipótese: é possível formalizar uma função de mapeamento entre a probabilidade de classe "Seca" e os táxons identificados como depletados pelos valores SHAP, e os parâmetros de um mapa de prescrição compatível com controladores de taxa variável já empregados em pulverizadores comerciais, resultando em uma aplicação de bioinsumo espacialmente mais eficiente do que a aplicação uniforme.</w:t>
      </w:r>
    </w:p>
    <w:p>
      <w:pPr>
        <w:pStyle w:val="Heading1"/>
        <w:spacing w:after="160" w:before="320"/>
      </w:pPr>
      <w:r>
        <w:rPr>
          <w:rFonts w:ascii="Calibri" w:cs="Calibri" w:eastAsia="Calibri" w:hAnsi="Calibri"/>
          <w:b/>
          <w:bCs/>
          <w:sz w:val="26"/>
          <w:szCs w:val="26"/>
        </w:rPr>
        <w:t xml:space="preserve">3. Objetivos</w:t>
      </w:r>
    </w:p>
    <w:p>
      <w:pPr>
        <w:pStyle w:val="Heading2"/>
        <w:spacing w:after="120" w:before="220"/>
      </w:pPr>
      <w:r>
        <w:rPr>
          <w:rFonts w:ascii="Calibri" w:cs="Calibri" w:eastAsia="Calibri" w:hAnsi="Calibri"/>
          <w:b/>
          <w:bCs/>
          <w:sz w:val="23"/>
          <w:szCs w:val="23"/>
        </w:rPr>
        <w:t xml:space="preserve">3.1 Objetivo geral</w:t>
      </w:r>
    </w:p>
    <w:p>
      <w:pPr>
        <w:spacing w:after="160" w:line="276"/>
        <w:jc w:val="both"/>
      </w:pPr>
      <w:r>
        <w:rPr>
          <w:rFonts w:ascii="Calibri" w:cs="Calibri" w:eastAsia="Calibri" w:hAnsi="Calibri"/>
          <w:i w:val="false"/>
          <w:iCs w:val="false"/>
          <w:sz w:val="22"/>
          <w:szCs w:val="22"/>
        </w:rPr>
        <w:t xml:space="preserve">Propor e fundamentar cientificamente a integração de um classificador de estresse hídrico do solo, baseado em microbioma bacteriano e aprendizado de máquina interpretável, a um sistema de pulverização agrícola de taxa variável para aplicação localizada de bioinsumos.</w:t>
      </w:r>
    </w:p>
    <w:p>
      <w:pPr>
        <w:pStyle w:val="Heading2"/>
        <w:spacing w:after="120" w:before="220"/>
      </w:pPr>
      <w:r>
        <w:rPr>
          <w:rFonts w:ascii="Calibri" w:cs="Calibri" w:eastAsia="Calibri" w:hAnsi="Calibri"/>
          <w:b/>
          <w:bCs/>
          <w:sz w:val="23"/>
          <w:szCs w:val="23"/>
        </w:rPr>
        <w:t xml:space="preserve">3.2 Objetivos específicos</w:t>
      </w:r>
    </w:p>
    <w:p>
      <w:pPr>
        <w:spacing w:after="100" w:line="276"/>
        <w:jc w:val="both"/>
      </w:pPr>
      <w:r>
        <w:rPr>
          <w:rFonts w:ascii="Calibri" w:cs="Calibri" w:eastAsia="Calibri" w:hAnsi="Calibri"/>
          <w:sz w:val="22"/>
          <w:szCs w:val="22"/>
        </w:rPr>
        <w:t xml:space="preserve">1. Descrever e justificar, com base em Hagen et al. (2024), o pipeline de bioinformática e de modelagem (DADA2, atribuição taxonômica, Random Forest Classifier, validação cruzada aninhada e SHAP) adotado como base metodológica.</w:t>
      </w:r>
    </w:p>
    <w:p>
      <w:pPr>
        <w:spacing w:after="100" w:line="276"/>
        <w:jc w:val="both"/>
      </w:pPr>
      <w:r>
        <w:rPr>
          <w:rFonts w:ascii="Calibri" w:cs="Calibri" w:eastAsia="Calibri" w:hAnsi="Calibri"/>
          <w:sz w:val="22"/>
          <w:szCs w:val="22"/>
        </w:rPr>
        <w:t xml:space="preserve">2. Formalizar a função de mapeamento entre a saída probabilística do modelo e os parâmetros do mapa de prescrição (classe, intensidade de dose, composição do inoculante).</w:t>
      </w:r>
    </w:p>
    <w:p>
      <w:pPr>
        <w:spacing w:after="100" w:line="276"/>
        <w:jc w:val="both"/>
      </w:pPr>
      <w:r>
        <w:rPr>
          <w:rFonts w:ascii="Calibri" w:cs="Calibri" w:eastAsia="Calibri" w:hAnsi="Calibri"/>
          <w:sz w:val="22"/>
          <w:szCs w:val="22"/>
        </w:rPr>
        <w:t xml:space="preserve">3. Especificar os requisitos técnicos de acionamento do pulverizador de taxa variável (resolução espacial, limiar de decisão, unidade de controle) necessários à execução do mapa de prescrição em campo.</w:t>
      </w:r>
    </w:p>
    <w:p>
      <w:pPr>
        <w:spacing w:after="100" w:line="276"/>
        <w:jc w:val="both"/>
      </w:pPr>
      <w:r>
        <w:rPr>
          <w:rFonts w:ascii="Calibri" w:cs="Calibri" w:eastAsia="Calibri" w:hAnsi="Calibri"/>
          <w:sz w:val="22"/>
          <w:szCs w:val="22"/>
        </w:rPr>
        <w:t xml:space="preserve">4. Discutir, com base em evidências do próprio artigo de referência (desempenho reduzido do classificador ao ser testado em outro dataset e em estágios progressivos de seca), as limitações de generalização do modelo e suas implicações para a confiabilidade da decisão de acionamento.</w:t>
      </w:r>
    </w:p>
    <w:p>
      <w:pPr>
        <w:pStyle w:val="Heading1"/>
        <w:spacing w:after="160" w:before="320"/>
      </w:pPr>
      <w:r>
        <w:rPr>
          <w:rFonts w:ascii="Calibri" w:cs="Calibri" w:eastAsia="Calibri" w:hAnsi="Calibri"/>
          <w:b/>
          <w:bCs/>
          <w:sz w:val="26"/>
          <w:szCs w:val="26"/>
        </w:rPr>
        <w:t xml:space="preserve">4. Referencial teórico</w:t>
      </w:r>
    </w:p>
    <w:p>
      <w:pPr>
        <w:pStyle w:val="Heading2"/>
        <w:spacing w:after="120" w:before="220"/>
      </w:pPr>
      <w:r>
        <w:rPr>
          <w:rFonts w:ascii="Calibri" w:cs="Calibri" w:eastAsia="Calibri" w:hAnsi="Calibri"/>
          <w:b/>
          <w:bCs/>
          <w:sz w:val="23"/>
          <w:szCs w:val="23"/>
        </w:rPr>
        <w:t xml:space="preserve">4.1 Microbioma do solo como indicador de estresse hídrico</w:t>
      </w:r>
    </w:p>
    <w:p>
      <w:pPr>
        <w:spacing w:after="160" w:line="276"/>
        <w:jc w:val="both"/>
      </w:pPr>
      <w:r>
        <w:rPr>
          <w:rFonts w:ascii="Calibri" w:cs="Calibri" w:eastAsia="Calibri" w:hAnsi="Calibri"/>
          <w:i w:val="false"/>
          <w:iCs w:val="false"/>
          <w:sz w:val="22"/>
          <w:szCs w:val="22"/>
        </w:rPr>
        <w:t xml:space="preserve">O estresse hídrico altera predominantemente a abundância relativa de táxons já presentes no solo, sem necessariamente causar o desaparecimento ou surgimento de táxons exclusivos (Naylor &amp; Coleman-Derr, 2018). Esse padrão foi corroborado por Hagen et al. (2024), que observaram ausência de diferença significativa na diversidade alfa (índice de Shannon) entre os regimes de controle e seca, ao mesmo tempo em que a diversidade beta (PCoA sobre dissimilaridades de Bray-Curtis) explicou 6,8% da variância total entre os grupos. Esse resultado é relevante metodologicamente: a variável discriminativa não é a riqueza microbiana, mas o padrão composicional, o que justifica o uso de um classificador multivariado sobre dados de abundância relativa, e não de índices de diversidade isolados.</w:t>
      </w:r>
    </w:p>
    <w:p>
      <w:pPr>
        <w:pStyle w:val="Heading2"/>
        <w:spacing w:after="120" w:before="220"/>
      </w:pPr>
      <w:r>
        <w:rPr>
          <w:rFonts w:ascii="Calibri" w:cs="Calibri" w:eastAsia="Calibri" w:hAnsi="Calibri"/>
          <w:b/>
          <w:bCs/>
          <w:sz w:val="23"/>
          <w:szCs w:val="23"/>
        </w:rPr>
        <w:t xml:space="preserve">4.2 Aprendizado de máquina interpretável em dados metagenômicos</w:t>
      </w:r>
    </w:p>
    <w:p>
      <w:pPr>
        <w:spacing w:after="160" w:line="276"/>
        <w:jc w:val="both"/>
      </w:pPr>
      <w:r>
        <w:rPr>
          <w:rFonts w:ascii="Calibri" w:cs="Calibri" w:eastAsia="Calibri" w:hAnsi="Calibri"/>
          <w:i w:val="false"/>
          <w:iCs w:val="false"/>
          <w:sz w:val="22"/>
          <w:szCs w:val="22"/>
        </w:rPr>
        <w:t xml:space="preserve">Modelos de árvore, como o Random Forest, são reconhecidos como adequados para dados metagenômicos de alta dimensionalidade e esparsidade, nos quais o número de variáveis (táxons) frequentemente excede o número de amostras (Capitaine et al., 2021; Chen &amp; Ishwaran, 2012). A interpretação desses modelos por meio de valores SHAP (Lundberg et al., 2020) permite atribuir a cada variável uma contribuição marginal consistente com a teoria dos jogos cooperativos, o que possibilita comparar a importância de features entre modelos e, no caso de Hagen et al. (2024), compará-la diretamente com os resultados de métodos estatísticos tradicionais de DAA. A concordância entre os dois métodos (SHAP e DAA) foi mais consistente nos níveis taxonômicos mais baixos (família e gênero) do que nos mais altos (filo), o que tem implicação direta para a escolha do nível taxonômico a ser usado como base da regra de decisão do mapa de prescrição.</w:t>
      </w:r>
    </w:p>
    <w:p>
      <w:pPr>
        <w:pStyle w:val="Heading2"/>
        <w:spacing w:after="120" w:before="220"/>
      </w:pPr>
      <w:r>
        <w:rPr>
          <w:rFonts w:ascii="Calibri" w:cs="Calibri" w:eastAsia="Calibri" w:hAnsi="Calibri"/>
          <w:b/>
          <w:bCs/>
          <w:sz w:val="23"/>
          <w:szCs w:val="23"/>
        </w:rPr>
        <w:t xml:space="preserve">4.3 Agricultura de precisão e tecnologia de taxa variável</w:t>
      </w:r>
    </w:p>
    <w:p>
      <w:pPr>
        <w:spacing w:after="160" w:line="276"/>
        <w:jc w:val="both"/>
      </w:pPr>
      <w:r>
        <w:rPr>
          <w:rFonts w:ascii="Calibri" w:cs="Calibri" w:eastAsia="Calibri" w:hAnsi="Calibri"/>
          <w:i w:val="false"/>
          <w:iCs w:val="false"/>
          <w:sz w:val="22"/>
          <w:szCs w:val="22"/>
        </w:rPr>
        <w:t xml:space="preserve">Sistemas de taxa variável condicionam a dose de um insumo aplicado por um implemento agrícola a um mapa de prescrição gerado previamente, permitindo alocação diferenciada de recursos conforme a heterogeneidade espacial do talhão. A literatura de agricultura de precisão já explora o uso de modelos preditivos de estresse (hídrico, nutricional ou biótico) para gerar esses mapas; no entanto, a integração de diagnóstico microbiano interpretável como camada de decisão para acionamento mecanizado permanece pouco explorada, o que caracteriza a lacuna de pesquisa endereçada por este pré-projeto.</w:t>
      </w:r>
    </w:p>
    <w:p>
      <w:pPr>
        <w:pStyle w:val="Heading1"/>
        <w:spacing w:after="160" w:before="320"/>
      </w:pPr>
      <w:r>
        <w:rPr>
          <w:rFonts w:ascii="Calibri" w:cs="Calibri" w:eastAsia="Calibri" w:hAnsi="Calibri"/>
          <w:b/>
          <w:bCs/>
          <w:sz w:val="26"/>
          <w:szCs w:val="26"/>
        </w:rPr>
        <w:t xml:space="preserve">5. Metodologia</w:t>
      </w:r>
    </w:p>
    <w:p>
      <w:pPr>
        <w:pStyle w:val="Heading2"/>
        <w:spacing w:after="120" w:before="220"/>
      </w:pPr>
      <w:r>
        <w:rPr>
          <w:rFonts w:ascii="Calibri" w:cs="Calibri" w:eastAsia="Calibri" w:hAnsi="Calibri"/>
          <w:b/>
          <w:bCs/>
          <w:sz w:val="23"/>
          <w:szCs w:val="23"/>
        </w:rPr>
        <w:t xml:space="preserve">5.1 Fonte de dados</w:t>
      </w:r>
    </w:p>
    <w:p>
      <w:pPr>
        <w:spacing w:after="160" w:line="276"/>
        <w:jc w:val="both"/>
      </w:pPr>
      <w:r>
        <w:rPr>
          <w:rFonts w:ascii="Calibri" w:cs="Calibri" w:eastAsia="Calibri" w:hAnsi="Calibri"/>
          <w:i w:val="false"/>
          <w:iCs w:val="false"/>
          <w:sz w:val="22"/>
          <w:szCs w:val="22"/>
        </w:rPr>
        <w:t xml:space="preserve">Reutilização do dataset público "Grass-Drought" (Naylor et al., 2017; BioProject PRJNA369551), composto por 623 amostras de solo, raiz e rizosfera de 18 espécies de gramíneas sob regimes de controle (n = 320) e seca (n = 303), sequenciadas por amplicon 16S rRNA (região V3-V4).</w:t>
      </w:r>
    </w:p>
    <w:p>
      <w:pPr>
        <w:pStyle w:val="Heading2"/>
        <w:spacing w:after="120" w:before="220"/>
      </w:pPr>
      <w:r>
        <w:rPr>
          <w:rFonts w:ascii="Calibri" w:cs="Calibri" w:eastAsia="Calibri" w:hAnsi="Calibri"/>
          <w:b/>
          <w:bCs/>
          <w:sz w:val="23"/>
          <w:szCs w:val="23"/>
        </w:rPr>
        <w:t xml:space="preserve">5.2 Pré-processamento</w:t>
      </w:r>
    </w:p>
    <w:p>
      <w:pPr>
        <w:spacing w:after="160" w:line="276"/>
        <w:jc w:val="both"/>
      </w:pPr>
      <w:r>
        <w:rPr>
          <w:rFonts w:ascii="Calibri" w:cs="Calibri" w:eastAsia="Calibri" w:hAnsi="Calibri"/>
          <w:i w:val="false"/>
          <w:iCs w:val="false"/>
          <w:sz w:val="22"/>
          <w:szCs w:val="22"/>
        </w:rPr>
        <w:t xml:space="preserve">Processamento das leituras via DADA2 (Callahan et al., 2016), atribuição taxonômica pela base SILVA com classificador RDP (Wang et al., 2007), filtragem de prevalência (ASVs presentes em, no mínimo, 95% das amostras) e rarefação à profundidade correspondente ao decil de 10% das leituras, reproduzindo o protocolo de Hagen et al. (2024) para garantir comparabilidade dos resultados.</w:t>
      </w:r>
    </w:p>
    <w:p>
      <w:pPr>
        <w:pStyle w:val="Heading2"/>
        <w:spacing w:after="120" w:before="220"/>
      </w:pPr>
      <w:r>
        <w:rPr>
          <w:rFonts w:ascii="Calibri" w:cs="Calibri" w:eastAsia="Calibri" w:hAnsi="Calibri"/>
          <w:b/>
          <w:bCs/>
          <w:sz w:val="23"/>
          <w:szCs w:val="23"/>
        </w:rPr>
        <w:t xml:space="preserve">5.3 Modelagem preditiva</w:t>
      </w:r>
    </w:p>
    <w:p>
      <w:pPr>
        <w:spacing w:after="160" w:line="276"/>
        <w:jc w:val="both"/>
      </w:pPr>
      <w:r>
        <w:rPr>
          <w:rFonts w:ascii="Calibri" w:cs="Calibri" w:eastAsia="Calibri" w:hAnsi="Calibri"/>
          <w:i w:val="false"/>
          <w:iCs w:val="false"/>
          <w:sz w:val="22"/>
          <w:szCs w:val="22"/>
        </w:rPr>
        <w:t xml:space="preserve">Treinamento de um Random Forest Classifier com validação cruzada aninhada de 5 folds para otimização de hiperparâmetros, avaliado por acurácia, F1-score, precisão, recall e área sob a curva ROC (AUC), em cada nível taxonômico (filo a gênero). Extração de valores SHAP (shap.TreeExplainer) em cada fold, com consenso de enriquecimento definido pela concordância entre, no mínimo, quatro dos cinco folds, conforme protocolo original.</w:t>
      </w:r>
    </w:p>
    <w:p>
      <w:pPr>
        <w:pStyle w:val="Heading2"/>
        <w:spacing w:after="120" w:before="220"/>
      </w:pPr>
      <w:r>
        <w:rPr>
          <w:rFonts w:ascii="Calibri" w:cs="Calibri" w:eastAsia="Calibri" w:hAnsi="Calibri"/>
          <w:b/>
          <w:bCs/>
          <w:sz w:val="23"/>
          <w:szCs w:val="23"/>
        </w:rPr>
        <w:t xml:space="preserve">5.4 Formalização do mapa de prescrição</w:t>
      </w:r>
    </w:p>
    <w:p>
      <w:pPr>
        <w:spacing w:after="160" w:line="276"/>
        <w:jc w:val="both"/>
      </w:pPr>
      <w:r>
        <w:rPr>
          <w:rFonts w:ascii="Calibri" w:cs="Calibri" w:eastAsia="Calibri" w:hAnsi="Calibri"/>
          <w:i w:val="false"/>
          <w:iCs w:val="false"/>
          <w:sz w:val="22"/>
          <w:szCs w:val="22"/>
        </w:rPr>
        <w:t xml:space="preserve">Definição de uma função f: P(Seca) → (classe, dose, composição) que converte a probabilidade de classe retornada pelo RFC, associada às coordenadas geográficas de cada amostra, em três camadas de informação: (i) classificação binária da zona de manejo; (ii) dose de bioinsumo proporcional à probabilidade de estresse, sujeita a limites operacionais mínimo e máximo; e (iii) composição do inoculante microbiano, definida a partir dos táxons identificados como depletados pelos valores SHAP na zona em questão.</w:t>
      </w:r>
    </w:p>
    <w:p>
      <w:pPr>
        <w:pStyle w:val="Heading2"/>
        <w:spacing w:after="120" w:before="220"/>
      </w:pPr>
      <w:r>
        <w:rPr>
          <w:rFonts w:ascii="Calibri" w:cs="Calibri" w:eastAsia="Calibri" w:hAnsi="Calibri"/>
          <w:b/>
          <w:bCs/>
          <w:sz w:val="23"/>
          <w:szCs w:val="23"/>
        </w:rPr>
        <w:t xml:space="preserve">5.5 Integração com o sistema de pulverização</w:t>
      </w:r>
    </w:p>
    <w:p>
      <w:pPr>
        <w:spacing w:after="160" w:line="276"/>
        <w:jc w:val="both"/>
      </w:pPr>
      <w:r>
        <w:rPr>
          <w:rFonts w:ascii="Calibri" w:cs="Calibri" w:eastAsia="Calibri" w:hAnsi="Calibri"/>
          <w:i w:val="false"/>
          <w:iCs w:val="false"/>
          <w:sz w:val="22"/>
          <w:szCs w:val="22"/>
        </w:rPr>
        <w:t xml:space="preserve">Especificação dos requisitos de interface entre o mapa de prescrição e o controlador de taxa variável do pulverizador, incluindo resolução espacial mínima compatível com a densidade de amostragem de solo, limiar de decisão para acionamento diferenciado e unidade de controle de seção. Nesta etapa do pré-projeto, a integração é tratada em nível de especificação técnica e simulação computacional, sem execução em campo, dado o escopo da disciplina.</w:t>
      </w:r>
    </w:p>
    <w:p>
      <w:pPr>
        <w:pStyle w:val="Heading2"/>
        <w:spacing w:after="120" w:before="220"/>
      </w:pPr>
      <w:r>
        <w:rPr>
          <w:rFonts w:ascii="Calibri" w:cs="Calibri" w:eastAsia="Calibri" w:hAnsi="Calibri"/>
          <w:b/>
          <w:bCs/>
          <w:sz w:val="23"/>
          <w:szCs w:val="23"/>
        </w:rPr>
        <w:t xml:space="preserve">5.6 Validação e generalização</w:t>
      </w:r>
    </w:p>
    <w:p>
      <w:pPr>
        <w:spacing w:after="160" w:line="276"/>
        <w:jc w:val="both"/>
      </w:pPr>
      <w:r>
        <w:rPr>
          <w:rFonts w:ascii="Calibri" w:cs="Calibri" w:eastAsia="Calibri" w:hAnsi="Calibri"/>
          <w:i w:val="false"/>
          <w:iCs w:val="false"/>
          <w:sz w:val="22"/>
          <w:szCs w:val="22"/>
        </w:rPr>
        <w:t xml:space="preserve">Avaliação da capacidade de generalização do classificador por meio de teste em dataset independente (Sorghum-Drought; Xu et al., 2018), incluindo os subconjuntos "Late Drought" e "Progressive Drought", conforme protocolo de Hagen et al. (2024). Essa etapa é essencial para estimar a confiabilidade do mapa de prescrição quando o modelo é aplicado a condições distintas das do treinamento, o que é diretamente relevante para o uso operacional do sistema proposto.</w:t>
      </w:r>
    </w:p>
    <w:p>
      <w:pPr>
        <w:pStyle w:val="Heading1"/>
        <w:spacing w:after="160" w:before="320"/>
      </w:pPr>
      <w:r>
        <w:rPr>
          <w:rFonts w:ascii="Calibri" w:cs="Calibri" w:eastAsia="Calibri" w:hAnsi="Calibri"/>
          <w:b/>
          <w:bCs/>
          <w:sz w:val="26"/>
          <w:szCs w:val="26"/>
        </w:rPr>
        <w:t xml:space="preserve">6. Comparação estrutural com o sistema de referência</w:t>
      </w:r>
    </w:p>
    <w:p>
      <w:pPr>
        <w:spacing w:after="160" w:line="276"/>
        <w:jc w:val="both"/>
      </w:pPr>
      <w:r>
        <w:rPr>
          <w:rFonts w:ascii="Calibri" w:cs="Calibri" w:eastAsia="Calibri" w:hAnsi="Calibri"/>
          <w:i w:val="false"/>
          <w:iCs w:val="false"/>
          <w:sz w:val="22"/>
          <w:szCs w:val="22"/>
        </w:rPr>
        <w:t xml:space="preserve">O quadro a seguir sintetiza a correspondência entre o sistema previamente desenvolvido pela autora (detecção de insetos-praga por CNN e ViT acoplada a pulverizador) e o sistema ora proposto, evidenciando que ambos compartilham a mesma arquitetura geral de decisão-atuação, distinguindo-se pela natureza do dado de entrada e pelo modelo preditivo empregado.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c>
          <w:tcPr>
            <w:tcW w:type="dxa" w:w="2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Elemento</w:t>
            </w:r>
          </w:p>
        </w:tc>
        <w:tc>
          <w:tcPr>
            <w:tcW w:type="dxa" w:w="3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Sistema de referência (detecção de insetos-praga)</w:t>
            </w:r>
          </w:p>
        </w:tc>
        <w:tc>
          <w:tcPr>
            <w:tcW w:type="dxa" w:w="3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Sistema proposto (microbioma do solo)</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Variável de entrada</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Imagem digital de dossel/armadilha</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Abundância relativa de táxons bacterianos (16S rRNA, dataset Grass-Drought)</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Modelo preditivo</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Rede neural convolucional (CNN) associada a Vision Transformer (ViT)</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Random Forest Classifier (RFC) com validação cruzada aninhada e interpretação via SHAP</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Variável de resposta</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Presença/densidade de indivíduos-praga por unidade amostral</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Classe binária de regime hídrico (Controle/Seca) por amostra georreferenciada</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Critério de explicabilidade</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Mapa de ativação/atenção do modelo</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Valores de Shapley (SHAP) por táxon e por amostra</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Atuador mecanizado</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Pulverizador com controle de taxa variável (defensivo agrícola)</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Pulverizador com controle de taxa variável (inoculante microbiano/SynCom)</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Regra de decisão</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Limiar de detecção por zona de manejo</w:t>
            </w:r>
          </w:p>
        </w:tc>
        <w:tc>
          <w:tcPr>
            <w:tcW w:type="dxa" w:w="3500"/>
            <w:tcMar>
              <w:top w:type="dxa" w:w="100"/>
              <w:left w:type="dxa" w:w="120"/>
              <w:bottom w:type="dxa" w:w="100"/>
              <w:right w:type="dxa" w:w="120"/>
            </w:tcMar>
          </w:tcPr>
          <w:p>
            <w:r>
              <w:rPr>
                <w:rFonts w:ascii="Calibri" w:cs="Calibri" w:eastAsia="Calibri" w:hAnsi="Calibri"/>
                <w:b w:val="false"/>
                <w:bCs w:val="false"/>
                <w:color w:val="000000"/>
                <w:sz w:val="20"/>
                <w:szCs w:val="20"/>
              </w:rPr>
              <w:t xml:space="preserve">Limiar de probabilidade de classe (P(Seca) do RFC) por zona de manejo</w:t>
            </w:r>
          </w:p>
        </w:tc>
      </w:tr>
    </w:tbl>
    <w:p>
      <w:pPr>
        <w:pStyle w:val="Heading1"/>
        <w:spacing w:after="160" w:before="320"/>
      </w:pPr>
      <w:r>
        <w:rPr>
          <w:rFonts w:ascii="Calibri" w:cs="Calibri" w:eastAsia="Calibri" w:hAnsi="Calibri"/>
          <w:b/>
          <w:bCs/>
          <w:sz w:val="26"/>
          <w:szCs w:val="26"/>
        </w:rPr>
        <w:t xml:space="preserve">7. Cronograma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5900"/>
        <w:gridCol w:w="1700"/>
      </w:tblGrid>
      <w:tr>
        <w:tc>
          <w:tcPr>
            <w:tcW w:type="dxa" w:w="1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Etapa</w:t>
            </w:r>
          </w:p>
        </w:tc>
        <w:tc>
          <w:tcPr>
            <w:tcW w:type="dxa" w:w="5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Atividade</w:t>
            </w:r>
          </w:p>
        </w:tc>
        <w:tc>
          <w:tcPr>
            <w:tcW w:type="dxa" w:w="17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Prazo estimado</w:t>
            </w:r>
          </w:p>
        </w:tc>
      </w:tr>
      <w:tr>
        <w:tc>
          <w:tcPr>
            <w:tcW w:type="dxa" w:w="1600"/>
            <w:tcMar>
              <w:top w:type="dxa" w:w="100"/>
              <w:left w:type="dxa" w:w="120"/>
              <w:bottom w:type="dxa" w:w="100"/>
              <w:right w:type="dxa" w:w="120"/>
            </w:tcMar>
          </w:tcPr>
          <w:p>
            <w:r>
              <w:rPr>
                <w:rFonts w:ascii="Calibri" w:cs="Calibri" w:eastAsia="Calibri" w:hAnsi="Calibri"/>
                <w:b w:val="false"/>
                <w:bCs w:val="false"/>
                <w:color w:val="000000"/>
                <w:sz w:val="20"/>
                <w:szCs w:val="20"/>
              </w:rPr>
              <w:t xml:space="preserve">1</w:t>
            </w:r>
          </w:p>
        </w:tc>
        <w:tc>
          <w:tcPr>
            <w:tcW w:type="dxa" w:w="59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Revisão sistemática da literatura sobre análise diferencial de abundância (DAA), interpretabilidade em aprendizado de máquina (SHAP) e tecnologia de taxa variável (VRT) em pulverização agrícola</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Semanas 1-2</w:t>
            </w:r>
          </w:p>
        </w:tc>
      </w:tr>
      <w:tr>
        <w:tc>
          <w:tcPr>
            <w:tcW w:type="dxa" w:w="1600"/>
            <w:tcMar>
              <w:top w:type="dxa" w:w="100"/>
              <w:left w:type="dxa" w:w="120"/>
              <w:bottom w:type="dxa" w:w="100"/>
              <w:right w:type="dxa" w:w="120"/>
            </w:tcMar>
          </w:tcPr>
          <w:p>
            <w:r>
              <w:rPr>
                <w:rFonts w:ascii="Calibri" w:cs="Calibri" w:eastAsia="Calibri" w:hAnsi="Calibri"/>
                <w:b w:val="false"/>
                <w:bCs w:val="false"/>
                <w:color w:val="000000"/>
                <w:sz w:val="20"/>
                <w:szCs w:val="20"/>
              </w:rPr>
              <w:t xml:space="preserve">2</w:t>
            </w:r>
          </w:p>
        </w:tc>
        <w:tc>
          <w:tcPr>
            <w:tcW w:type="dxa" w:w="5900"/>
            <w:tcMar>
              <w:top w:type="dxa" w:w="100"/>
              <w:left w:type="dxa" w:w="120"/>
              <w:bottom w:type="dxa" w:w="100"/>
              <w:right w:type="dxa" w:w="120"/>
            </w:tcMar>
          </w:tcPr>
          <w:p>
            <w:r>
              <w:rPr>
                <w:rFonts w:ascii="Calibri" w:cs="Calibri" w:eastAsia="Calibri" w:hAnsi="Calibri"/>
                <w:b w:val="false"/>
                <w:bCs w:val="false"/>
                <w:color w:val="000000"/>
                <w:sz w:val="20"/>
                <w:szCs w:val="20"/>
              </w:rPr>
              <w:t xml:space="preserve">Obtenção do dataset público (BioProject PRJNA369551) e reprodução do pipeline de bioinformática: DADA2, atribuição taxonômica (SILVA/RDP), filtragem de prevalência e rarefação</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Semanas 3-4</w:t>
            </w:r>
          </w:p>
        </w:tc>
      </w:tr>
      <w:tr>
        <w:tc>
          <w:tcPr>
            <w:tcW w:type="dxa" w:w="1600"/>
            <w:tcMar>
              <w:top w:type="dxa" w:w="100"/>
              <w:left w:type="dxa" w:w="120"/>
              <w:bottom w:type="dxa" w:w="100"/>
              <w:right w:type="dxa" w:w="120"/>
            </w:tcMar>
          </w:tcPr>
          <w:p>
            <w:r>
              <w:rPr>
                <w:rFonts w:ascii="Calibri" w:cs="Calibri" w:eastAsia="Calibri" w:hAnsi="Calibri"/>
                <w:b w:val="false"/>
                <w:bCs w:val="false"/>
                <w:color w:val="000000"/>
                <w:sz w:val="20"/>
                <w:szCs w:val="20"/>
              </w:rPr>
              <w:t xml:space="preserve">3</w:t>
            </w:r>
          </w:p>
        </w:tc>
        <w:tc>
          <w:tcPr>
            <w:tcW w:type="dxa" w:w="5900"/>
            <w:tcMar>
              <w:top w:type="dxa" w:w="100"/>
              <w:left w:type="dxa" w:w="120"/>
              <w:bottom w:type="dxa" w:w="100"/>
              <w:right w:type="dxa" w:w="120"/>
            </w:tcMar>
          </w:tcPr>
          <w:p>
            <w:r>
              <w:rPr>
                <w:rFonts w:ascii="Calibri" w:cs="Calibri" w:eastAsia="Calibri" w:hAnsi="Calibri"/>
                <w:b w:val="false"/>
                <w:bCs w:val="false"/>
                <w:color w:val="000000"/>
                <w:sz w:val="20"/>
                <w:szCs w:val="20"/>
              </w:rPr>
              <w:t xml:space="preserve">Treinamento do RFC com validação cruzada aninhada (5 folds), otimização de hiperparâmetros e extração de valores SHAP por fold</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Semanas 5-6</w:t>
            </w:r>
          </w:p>
        </w:tc>
      </w:tr>
      <w:tr>
        <w:tc>
          <w:tcPr>
            <w:tcW w:type="dxa" w:w="1600"/>
            <w:tcMar>
              <w:top w:type="dxa" w:w="100"/>
              <w:left w:type="dxa" w:w="120"/>
              <w:bottom w:type="dxa" w:w="100"/>
              <w:right w:type="dxa" w:w="120"/>
            </w:tcMar>
          </w:tcPr>
          <w:p>
            <w:r>
              <w:rPr>
                <w:rFonts w:ascii="Calibri" w:cs="Calibri" w:eastAsia="Calibri" w:hAnsi="Calibri"/>
                <w:b w:val="false"/>
                <w:bCs w:val="false"/>
                <w:color w:val="000000"/>
                <w:sz w:val="20"/>
                <w:szCs w:val="20"/>
              </w:rPr>
              <w:t xml:space="preserve">4</w:t>
            </w:r>
          </w:p>
        </w:tc>
        <w:tc>
          <w:tcPr>
            <w:tcW w:type="dxa" w:w="5900"/>
            <w:tcMar>
              <w:top w:type="dxa" w:w="100"/>
              <w:left w:type="dxa" w:w="120"/>
              <w:bottom w:type="dxa" w:w="100"/>
              <w:right w:type="dxa" w:w="120"/>
            </w:tcMar>
          </w:tcPr>
          <w:p>
            <w:r>
              <w:rPr>
                <w:rFonts w:ascii="Calibri" w:cs="Calibri" w:eastAsia="Calibri" w:hAnsi="Calibri"/>
                <w:b w:val="false"/>
                <w:bCs w:val="false"/>
                <w:color w:val="000000"/>
                <w:sz w:val="20"/>
                <w:szCs w:val="20"/>
              </w:rPr>
              <w:t xml:space="preserve">Formalização do mapa de prescrição (classe, probabilidade, composição do inoculante) e da função de mapeamento probabilidade → dose</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Semana 7</w:t>
            </w:r>
          </w:p>
        </w:tc>
      </w:tr>
      <w:tr>
        <w:tc>
          <w:tcPr>
            <w:tcW w:type="dxa" w:w="1600"/>
            <w:tcMar>
              <w:top w:type="dxa" w:w="100"/>
              <w:left w:type="dxa" w:w="120"/>
              <w:bottom w:type="dxa" w:w="100"/>
              <w:right w:type="dxa" w:w="120"/>
            </w:tcMar>
          </w:tcPr>
          <w:p>
            <w:r>
              <w:rPr>
                <w:rFonts w:ascii="Calibri" w:cs="Calibri" w:eastAsia="Calibri" w:hAnsi="Calibri"/>
                <w:b w:val="false"/>
                <w:bCs w:val="false"/>
                <w:color w:val="000000"/>
                <w:sz w:val="20"/>
                <w:szCs w:val="20"/>
              </w:rPr>
              <w:t xml:space="preserve">5</w:t>
            </w:r>
          </w:p>
        </w:tc>
        <w:tc>
          <w:tcPr>
            <w:tcW w:type="dxa" w:w="5900"/>
            <w:tcMar>
              <w:top w:type="dxa" w:w="100"/>
              <w:left w:type="dxa" w:w="120"/>
              <w:bottom w:type="dxa" w:w="100"/>
              <w:right w:type="dxa" w:w="120"/>
            </w:tcMar>
          </w:tcPr>
          <w:p>
            <w:r>
              <w:rPr>
                <w:rFonts w:ascii="Calibri" w:cs="Calibri" w:eastAsia="Calibri" w:hAnsi="Calibri"/>
                <w:b w:val="false"/>
                <w:bCs w:val="false"/>
                <w:color w:val="000000"/>
                <w:sz w:val="20"/>
                <w:szCs w:val="20"/>
              </w:rPr>
              <w:t xml:space="preserve">Simulação da integração modelo-atuador e análise comparativa entre aplicação uniforme e aplicação em taxa variável (estimativa de economia de insumo)</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Semana 8</w:t>
            </w:r>
          </w:p>
        </w:tc>
      </w:tr>
      <w:tr>
        <w:tc>
          <w:tcPr>
            <w:tcW w:type="dxa" w:w="1600"/>
            <w:tcMar>
              <w:top w:type="dxa" w:w="100"/>
              <w:left w:type="dxa" w:w="120"/>
              <w:bottom w:type="dxa" w:w="100"/>
              <w:right w:type="dxa" w:w="120"/>
            </w:tcMar>
          </w:tcPr>
          <w:p>
            <w:r>
              <w:rPr>
                <w:rFonts w:ascii="Calibri" w:cs="Calibri" w:eastAsia="Calibri" w:hAnsi="Calibri"/>
                <w:b w:val="false"/>
                <w:bCs w:val="false"/>
                <w:color w:val="000000"/>
                <w:sz w:val="20"/>
                <w:szCs w:val="20"/>
              </w:rPr>
              <w:t xml:space="preserve">6</w:t>
            </w:r>
          </w:p>
        </w:tc>
        <w:tc>
          <w:tcPr>
            <w:tcW w:type="dxa" w:w="59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Consolidação dos resultados, discussão das limitações e redação final</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Semana 9</w:t>
            </w:r>
          </w:p>
        </w:tc>
      </w:tr>
    </w:tbl>
    <w:p>
      <w:pPr>
        <w:pStyle w:val="Heading1"/>
        <w:spacing w:after="160" w:before="320"/>
      </w:pPr>
      <w:r>
        <w:rPr>
          <w:rFonts w:ascii="Calibri" w:cs="Calibri" w:eastAsia="Calibri" w:hAnsi="Calibri"/>
          <w:b/>
          <w:bCs/>
          <w:sz w:val="26"/>
          <w:szCs w:val="26"/>
        </w:rPr>
        <w:t xml:space="preserve">8. Resultados esperados e contribuição científica</w:t>
      </w:r>
    </w:p>
    <w:p>
      <w:pPr>
        <w:spacing w:after="100" w:line="276"/>
        <w:jc w:val="both"/>
      </w:pPr>
      <w:r>
        <w:rPr>
          <w:rFonts w:ascii="Calibri" w:cs="Calibri" w:eastAsia="Calibri" w:hAnsi="Calibri"/>
          <w:sz w:val="22"/>
          <w:szCs w:val="22"/>
        </w:rPr>
        <w:t xml:space="preserve">1. Especificação formal e reprodutível de um pipeline de classificação de estresse hídrico por microbioma do solo, com explicabilidade via SHAP, documentado em nível de reprodutibilidade científica.</w:t>
      </w:r>
    </w:p>
    <w:p>
      <w:pPr>
        <w:spacing w:after="100" w:line="276"/>
        <w:jc w:val="both"/>
      </w:pPr>
      <w:r>
        <w:rPr>
          <w:rFonts w:ascii="Calibri" w:cs="Calibri" w:eastAsia="Calibri" w:hAnsi="Calibri"/>
          <w:sz w:val="22"/>
          <w:szCs w:val="22"/>
        </w:rPr>
        <w:t xml:space="preserve">2. Formalização de uma função de mapeamento entre saída de modelo interpretável e parâmetros de controle de taxa variável, contribuindo para a literatura de agricultura de precisão com um caso de uso ainda não descrito (diagnóstico metagenômico acoplado a atuação mecanizada).</w:t>
      </w:r>
    </w:p>
    <w:p>
      <w:pPr>
        <w:spacing w:after="100" w:line="276"/>
        <w:jc w:val="both"/>
      </w:pPr>
      <w:r>
        <w:rPr>
          <w:rFonts w:ascii="Calibri" w:cs="Calibri" w:eastAsia="Calibri" w:hAnsi="Calibri"/>
          <w:sz w:val="22"/>
          <w:szCs w:val="22"/>
        </w:rPr>
        <w:t xml:space="preserve">3. Estimativa comparativa entre aplicação uniforme e aplicação em taxa variável de bioinsumo, com base na proporção de área classificada como estressada nos datasets de teste utilizados por Hagen et al. (2024).</w:t>
      </w:r>
    </w:p>
    <w:p>
      <w:pPr>
        <w:spacing w:after="100" w:line="276"/>
        <w:jc w:val="both"/>
      </w:pPr>
      <w:r>
        <w:rPr>
          <w:rFonts w:ascii="Calibri" w:cs="Calibri" w:eastAsia="Calibri" w:hAnsi="Calibri"/>
          <w:sz w:val="22"/>
          <w:szCs w:val="22"/>
        </w:rPr>
        <w:t xml:space="preserve">4. Discussão criteriosa das limitações de generalização do modelo entre datasets e condições de cultivo, com implicações diretas para a confiabilidade operacional do sistema proposto.</w:t>
      </w:r>
    </w:p>
    <w:p>
      <w:pPr>
        <w:pStyle w:val="Heading1"/>
        <w:spacing w:after="160" w:before="320"/>
      </w:pPr>
      <w:r>
        <w:rPr>
          <w:rFonts w:ascii="Calibri" w:cs="Calibri" w:eastAsia="Calibri" w:hAnsi="Calibri"/>
          <w:b/>
          <w:bCs/>
          <w:sz w:val="26"/>
          <w:szCs w:val="26"/>
        </w:rPr>
        <w:t xml:space="preserve">9. Limitações</w:t>
      </w:r>
    </w:p>
    <w:p>
      <w:pPr>
        <w:spacing w:after="160" w:line="276"/>
        <w:jc w:val="both"/>
      </w:pPr>
      <w:r>
        <w:rPr>
          <w:rFonts w:ascii="Calibri" w:cs="Calibri" w:eastAsia="Calibri" w:hAnsi="Calibri"/>
          <w:i w:val="false"/>
          <w:iCs w:val="false"/>
          <w:sz w:val="22"/>
          <w:szCs w:val="22"/>
        </w:rPr>
        <w:t xml:space="preserve">Duas limitações centrais devem ser consideradas. Primeiramente, o tempo de resposta do sequenciamento 16S rRNA é incompatível com a necessidade de decisão em tempo real no campo, o que restringe, nesta etapa, o sistema a um uso de diagnóstico prévio à safra ou a intervalos de reamostragem periódica, e não a um acionamento instantâneo durante a operação de pulverização. Em segundo lugar, os próprios resultados de Hagen et al. (2024) mostram redução de desempenho do classificador quando testado em um dataset independente (acurácia de 0,854 no subconjunto Late Drought e de 0,768 no subconjunto Progressive Drought, ambos inferiores aos 0,923 obtidos no dataset de treinamento), o que indica sensibilidade do modelo a fatores como espécie cultivada, local de coleta e estágio do estresse hídrico. Este pré-projeto assume essas limitações como parâmetros de risco a serem tratados em etapas futuras de validação, e não como evidência contrária à viabilidade da proposta.</w:t>
      </w:r>
    </w:p>
    <w:p>
      <w:pPr>
        <w:pStyle w:val="Heading1"/>
        <w:spacing w:after="160" w:before="320"/>
      </w:pPr>
      <w:r>
        <w:rPr>
          <w:rFonts w:ascii="Calibri" w:cs="Calibri" w:eastAsia="Calibri" w:hAnsi="Calibri"/>
          <w:b/>
          <w:bCs/>
          <w:sz w:val="26"/>
          <w:szCs w:val="26"/>
        </w:rPr>
        <w:t xml:space="preserve">10. Implementação computacional e resultados obtidos</w:t>
      </w:r>
    </w:p>
    <w:p>
      <w:pPr>
        <w:spacing w:after="160" w:line="276"/>
        <w:jc w:val="both"/>
      </w:pPr>
      <w:r>
        <w:rPr>
          <w:rFonts w:ascii="Calibri" w:cs="Calibri" w:eastAsia="Calibri" w:hAnsi="Calibri"/>
          <w:i w:val="false"/>
          <w:iCs w:val="false"/>
          <w:sz w:val="22"/>
          <w:szCs w:val="22"/>
        </w:rPr>
        <w:t xml:space="preserve">A metodologia descrita nas seções anteriores foi implementada como um pipeline de software completo, organizado em módulos independentes e testados, disponibilizado em repositório próprio no GitHub. Esta seção descreve a implementação e reporta os resultados obtidos em uma execução de referência do pipeline.</w:t>
      </w:r>
    </w:p>
    <w:p>
      <w:pPr>
        <w:pStyle w:val="Heading2"/>
        <w:spacing w:after="120" w:before="220"/>
      </w:pPr>
      <w:r>
        <w:rPr>
          <w:rFonts w:ascii="Calibri" w:cs="Calibri" w:eastAsia="Calibri" w:hAnsi="Calibri"/>
          <w:b/>
          <w:bCs/>
          <w:sz w:val="23"/>
          <w:szCs w:val="23"/>
        </w:rPr>
        <w:t xml:space="preserve">10.1 Estrutura do repositório</w:t>
      </w:r>
    </w:p>
    <w:p>
      <w:pPr>
        <w:spacing w:after="160" w:line="276"/>
        <w:jc w:val="both"/>
      </w:pPr>
      <w:r>
        <w:rPr>
          <w:rFonts w:ascii="Calibri" w:cs="Calibri" w:eastAsia="Calibri" w:hAnsi="Calibri"/>
          <w:i w:val="false"/>
          <w:iCs w:val="false"/>
          <w:sz w:val="22"/>
          <w:szCs w:val="22"/>
        </w:rPr>
        <w:t xml:space="preserve">O código-fonte foi organizado em seis módulos, cada um correspondente a uma etapa da metodologia (seção 5): (1) obtenção de dados, (2) modelagem preditiva, (3) interpretabilidade, (4) mapa de prescrição, (5) simulação de aplicação em taxa variável, e (6) um orquestrador que executa as etapas em sequência e consolida os artefatos de saída (tabela de features, métricas, táxons marcadores, mapa de prescrição em CSV e em imagem, e um relatório-resumo). O repositório inclui também uma suíte de testes automatizados (pytest), que verifica a integridade estatística de cada etapa (por exemplo, que as abundâncias relativas somam 1 por amostra, que as métricas do classificador estão no intervalo [0, 1] e que a dose de bioinsumo cresce de forma monotônica com a probabilidade de estresse prevista).</w:t>
      </w:r>
    </w:p>
    <w:p>
      <w:pPr>
        <w:pStyle w:val="Heading2"/>
        <w:spacing w:after="120" w:before="220"/>
      </w:pPr>
      <w:r>
        <w:rPr>
          <w:rFonts w:ascii="Calibri" w:cs="Calibri" w:eastAsia="Calibri" w:hAnsi="Calibri"/>
          <w:b/>
          <w:bCs/>
          <w:sz w:val="23"/>
          <w:szCs w:val="23"/>
        </w:rPr>
        <w:t xml:space="preserve">10.2 Dados utilizados na execução de referência</w:t>
      </w:r>
    </w:p>
    <w:p>
      <w:pPr>
        <w:spacing w:after="160" w:line="276"/>
        <w:jc w:val="both"/>
      </w:pPr>
      <w:r>
        <w:rPr>
          <w:rFonts w:ascii="Calibri" w:cs="Calibri" w:eastAsia="Calibri" w:hAnsi="Calibri"/>
          <w:i w:val="false"/>
          <w:iCs w:val="false"/>
          <w:sz w:val="22"/>
          <w:szCs w:val="22"/>
        </w:rPr>
        <w:t xml:space="preserve">Como o processamento do dataset real ("Grass-Drought", BioProject PRJNA369551) depende de ferramentas de bioinformática (SRA Toolkit, DADA2 em R) e de acesso à rede do NCBI não disponíveis no ambiente de desenvolvimento utilizado, o módulo de dados gera uma tabela sintética com a mesma estrutura estatística do dataset original: amostras rotuladas "Controle"/"Seca", abundâncias relativas de um conjunto de gêneros bacterianos (parte deles desenhada para responder ao regime hídrico, simulando os marcadores relatados por Hagen et al., 2024) e coordenadas espaciais dentro de um talhão hipotético, com um leve gradiente espacial de suscetibilidade à seca. O repositório documenta, em `docs/methodology.md`, o procedimento para substituir esses dados sintéticos pela tabela de features real, uma vez processada.</w:t>
      </w:r>
    </w:p>
    <w:p>
      <w:pPr>
        <w:pStyle w:val="Heading2"/>
        <w:spacing w:after="120" w:before="220"/>
      </w:pPr>
      <w:r>
        <w:rPr>
          <w:rFonts w:ascii="Calibri" w:cs="Calibri" w:eastAsia="Calibri" w:hAnsi="Calibri"/>
          <w:b/>
          <w:bCs/>
          <w:sz w:val="23"/>
          <w:szCs w:val="23"/>
        </w:rPr>
        <w:t xml:space="preserve">10.3 Desempenho do classificador</w:t>
      </w:r>
    </w:p>
    <w:p>
      <w:pPr>
        <w:spacing w:after="160" w:line="276"/>
        <w:jc w:val="both"/>
      </w:pPr>
      <w:r>
        <w:rPr>
          <w:rFonts w:ascii="Calibri" w:cs="Calibri" w:eastAsia="Calibri" w:hAnsi="Calibri"/>
          <w:i w:val="false"/>
          <w:iCs w:val="false"/>
          <w:sz w:val="22"/>
          <w:szCs w:val="22"/>
        </w:rPr>
        <w:t xml:space="preserve">A tabela a seguir reporta o desempenho médio do Random Forest Classifier na execução de referência (5-fold nested CV), sobre a tabela de dados sintéticos descrita acima: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Métrica</w:t>
            </w:r>
          </w:p>
        </w:tc>
        <w:tc>
          <w:tcPr>
            <w:tcW w:type="dxa" w:w="3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Média</w:t>
            </w:r>
          </w:p>
        </w:tc>
        <w:tc>
          <w:tcPr>
            <w:tcW w:type="dxa" w:w="3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Desvio padrão</w:t>
            </w:r>
          </w:p>
        </w:tc>
      </w:tr>
      <w:tr>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Acurácia</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0,862</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0,014</w:t>
            </w:r>
          </w:p>
        </w:tc>
      </w:tr>
      <w:tr>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F1-score</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0,858</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0,014</w:t>
            </w:r>
          </w:p>
        </w:tc>
      </w:tr>
      <w:tr>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Precisão</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0,861</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0,025</w:t>
            </w:r>
          </w:p>
        </w:tc>
      </w:tr>
      <w:tr>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Recall</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0,855</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0,024</w:t>
            </w:r>
          </w:p>
        </w:tc>
      </w:tr>
      <w:tr>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AUC</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0,928</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0,020</w:t>
            </w:r>
          </w:p>
        </w:tc>
      </w:tr>
    </w:tbl>
    <w:p>
      <w:pPr>
        <w:spacing w:after="160" w:line="276"/>
        <w:jc w:val="both"/>
      </w:pPr>
      <w:r>
        <w:rPr>
          <w:rFonts w:ascii="Calibri" w:cs="Calibri" w:eastAsia="Calibri" w:hAnsi="Calibri"/>
          <w:i w:val="false"/>
          <w:iCs w:val="false"/>
          <w:sz w:val="22"/>
          <w:szCs w:val="22"/>
        </w:rPr>
        <w:t xml:space="preserve">Esses valores são consistentes, em ordem de grandeza, com os 92,3% de acurácia e 0,980 de AUC relatados por Hagen et al. (2024) no nível de gênero, considerando que os dados aqui utilizados são sintéticos e foram desenhados com sobreposição intencional entre classes (para evitar separação artificialmente perfeita), e não o dataset real do artigo.</w:t>
      </w:r>
    </w:p>
    <w:p>
      <w:pPr>
        <w:pStyle w:val="Heading2"/>
        <w:spacing w:after="120" w:before="220"/>
      </w:pPr>
      <w:r>
        <w:rPr>
          <w:rFonts w:ascii="Calibri" w:cs="Calibri" w:eastAsia="Calibri" w:hAnsi="Calibri"/>
          <w:b/>
          <w:bCs/>
          <w:sz w:val="23"/>
          <w:szCs w:val="23"/>
        </w:rPr>
        <w:t xml:space="preserve">10.4 Táxons marcadores identificados</w:t>
      </w:r>
    </w:p>
    <w:p>
      <w:pPr>
        <w:spacing w:after="160" w:line="276"/>
        <w:jc w:val="both"/>
      </w:pPr>
      <w:r>
        <w:rPr>
          <w:rFonts w:ascii="Calibri" w:cs="Calibri" w:eastAsia="Calibri" w:hAnsi="Calibri"/>
          <w:i w:val="false"/>
          <w:iCs w:val="false"/>
          <w:sz w:val="22"/>
          <w:szCs w:val="22"/>
        </w:rPr>
        <w:t xml:space="preserve">A tabela a seguir lista os cinco táxons de maior importância SHAP média na execução de referência, com o consenso de direção de enriquecimento entre os folds da validação cruzada: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2900"/>
      </w:tblGrid>
      <w:tr>
        <w:tc>
          <w:tcPr>
            <w:tcW w:type="dxa" w:w="3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Táxon</w:t>
            </w:r>
          </w:p>
        </w:tc>
        <w:tc>
          <w:tcPr>
            <w:tcW w:type="dxa" w:w="2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Importância SHAP média</w:t>
            </w:r>
          </w:p>
        </w:tc>
        <w:tc>
          <w:tcPr>
            <w:tcW w:type="dxa" w:w="2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Enriquecimento (consenso)</w:t>
            </w:r>
          </w:p>
        </w:tc>
      </w:tr>
      <w:tr>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Bacillus</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0,0975</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Seca</w:t>
            </w:r>
          </w:p>
        </w:tc>
      </w:tr>
      <w:tr>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Kribbella</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0,0862</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Controle</w:t>
            </w:r>
          </w:p>
        </w:tc>
      </w:tr>
      <w:tr>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Occallatibacter</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0,0807</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Controle</w:t>
            </w:r>
          </w:p>
        </w:tc>
      </w:tr>
      <w:tr>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Streptomyces</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0,0794</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Seca</w:t>
            </w:r>
          </w:p>
        </w:tc>
      </w:tr>
      <w:tr>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Genus_035</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0,0066</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Seca</w:t>
            </w:r>
          </w:p>
        </w:tc>
      </w:tr>
    </w:tbl>
    <w:p>
      <w:pPr>
        <w:spacing w:after="160" w:line="276"/>
        <w:jc w:val="both"/>
      </w:pPr>
      <w:r>
        <w:rPr>
          <w:rFonts w:ascii="Calibri" w:cs="Calibri" w:eastAsia="Calibri" w:hAnsi="Calibri"/>
          <w:i w:val="false"/>
          <w:iCs w:val="false"/>
          <w:sz w:val="22"/>
          <w:szCs w:val="22"/>
        </w:rPr>
        <w:t xml:space="preserve">O consenso de enriquecimento foi calculado a partir da correlação, em cada fold, entre o valor bruto de abundância de cada táxon e seu respectivo valor SHAP para a classe "Seca": correlação positiva indica enriquecimento sob seca, negativa indica enriquecimento sob controle. Um táxon só recebe rótulo definitivo quando essa direção é consistente em pelo menos 4 dos 5 folds, replicando o critério de consenso do artigo de referência.</w:t>
      </w:r>
    </w:p>
    <w:p>
      <w:pPr>
        <w:pStyle w:val="Heading2"/>
        <w:spacing w:after="120" w:before="220"/>
      </w:pPr>
      <w:r>
        <w:rPr>
          <w:rFonts w:ascii="Calibri" w:cs="Calibri" w:eastAsia="Calibri" w:hAnsi="Calibri"/>
          <w:b/>
          <w:bCs/>
          <w:sz w:val="23"/>
          <w:szCs w:val="23"/>
        </w:rPr>
        <w:t xml:space="preserve">10.5 Mapa de prescrição e simulação de taxa variável</w:t>
      </w:r>
    </w:p>
    <w:p>
      <w:pPr>
        <w:spacing w:after="160" w:line="276"/>
        <w:jc w:val="both"/>
      </w:pPr>
      <w:r>
        <w:rPr>
          <w:rFonts w:ascii="Calibri" w:cs="Calibri" w:eastAsia="Calibri" w:hAnsi="Calibri"/>
          <w:i w:val="false"/>
          <w:iCs w:val="false"/>
          <w:sz w:val="22"/>
          <w:szCs w:val="22"/>
        </w:rPr>
        <w:t xml:space="preserve">A saída do classificador foi convertida em um mapa de prescrição (função probabilidade → dose → composição, seção 5.4) e interpolada para uma grade regular representando um talhão hipotético de 25 hectares. A Figura 1 mostra o mapa resultante, com a dose de bioinsumo (L/ha) por célula da grade.</w:t>
      </w:r>
    </w:p>
    <w:p>
      <w:pPr>
        <w:spacing w:after="4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01942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Figura 1: Mapa de prescrição simulado (dose de bioinsumo, L/ha) para um talhão de 25 ha.</w:t>
      </w:r>
    </w:p>
    <w:p>
      <w:pPr>
        <w:spacing w:after="160" w:line="276"/>
        <w:jc w:val="both"/>
      </w:pPr>
      <w:r>
        <w:rPr>
          <w:rFonts w:ascii="Calibri" w:cs="Calibri" w:eastAsia="Calibri" w:hAnsi="Calibri"/>
          <w:i w:val="false"/>
          <w:iCs w:val="false"/>
          <w:sz w:val="22"/>
          <w:szCs w:val="22"/>
        </w:rPr>
        <w:t xml:space="preserve">A simulação de aplicação comparou o volume total de bioinsumo em dois cenários: aplicação uniforme (dose fixa de 40 L/ha em toda a área, correspondente à dose máxima do mapa de prescrição) e aplicação em taxa variável guiada pelo mapa. Os resultados foram: volume uniforme de 1.000 L para os 25 ha simulados, contra 480,5 L em taxa variável, uma economia estimada de 51,9% de bioinsumo. Esse resultado deve ser lido como uma estimativa de ordem de grandeza, condicionada à proporção de área classificada como estressada nos dados sintéticos utilizados, e não como uma previsão de economia para um talhão real.</w:t>
      </w:r>
    </w:p>
    <w:p>
      <w:pPr>
        <w:pStyle w:val="Heading2"/>
        <w:spacing w:after="120" w:before="220"/>
      </w:pPr>
      <w:r>
        <w:rPr>
          <w:rFonts w:ascii="Calibri" w:cs="Calibri" w:eastAsia="Calibri" w:hAnsi="Calibri"/>
          <w:b/>
          <w:bCs/>
          <w:sz w:val="23"/>
          <w:szCs w:val="23"/>
        </w:rPr>
        <w:t xml:space="preserve">10.6 Disponibilidade do código</w:t>
      </w:r>
    </w:p>
    <w:p>
      <w:pPr>
        <w:spacing w:after="160" w:line="276"/>
        <w:jc w:val="both"/>
      </w:pPr>
      <w:r>
        <w:rPr>
          <w:rFonts w:ascii="Calibri" w:cs="Calibri" w:eastAsia="Calibri" w:hAnsi="Calibri"/>
          <w:i w:val="false"/>
          <w:iCs w:val="false"/>
          <w:sz w:val="22"/>
          <w:szCs w:val="22"/>
        </w:rPr>
        <w:t xml:space="preserve">O código-fonte completo (módulos, testes automatizados e um exemplo de execução já processado, incluindo os artefatos citados nesta seção) está organizado como um repositório Git, pronto para publicação no GitHub associado a esta disciplina.</w:t>
      </w:r>
    </w:p>
    <w:p>
      <w:pPr>
        <w:pStyle w:val="Heading1"/>
        <w:spacing w:after="160" w:before="320"/>
      </w:pPr>
      <w:r>
        <w:rPr>
          <w:rFonts w:ascii="Calibri" w:cs="Calibri" w:eastAsia="Calibri" w:hAnsi="Calibri"/>
          <w:b/>
          <w:bCs/>
          <w:sz w:val="26"/>
          <w:szCs w:val="26"/>
        </w:rPr>
        <w:t xml:space="preserve">Referências</w:t>
      </w:r>
    </w:p>
    <w:p>
      <w:pPr>
        <w:spacing w:after="120" w:line="264"/>
        <w:ind w:left="431" w:hanging="431"/>
      </w:pPr>
      <w:r>
        <w:rPr>
          <w:rFonts w:ascii="Calibri" w:cs="Calibri" w:eastAsia="Calibri" w:hAnsi="Calibri"/>
          <w:sz w:val="20"/>
          <w:szCs w:val="20"/>
        </w:rPr>
        <w:t xml:space="preserve">Berendsen, R. L., Pieterse, C. M. J., &amp; Bakker, P. A. H. M. (2012). The rhizosphere microbiome and plant health. Trends in Plant Science, 17(8), 478-486.</w:t>
      </w:r>
    </w:p>
    <w:p>
      <w:pPr>
        <w:spacing w:after="120" w:line="264"/>
        <w:ind w:left="431" w:hanging="431"/>
      </w:pPr>
      <w:r>
        <w:rPr>
          <w:rFonts w:ascii="Calibri" w:cs="Calibri" w:eastAsia="Calibri" w:hAnsi="Calibri"/>
          <w:sz w:val="20"/>
          <w:szCs w:val="20"/>
        </w:rPr>
        <w:t xml:space="preserve">Callahan, B. J., McMurdie, P. J., Rosen, M. J., Han, A. W., Johnson, A. J. A., &amp; Holmes, S. P. (2016). DADA2: high-resolution sample inference from Illumina amplicon data. Nature Methods, 13(7), 581-583.</w:t>
      </w:r>
    </w:p>
    <w:p>
      <w:pPr>
        <w:spacing w:after="120" w:line="264"/>
        <w:ind w:left="431" w:hanging="431"/>
      </w:pPr>
      <w:r>
        <w:rPr>
          <w:rFonts w:ascii="Calibri" w:cs="Calibri" w:eastAsia="Calibri" w:hAnsi="Calibri"/>
          <w:sz w:val="20"/>
          <w:szCs w:val="20"/>
        </w:rPr>
        <w:t xml:space="preserve">Capitaine, L., Genuer, R., &amp; Thiébaut, R. (2021). Random forests for high-dimensional longitudinal data. Statistical Methods in Medical Research, 30(1), 166-184.</w:t>
      </w:r>
    </w:p>
    <w:p>
      <w:pPr>
        <w:spacing w:after="120" w:line="264"/>
        <w:ind w:left="431" w:hanging="431"/>
      </w:pPr>
      <w:r>
        <w:rPr>
          <w:rFonts w:ascii="Calibri" w:cs="Calibri" w:eastAsia="Calibri" w:hAnsi="Calibri"/>
          <w:sz w:val="20"/>
          <w:szCs w:val="20"/>
        </w:rPr>
        <w:t xml:space="preserve">Chen, X., &amp; Ishwaran, H. (2012). Random forests for genomic data analysis. Genomics, 99(6), 323-329.</w:t>
      </w:r>
    </w:p>
    <w:p>
      <w:pPr>
        <w:spacing w:after="120" w:line="264"/>
        <w:ind w:left="431" w:hanging="431"/>
      </w:pPr>
      <w:r>
        <w:rPr>
          <w:rFonts w:ascii="Calibri" w:cs="Calibri" w:eastAsia="Calibri" w:hAnsi="Calibri"/>
          <w:sz w:val="20"/>
          <w:szCs w:val="20"/>
        </w:rPr>
        <w:t xml:space="preserve">Fernandes, A. D., Macklaim, J. M., Linn, T. G., Reid, G., &amp; Gloor, G. B. (2013). ANOVA-like differential expression (ALDEx) analysis for mixed population RNA-Seq. PLoS ONE, 8(7), e67019.</w:t>
      </w:r>
    </w:p>
    <w:p>
      <w:pPr>
        <w:spacing w:after="120" w:line="264"/>
        <w:ind w:left="431" w:hanging="431"/>
      </w:pPr>
      <w:r>
        <w:rPr>
          <w:rFonts w:ascii="Calibri" w:cs="Calibri" w:eastAsia="Calibri" w:hAnsi="Calibri"/>
          <w:sz w:val="20"/>
          <w:szCs w:val="20"/>
        </w:rPr>
        <w:t xml:space="preserve">Hagen, M., Dass, R., Westhues, C., Blom, J., Schultheiss, S. J., &amp; Patz, S. (2024). Interpretable machine learning decodes soil microbiome's response to drought stress. Environmental Microbiome, 19, 35. https://doi.org/10.1186/s40793-024-00578-1</w:t>
      </w:r>
    </w:p>
    <w:p>
      <w:pPr>
        <w:spacing w:after="120" w:line="264"/>
        <w:ind w:left="431" w:hanging="431"/>
      </w:pPr>
      <w:r>
        <w:rPr>
          <w:rFonts w:ascii="Calibri" w:cs="Calibri" w:eastAsia="Calibri" w:hAnsi="Calibri"/>
          <w:sz w:val="20"/>
          <w:szCs w:val="20"/>
        </w:rPr>
        <w:t xml:space="preserve">Lin, H., &amp; Peddada, S. D. (2020). Analysis of compositions of microbiomes with bias correction. Nature Communications, 11(1), 3514.</w:t>
      </w:r>
    </w:p>
    <w:p>
      <w:pPr>
        <w:spacing w:after="120" w:line="264"/>
        <w:ind w:left="431" w:hanging="431"/>
      </w:pPr>
      <w:r>
        <w:rPr>
          <w:rFonts w:ascii="Calibri" w:cs="Calibri" w:eastAsia="Calibri" w:hAnsi="Calibri"/>
          <w:sz w:val="20"/>
          <w:szCs w:val="20"/>
        </w:rPr>
        <w:t xml:space="preserve">Love, M. I., Huber, W., &amp; Anders, S. (2014). Moderated estimation of fold change and dispersion for RNA-seq data with DESeq2. Genome Biology, 15(12), 550.</w:t>
      </w:r>
    </w:p>
    <w:p>
      <w:pPr>
        <w:spacing w:after="120" w:line="264"/>
        <w:ind w:left="431" w:hanging="431"/>
      </w:pPr>
      <w:r>
        <w:rPr>
          <w:rFonts w:ascii="Calibri" w:cs="Calibri" w:eastAsia="Calibri" w:hAnsi="Calibri"/>
          <w:sz w:val="20"/>
          <w:szCs w:val="20"/>
        </w:rPr>
        <w:t xml:space="preserve">Lundberg, S. M., &amp; Lee, S. I. (2017). A unified approach to interpreting model predictions. Advances in Neural Information Processing Systems, 30.</w:t>
      </w:r>
    </w:p>
    <w:p>
      <w:pPr>
        <w:spacing w:after="120" w:line="264"/>
        <w:ind w:left="431" w:hanging="431"/>
      </w:pPr>
      <w:r>
        <w:rPr>
          <w:rFonts w:ascii="Calibri" w:cs="Calibri" w:eastAsia="Calibri" w:hAnsi="Calibri"/>
          <w:sz w:val="20"/>
          <w:szCs w:val="20"/>
        </w:rPr>
        <w:t xml:space="preserve">Lundberg, S. M., Erion, G., Chen, H., DeGrave, A., Prutkin, J. M., Nair, B., et al. (2020). From local explanations to global understanding with explainable AI for trees. Nature Machine Intelligence, 2(1), 56-67.</w:t>
      </w:r>
    </w:p>
    <w:p>
      <w:pPr>
        <w:spacing w:after="120" w:line="264"/>
        <w:ind w:left="431" w:hanging="431"/>
      </w:pPr>
      <w:r>
        <w:rPr>
          <w:rFonts w:ascii="Calibri" w:cs="Calibri" w:eastAsia="Calibri" w:hAnsi="Calibri"/>
          <w:sz w:val="20"/>
          <w:szCs w:val="20"/>
        </w:rPr>
        <w:t xml:space="preserve">Naylor, D., &amp; Coleman-Derr, D. (2018). Drought stress and root-associated bacterial communities. Frontiers in Plant Science, 8, 303756.</w:t>
      </w:r>
    </w:p>
    <w:p>
      <w:pPr>
        <w:spacing w:after="120" w:line="264"/>
        <w:ind w:left="431" w:hanging="431"/>
      </w:pPr>
      <w:r>
        <w:rPr>
          <w:rFonts w:ascii="Calibri" w:cs="Calibri" w:eastAsia="Calibri" w:hAnsi="Calibri"/>
          <w:sz w:val="20"/>
          <w:szCs w:val="20"/>
        </w:rPr>
        <w:t xml:space="preserve">Naylor, D., DeGraaf, S., Purdom, E., &amp; Coleman-Derr, D. (2017). Drought and host selection influence bacterial community dynamics in the grass root microbiome. ISME Journal, 11(12), 2691-2704.</w:t>
      </w:r>
    </w:p>
    <w:p>
      <w:pPr>
        <w:spacing w:after="120" w:line="264"/>
        <w:ind w:left="431" w:hanging="431"/>
      </w:pPr>
      <w:r>
        <w:rPr>
          <w:rFonts w:ascii="Calibri" w:cs="Calibri" w:eastAsia="Calibri" w:hAnsi="Calibri"/>
          <w:sz w:val="20"/>
          <w:szCs w:val="20"/>
        </w:rPr>
        <w:t xml:space="preserve">Ossowicki, A., Raaijmakers, J. M., &amp; Garbeva, P. (2021). Disentangling soil microbiome functions by perturbation. Environmental Microbiology Reports, 13(5), 582-590.</w:t>
      </w:r>
    </w:p>
    <w:p>
      <w:pPr>
        <w:spacing w:after="120" w:line="264"/>
        <w:ind w:left="431" w:hanging="431"/>
      </w:pPr>
      <w:r>
        <w:rPr>
          <w:rFonts w:ascii="Calibri" w:cs="Calibri" w:eastAsia="Calibri" w:hAnsi="Calibri"/>
          <w:sz w:val="20"/>
          <w:szCs w:val="20"/>
        </w:rPr>
        <w:t xml:space="preserve">Trenberth, K. E., Dai, A., van der Schrier, G., Jones, P. D., Barichivich, J., Briffa, K. R., et al. (2014). Global warming and changes in drought. Nature Climate Change, 4(1), 17-22.</w:t>
      </w:r>
    </w:p>
    <w:p>
      <w:pPr>
        <w:spacing w:after="120" w:line="264"/>
        <w:ind w:left="431" w:hanging="431"/>
      </w:pPr>
      <w:r>
        <w:rPr>
          <w:rFonts w:ascii="Calibri" w:cs="Calibri" w:eastAsia="Calibri" w:hAnsi="Calibri"/>
          <w:sz w:val="20"/>
          <w:szCs w:val="20"/>
        </w:rPr>
        <w:t xml:space="preserve">Wang, Q., Garrity, G. M., Tiedje, J. M., &amp; Cole, J. R. (2007). Naïve Bayesian classifier for rapid assignment of rRNA sequences into the new bacterial taxonomy. Applied and Environmental Microbiology, 73(16), 5261-5267.</w:t>
      </w:r>
    </w:p>
    <w:p>
      <w:pPr>
        <w:spacing w:after="120" w:line="264"/>
        <w:ind w:left="431" w:hanging="431"/>
      </w:pPr>
      <w:r>
        <w:rPr>
          <w:rFonts w:ascii="Calibri" w:cs="Calibri" w:eastAsia="Calibri" w:hAnsi="Calibri"/>
          <w:sz w:val="20"/>
          <w:szCs w:val="20"/>
        </w:rPr>
        <w:t xml:space="preserve">Wheeler, T., &amp; von Braun, J. (2013). Climate change impacts on global food security. Science, 341(6145), 508-513.</w:t>
      </w:r>
    </w:p>
    <w:p>
      <w:pPr>
        <w:spacing w:after="120" w:line="264"/>
        <w:ind w:left="431" w:hanging="431"/>
      </w:pPr>
      <w:r>
        <w:rPr>
          <w:rFonts w:ascii="Calibri" w:cs="Calibri" w:eastAsia="Calibri" w:hAnsi="Calibri"/>
          <w:sz w:val="20"/>
          <w:szCs w:val="20"/>
        </w:rPr>
        <w:t xml:space="preserve">Xu, L., Naylor, D., Dong, Z., Simmons, T., Pierroz, G., Hixson, K. K., et al. (2018). Drought delays development of the sorghum root microbiome and enriches for monoderm bacteria. Proceedings of the National Academy of Sciences, 115(18), E4284-E4293.</w:t>
      </w:r>
    </w:p>
    <w:sectPr>
      <w:headerReference w:type="default" r:id="rId7"/>
      <w:pgSz w:w="11906" w:h="16838" w:orient="portrait"/>
      <w:pgMar w:top="1600" w:right="1440" w:bottom="1440" w:left="144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14"/>
      <w:tblBorders>
        <w:top w:val="none" w:color="FFFFFF" w:sz="0"/>
        <w:left w:val="none" w:color="FFFFFF" w:sz="0"/>
        <w:bottom w:val="none" w:color="FFFFFF" w:sz="0"/>
        <w:right w:val="none" w:color="FFFFFF" w:sz="0"/>
        <w:insideH w:val="none" w:color="FFFFFF" w:sz="0"/>
        <w:insideV w:val="none" w:color="FFFFFF" w:sz="0"/>
      </w:tblBorders>
    </w:tblPr>
    <w:tblGrid>
      <w:gridCol w:w="1514"/>
      <w:gridCol w:w="5727"/>
      <w:gridCol w:w="2373"/>
    </w:tblGrid>
    <w:tr>
      <w:tc>
        <w:tcPr>
          <w:tcW w:type="dxa" w:w="1514"/>
          <w:tcBorders>
            <w:top w:val="none" w:color="FFFFFF" w:sz="0"/>
            <w:left w:val="none" w:color="FFFFFF" w:sz="0"/>
            <w:bottom w:val="single" w:color="000000" w:sz="6"/>
            <w:right w:val="none" w:color="FFFFFF" w:sz="0"/>
          </w:tcBorders>
          <w:tcMar>
            <w:top w:type="dxa" w:w="0"/>
            <w:left w:type="dxa" w:w="70"/>
            <w:bottom w:type="dxa" w:w="0"/>
            <w:right w:type="dxa" w:w="70"/>
          </w:tcMar>
          <w:vAlign w:val="center"/>
        </w:tcPr>
        <w:p>
          <w:pPr>
            <w:jc w:val="center"/>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tcPr>
          <w:tcW w:type="dxa" w:w="5727"/>
          <w:tcBorders>
            <w:top w:val="none" w:color="FFFFFF" w:sz="0"/>
            <w:left w:val="none" w:color="FFFFFF" w:sz="0"/>
            <w:bottom w:val="single" w:color="000000" w:sz="6"/>
            <w:right w:val="none" w:color="FFFFFF" w:sz="0"/>
          </w:tcBorders>
          <w:tcMar>
            <w:top w:type="dxa" w:w="0"/>
            <w:left w:type="dxa" w:w="70"/>
            <w:bottom w:type="dxa" w:w="0"/>
            <w:right w:type="dxa" w:w="70"/>
          </w:tcMar>
          <w:vAlign w:val="center"/>
        </w:tcPr>
        <w:p>
          <w:pPr>
            <w:spacing w:after="20" w:before="20" w:line="240"/>
            <w:jc w:val="center"/>
          </w:pPr>
          <w:r>
            <w:rPr>
              <w:rFonts w:ascii="Arial" w:cs="Arial" w:eastAsia="Arial" w:hAnsi="Arial"/>
              <w:b w:val="false"/>
              <w:bCs w:val="false"/>
              <w:sz w:val="18"/>
              <w:szCs w:val="18"/>
            </w:rPr>
            <w:t xml:space="preserve">Ministério da Educação</w:t>
          </w:r>
        </w:p>
        <w:p>
          <w:pPr>
            <w:spacing w:after="20" w:before="20" w:line="240"/>
            <w:jc w:val="center"/>
          </w:pPr>
          <w:r>
            <w:rPr>
              <w:rFonts w:ascii="Arial" w:cs="Arial" w:eastAsia="Arial" w:hAnsi="Arial"/>
              <w:b/>
              <w:bCs/>
              <w:sz w:val="20"/>
              <w:szCs w:val="20"/>
            </w:rPr>
            <w:t xml:space="preserve">UNIVERSIDADE TECNOLÓGICA FEDERAL DO PARANÁ</w:t>
          </w:r>
        </w:p>
        <w:p>
          <w:pPr>
            <w:spacing w:after="20" w:before="20" w:line="240"/>
            <w:jc w:val="center"/>
          </w:pPr>
          <w:r>
            <w:rPr>
              <w:rFonts w:ascii="Arial" w:cs="Arial" w:eastAsia="Arial" w:hAnsi="Arial"/>
              <w:b/>
              <w:bCs/>
              <w:sz w:val="20"/>
              <w:szCs w:val="20"/>
            </w:rPr>
            <w:t xml:space="preserve">Campus Medianeira</w:t>
          </w:r>
        </w:p>
        <w:p>
          <w:pPr>
            <w:spacing w:after="20" w:before="20" w:line="240"/>
            <w:jc w:val="center"/>
          </w:pPr>
          <w:r>
            <w:rPr>
              <w:rFonts w:ascii="Arial" w:cs="Arial" w:eastAsia="Arial" w:hAnsi="Arial"/>
              <w:b/>
              <w:bCs/>
              <w:sz w:val="20"/>
              <w:szCs w:val="20"/>
            </w:rPr>
            <w:t xml:space="preserve">Programa de Pós-Graduação em Tecnologias Computacionais para o Agronegócio (PPGTCA)</w:t>
          </w:r>
        </w:p>
      </w:tc>
      <w:tc>
        <w:tcPr>
          <w:tcW w:type="dxa" w:w="2373"/>
          <w:tcBorders>
            <w:top w:val="none" w:color="FFFFFF" w:sz="0"/>
            <w:left w:val="none" w:color="FFFFFF" w:sz="0"/>
            <w:bottom w:val="single" w:color="000000" w:sz="6"/>
            <w:right w:val="none" w:color="FFFFFF" w:sz="0"/>
          </w:tcBorders>
          <w:tcMar>
            <w:top w:type="dxa" w:w="0"/>
            <w:left w:type="dxa" w:w="70"/>
            <w:bottom w:type="dxa" w:w="0"/>
            <w:right w:type="dxa" w:w="70"/>
          </w:tcMar>
          <w:vAlign w:val="center"/>
        </w:tcPr>
        <w:p>
          <w:pPr>
            <w:jc w:val="center"/>
          </w:pPr>
          <w:r>
            <w:drawing>
              <wp:inline distT="0" distB="0" distL="0" distR="0">
                <wp:extent cx="9144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14400" cy="333375"/>
                        </a:xfrm>
                        <a:prstGeom prst="rect">
                          <a:avLst/>
                        </a:prstGeom>
                      </pic:spPr>
                    </pic:pic>
                  </a:graphicData>
                </a:graphic>
              </wp:inline>
            </w:drawing>
          </w:r>
        </w:p>
      </w:tc>
    </w:tr>
  </w:tbl>
  <w:p>
    <w:pPr>
      <w:spacing w:after="0"/>
    </w:pPr>
    <w:r>
      <w:rPr>
        <w:rFonts w:ascii="Calibri" w:cs="Calibri" w:eastAsia="Calibri" w:hAnsi="Calibri"/>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5eb57c1351668a51c56960d39ebc43ad8d480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a5f5e9f3a56b58bffb8092e9fe1e7bf10aa07f5.jpg"/><Relationship Id="rId1" Type="http://schemas.openxmlformats.org/officeDocument/2006/relationships/image" Target="media/506bdd9efa2b6de64ccc71ef55a2c710c1191883.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2026-09-10T04:13:04.487Z</dcterms:created>
  <dcterms:modified xsi:type="dcterms:W3CDTF">2026-09-10T04:13:04.496Z</dcterms:modified>
</cp:coreProperties>
</file>

<file path=docProps/custom.xml><?xml version="1.0" encoding="utf-8"?>
<Properties xmlns="http://schemas.openxmlformats.org/officeDocument/2006/custom-properties" xmlns:vt="http://schemas.openxmlformats.org/officeDocument/2006/docPropsVTypes"/>
</file>