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21A1E6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Data Science Project Report: Credit Risk Analysis</w:t>
      </w:r>
    </w:p>
    <w:p w14:paraId="034BB2A4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</w:rPr>
      </w:pPr>
    </w:p>
    <w:p w14:paraId="3C72D21B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Project:</w:t>
      </w: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Exploratory Data Analysis</w:t>
      </w:r>
    </w:p>
    <w:p w14:paraId="10820068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 xml:space="preserve">Organization: </w:t>
      </w:r>
      <w:r>
        <w:rPr>
          <w:rFonts w:hint="default" w:ascii="Times New Roman" w:hAnsi="Times New Roman" w:cs="Times New Roman"/>
          <w:sz w:val="22"/>
          <w:szCs w:val="22"/>
        </w:rPr>
        <w:t>Ahadu Bank</w:t>
      </w:r>
    </w:p>
    <w:p w14:paraId="667A6BFD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Dataset: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cs-training.csv</w:t>
      </w:r>
    </w:p>
    <w:p w14:paraId="2E1F0CB6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Analyst:</w:t>
      </w:r>
      <w:r>
        <w:rPr>
          <w:rFonts w:hint="default" w:ascii="Times New Roman" w:hAnsi="Times New Roman" w:cs="Times New Roman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Tsion Moges</w:t>
      </w:r>
    </w:p>
    <w:p w14:paraId="3FAD83A4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04D5AC74">
      <w:pPr>
        <w:numPr>
          <w:ilvl w:val="0"/>
          <w:numId w:val="1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EXECUTIVE SUMMARY</w:t>
      </w:r>
    </w:p>
    <w:p w14:paraId="1D530E28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The objective of this analysis was to explore a historical credit dataset of 150,000 borrowers. The primary goal was to understand the characteristics of borrowers who experience "Financial Distress" within a two-year period. Our analysis identified past payment due behavior and credit utilization as the most critical risk indicators.</w:t>
      </w:r>
    </w:p>
    <w:p w14:paraId="054FC40C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bookmarkStart w:id="0" w:name="_GoBack"/>
      <w:bookmarkEnd w:id="0"/>
    </w:p>
    <w:p w14:paraId="1F6C86CD">
      <w:pPr>
        <w:numPr>
          <w:ilvl w:val="0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DATA PREPARATION AND CLEANING</w:t>
      </w:r>
    </w:p>
    <w:p w14:paraId="32183D07">
      <w:pPr>
        <w:numPr>
          <w:ilvl w:val="0"/>
          <w:numId w:val="2"/>
        </w:numPr>
        <w:spacing w:line="360" w:lineRule="auto"/>
        <w:ind w:left="0"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Unnamed: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Drop the columns that didn’t have direct relation with our Target</w:t>
      </w:r>
    </w:p>
    <w:p w14:paraId="02A00881">
      <w:pPr>
        <w:numPr>
          <w:ilvl w:val="0"/>
          <w:numId w:val="2"/>
        </w:numPr>
        <w:spacing w:line="360" w:lineRule="auto"/>
        <w:ind w:left="0"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Missing Value Imputation with "Missingness Flags"</w:t>
      </w:r>
    </w:p>
    <w:p w14:paraId="19D47908">
      <w:pPr>
        <w:numPr>
          <w:ilvl w:val="0"/>
          <w:numId w:val="3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MonthlyIncome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: Missing values were replaced with the Median. However, a binary flag “MonthlyIncome_was_missing” was added to preserve the information that the value was originally unknown.</w:t>
      </w:r>
    </w:p>
    <w:p w14:paraId="66185E6A">
      <w:pPr>
        <w:numPr>
          <w:ilvl w:val="0"/>
          <w:numId w:val="3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NumberOfDependents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: Missing values were imputed using the Mode (0), as it is the most frequent occurrence in the borrower population.</w:t>
      </w:r>
    </w:p>
    <w:p w14:paraId="00DCA4B3">
      <w:pPr>
        <w:numPr>
          <w:ilvl w:val="0"/>
          <w:numId w:val="2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Solving the DebtRatio Anomaly</w:t>
      </w:r>
    </w:p>
    <w:p w14:paraId="2FF36C8B">
      <w:pPr>
        <w:numPr>
          <w:ilvl w:val="0"/>
          <w:numId w:val="4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Observation: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We identified a data entry pattern where DebtRatio appeared as a massive integer (e.g. 5,710) specifically when MonthlyIncome was missing.</w:t>
      </w:r>
    </w:p>
    <w:p w14:paraId="5489CAE5">
      <w:pPr>
        <w:numPr>
          <w:ilvl w:val="0"/>
          <w:numId w:val="4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Action: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Implemented a logical transformation:</w:t>
      </w:r>
    </w:p>
    <w:p w14:paraId="174A1D8D">
      <w:pPr>
        <w:numPr>
          <w:ilvl w:val="1"/>
          <w:numId w:val="4"/>
        </w:numPr>
        <w:spacing w:line="360" w:lineRule="auto"/>
        <w:ind w:left="126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If Income was missing: Treated the DebtRatio value as the Total Monthly Debt.</w:t>
      </w:r>
    </w:p>
    <w:p w14:paraId="1900F329">
      <w:pPr>
        <w:numPr>
          <w:ilvl w:val="1"/>
          <w:numId w:val="4"/>
        </w:numPr>
        <w:spacing w:line="360" w:lineRule="auto"/>
        <w:ind w:left="126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If Income was present: Calculated Total Debt by multiplying the ratio by the income.</w:t>
      </w:r>
    </w:p>
    <w:p w14:paraId="20E98B27">
      <w:pPr>
        <w:numPr>
          <w:ilvl w:val="1"/>
          <w:numId w:val="4"/>
        </w:numPr>
        <w:spacing w:line="360" w:lineRule="auto"/>
        <w:ind w:left="126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Result: A new feature, DebtRatio_Cleaned, was created by dividing Total Debt by the imputed income. This unified the metric across the entire dataset.</w:t>
      </w:r>
    </w:p>
    <w:p w14:paraId="4E766070">
      <w:pPr>
        <w:numPr>
          <w:ilvl w:val="0"/>
          <w:numId w:val="2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Outlier Handling (Feature Clipping)</w:t>
      </w:r>
    </w:p>
    <w:p w14:paraId="12B53E6D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Revolving Utilization of Unsecured Lines: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Values were capped at 2.0. This prevents extreme outliers (likely data errors) from skewing the model while still acknowledging that the borrower is significantly over-leveraged.</w:t>
      </w:r>
    </w:p>
    <w:p w14:paraId="3541F9A9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Age: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Any entries with age recorded below 18 were replaced with the median age, ensuring logical consistency for a lending environment.</w:t>
      </w:r>
    </w:p>
    <w:p w14:paraId="10595A6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7FD49580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3. UNIVARIATE ANALYSIS: UNDERSTANDING THE POPULATION</w:t>
      </w:r>
    </w:p>
    <w:p w14:paraId="0557BAB0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Class Imbalance: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target variable (SeriousDlqin2yrs) reveals that approximately 6.7% of the population experienced financial distress. This confirms the need for advanced modeling techniques (like SMOTE or weighted loss) to handle the minority class.</w:t>
      </w:r>
    </w:p>
    <w:p w14:paraId="6105B9AA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Income Distribution: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By applying a Logarithmic Scale, we observed that the majority of borrowers fall into a specific middle-income bracket, with a very long tail of high-earners.</w:t>
      </w:r>
    </w:p>
    <w:p w14:paraId="55B143C9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Age Trends: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borrower base is most concentrated between ages 35 and 65.</w:t>
      </w:r>
    </w:p>
    <w:p w14:paraId="3E47F1EB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411345" cy="1746250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rcRect l="11924" t="29168" r="4316" b="11895"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E4E1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</w:rPr>
      </w:pPr>
    </w:p>
    <w:p w14:paraId="2899D744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432935" cy="1757680"/>
            <wp:effectExtent l="0" t="0" r="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rcRect l="11997" t="29147" r="3834" b="11530"/>
                    <a:stretch>
                      <a:fillRect/>
                    </a:stretch>
                  </pic:blipFill>
                  <pic:spPr>
                    <a:xfrm>
                      <a:off x="0" y="0"/>
                      <a:ext cx="4432935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A43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5D272D7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4. BIVARIATE ANALYSIS: RISK CORRELATION</w:t>
      </w:r>
    </w:p>
    <w:p w14:paraId="3C25182B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Past Due Behavior (The Lead Indicator):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We engineered a new feature, TotalTimesPastDue. The analysis shows a direct linear relationship: as the count of late payments increases, the probability of financial distress within the next two years rises sharply.</w:t>
      </w:r>
    </w:p>
    <w:p w14:paraId="62C7DBCA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10041D0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Utilization vs. Risk: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Borrowers with a utilization ratio near or above 1.0 (using more than 100% of their limit) are significantly more likely to be in the "Distress" category than those below 0.3.</w:t>
      </w:r>
    </w:p>
    <w:p w14:paraId="27D272B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30E360EB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3908425" cy="2500630"/>
            <wp:effectExtent l="0" t="0" r="3175" b="1270"/>
            <wp:docPr id="3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8425" cy="2500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6ACC41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Debt Ratio vs Risk:</w:t>
      </w:r>
    </w:p>
    <w:p w14:paraId="266E239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6D60E730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4246245" cy="2716530"/>
            <wp:effectExtent l="0" t="0" r="8255" b="1270"/>
            <wp:docPr id="5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6245" cy="2716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40EF48B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Dependents and Risk: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There is a notable correlation between the number of dependents and the likelihood of distress. Borrowers with 3 or more dependents show a higher risk profile, likely due to higher fixed monthly expenses.</w:t>
      </w:r>
    </w:p>
    <w:p w14:paraId="6C5A1B8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32D82F7C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4312920" cy="2733675"/>
            <wp:effectExtent l="0" t="0" r="5080" b="9525"/>
            <wp:docPr id="4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AFEB2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5DCF73B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5. CORRELATION MATRIX &amp; MULTICOLLINEARITY</w:t>
      </w:r>
    </w:p>
    <w:p w14:paraId="75C3580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The final correlation heatmap identified:</w:t>
      </w:r>
    </w:p>
    <w:p w14:paraId="0BC4749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Strong Multicollinearity: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three different "Past Due" columns (30-59, 60-89, and 90+ days) are highly correlated.</w:t>
      </w:r>
    </w:p>
    <w:p w14:paraId="51D76B1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Debt Ratio vs. Risk: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cleaned Debt Ratio shows a positive correlation with risk, proving that our logical correction of the missing-income rows was successful in making the data meaningful.</w:t>
      </w:r>
    </w:p>
    <w:p w14:paraId="507EC2B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1AF5B879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4066540" cy="3423285"/>
            <wp:effectExtent l="0" t="0" r="10160" b="5715"/>
            <wp:docPr id="6" name="Picture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7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66540" cy="34232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8FD3AC9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26B91C3E">
      <w:pPr>
        <w:numPr>
          <w:ilvl w:val="0"/>
          <w:numId w:val="6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HYPOTHESIS TESTING</w:t>
      </w:r>
    </w:p>
    <w:p w14:paraId="1F4C6CAB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While visual analysis provides a good overview of borrower trends, it does not account for random chance. To ensure that we build Model-as-a-Service (MaaS) on reliable data, we conducted Statistical Hypothesis Testing. This process mathematically proves whether a variable (like Age or Income) truly influences credit risk or if the observed difference is merely a coincidence.</w:t>
      </w:r>
    </w:p>
    <w:p w14:paraId="2F2304FE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2666FDF0">
      <w:pPr>
        <w:numPr>
          <w:ilvl w:val="0"/>
          <w:numId w:val="7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We set a Confidence Level of 95% (α=0.05). If a test result (P-value) is less than 0.05, we conclude the finding is "Statistically Significant.</w:t>
      </w:r>
    </w:p>
    <w:p w14:paraId="42312844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56E05A8C">
      <w:pPr>
        <w:numPr>
          <w:numId w:val="0"/>
        </w:num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Results and Analysis</w:t>
      </w:r>
    </w:p>
    <w:p w14:paraId="114A3DB2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1: Age vs. Financial Distress (Independent T-Test)</w:t>
      </w:r>
    </w:p>
    <w:p w14:paraId="064F9CF1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Objective: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To determine if the average age of borrowers in financial distress is significantly different from those who are not.</w:t>
      </w:r>
    </w:p>
    <w:p w14:paraId="3DD7085C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Hypotheses:</w:t>
      </w:r>
    </w:p>
    <w:p w14:paraId="22E0359A">
      <w:pPr>
        <w:numPr>
          <w:ilvl w:val="0"/>
          <w:numId w:val="8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2"/>
          <w:szCs w:val="22"/>
          <w:lang w:val="en-US"/>
        </w:rPr>
        <w:t>Null (H0)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: There is no difference in mean age between the two groups.</w:t>
      </w:r>
    </w:p>
    <w:p w14:paraId="2E7AC962">
      <w:pPr>
        <w:numPr>
          <w:ilvl w:val="0"/>
          <w:numId w:val="8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2"/>
          <w:szCs w:val="22"/>
          <w:lang w:val="en-US"/>
        </w:rPr>
        <w:t>Alternative (H1)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: Borrowers in distress have a significantly different mean age (typically younger).</w:t>
      </w:r>
    </w:p>
    <w:p w14:paraId="59AD6161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Statistical Finding: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 P-value was &lt; 0.0001.</w:t>
      </w:r>
    </w:p>
    <w:p w14:paraId="3F9C974D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Conclusion: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Reject the Null Hypothesis.</w:t>
      </w:r>
    </w:p>
    <w:p w14:paraId="3A505AC6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Bank Insight: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Age is a scientifically proven risk factor. Younger borrowers show a higher mathematical probability of default, justifying the inclusion of age as a weighted feature in the scoring algorithm.</w:t>
      </w:r>
    </w:p>
    <w:p w14:paraId="12F0F176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2D8AD1CD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2: Monthly Income vs. Financial Distress (Mann-Whitney U Test)</w:t>
      </w:r>
    </w:p>
    <w:p w14:paraId="32645286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Objective: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To determine if income levels differ between high-risk and low-risk borrowers.</w:t>
      </w:r>
    </w:p>
    <w:p w14:paraId="18106F1C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Methodology: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We used the Mann-Whitney U test because income data is "skewed" (non-normal). This test compares the distribution ranks rather than just the average.</w:t>
      </w:r>
    </w:p>
    <w:p w14:paraId="55A99B80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Statistical Finding: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 P-value was &lt; 0.0001.</w:t>
      </w:r>
    </w:p>
    <w:p w14:paraId="0C6B557C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Conclusion: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Reject the Null Hypothesis.</w:t>
      </w:r>
    </w:p>
    <w:p w14:paraId="28225EE9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Bank Insight: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There is a significant difference in the income distributions. Lower-income individuals are statistically more likely to experience financial distress, even after accounting for the imputed values for missing data.</w:t>
      </w:r>
    </w:p>
    <w:p w14:paraId="45BB3712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43B4A05A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3: Past Late Payments vs. Financial Distress (Chi-Square Test)</w:t>
      </w:r>
    </w:p>
    <w:p w14:paraId="3BB8CF72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Objective: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To determine if the categorical behavior of "Ever being 90+ days late" is associated with the target variable of financial distress.</w:t>
      </w:r>
    </w:p>
    <w:p w14:paraId="187C9446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Methodology: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A 2x2 contingency table was used to compare the frequency of past lateness against the frequency of future distress.</w:t>
      </w:r>
    </w:p>
    <w:p w14:paraId="4C3FCB83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Statistical Finding: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The P-value was ≈ 0.</w:t>
      </w:r>
    </w:p>
    <w:p w14:paraId="40CE69F1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Conclusion: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Reject the Null Hypothesis.</w:t>
      </w:r>
    </w:p>
    <w:p w14:paraId="1C3D7213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Bank Insight: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This test yielded the strongest statistical association. Being 90+ days late even once in the past is the most powerful "Red Flag" indicator. This relationship is not random; it is a consistent behavioral pattern.</w:t>
      </w:r>
    </w:p>
    <w:p w14:paraId="713E7AF3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015E7EAF">
      <w:pPr>
        <w:numPr>
          <w:numId w:val="0"/>
        </w:num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Summary Table</w:t>
      </w:r>
    </w:p>
    <w:p w14:paraId="062404E1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880"/>
        <w:gridCol w:w="1959"/>
        <w:gridCol w:w="1041"/>
        <w:gridCol w:w="1393"/>
        <w:gridCol w:w="2249"/>
      </w:tblGrid>
      <w:tr w14:paraId="61FFD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80" w:type="dxa"/>
          </w:tcPr>
          <w:p w14:paraId="38BB341F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Variable Tested</w:t>
            </w:r>
          </w:p>
        </w:tc>
        <w:tc>
          <w:tcPr>
            <w:tcW w:w="1959" w:type="dxa"/>
          </w:tcPr>
          <w:p w14:paraId="43A55751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Statistical Test</w:t>
            </w:r>
          </w:p>
        </w:tc>
        <w:tc>
          <w:tcPr>
            <w:tcW w:w="1041" w:type="dxa"/>
          </w:tcPr>
          <w:p w14:paraId="253A1A0E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P-value</w:t>
            </w:r>
          </w:p>
        </w:tc>
        <w:tc>
          <w:tcPr>
            <w:tcW w:w="1393" w:type="dxa"/>
          </w:tcPr>
          <w:p w14:paraId="3B9F3E57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Significant?</w:t>
            </w:r>
          </w:p>
        </w:tc>
        <w:tc>
          <w:tcPr>
            <w:tcW w:w="2249" w:type="dxa"/>
          </w:tcPr>
          <w:p w14:paraId="7D83D8C5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Result</w:t>
            </w:r>
          </w:p>
        </w:tc>
      </w:tr>
      <w:tr w14:paraId="28D92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880" w:type="dxa"/>
          </w:tcPr>
          <w:p w14:paraId="27D3ECDB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Age</w:t>
            </w:r>
          </w:p>
        </w:tc>
        <w:tc>
          <w:tcPr>
            <w:tcW w:w="1959" w:type="dxa"/>
          </w:tcPr>
          <w:p w14:paraId="23CDC81D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Independent T-Test</w:t>
            </w:r>
          </w:p>
        </w:tc>
        <w:tc>
          <w:tcPr>
            <w:tcW w:w="1041" w:type="dxa"/>
          </w:tcPr>
          <w:p w14:paraId="66489471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&lt; 0.05</w:t>
            </w:r>
          </w:p>
        </w:tc>
        <w:tc>
          <w:tcPr>
            <w:tcW w:w="1393" w:type="dxa"/>
          </w:tcPr>
          <w:p w14:paraId="7E6F8E4F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YES</w:t>
            </w:r>
          </w:p>
        </w:tc>
        <w:tc>
          <w:tcPr>
            <w:tcW w:w="2249" w:type="dxa"/>
          </w:tcPr>
          <w:p w14:paraId="0CEE4251">
            <w:pPr>
              <w:numPr>
                <w:numId w:val="0"/>
              </w:numPr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Age is a real predictor of risk.</w:t>
            </w:r>
          </w:p>
        </w:tc>
      </w:tr>
      <w:tr w14:paraId="3F363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880" w:type="dxa"/>
          </w:tcPr>
          <w:p w14:paraId="361A2226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Monthly Income</w:t>
            </w:r>
          </w:p>
        </w:tc>
        <w:tc>
          <w:tcPr>
            <w:tcW w:w="1959" w:type="dxa"/>
          </w:tcPr>
          <w:p w14:paraId="1ABE0BB1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Mann-Whitney U</w:t>
            </w:r>
          </w:p>
        </w:tc>
        <w:tc>
          <w:tcPr>
            <w:tcW w:w="1041" w:type="dxa"/>
          </w:tcPr>
          <w:p w14:paraId="71ADE905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&lt; 0.05</w:t>
            </w:r>
          </w:p>
        </w:tc>
        <w:tc>
          <w:tcPr>
            <w:tcW w:w="1393" w:type="dxa"/>
          </w:tcPr>
          <w:p w14:paraId="3D9E38F9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YES</w:t>
            </w:r>
          </w:p>
        </w:tc>
        <w:tc>
          <w:tcPr>
            <w:tcW w:w="2249" w:type="dxa"/>
          </w:tcPr>
          <w:p w14:paraId="62A0A120">
            <w:pPr>
              <w:numPr>
                <w:numId w:val="0"/>
              </w:numPr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Income level significantly impacts default probability.</w:t>
            </w:r>
          </w:p>
        </w:tc>
      </w:tr>
      <w:tr w14:paraId="31410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880" w:type="dxa"/>
          </w:tcPr>
          <w:p w14:paraId="3982A303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90+ Days Late</w:t>
            </w:r>
          </w:p>
        </w:tc>
        <w:tc>
          <w:tcPr>
            <w:tcW w:w="1959" w:type="dxa"/>
          </w:tcPr>
          <w:p w14:paraId="3C36D4F2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Chi-squre</w:t>
            </w:r>
          </w:p>
        </w:tc>
        <w:tc>
          <w:tcPr>
            <w:tcW w:w="1041" w:type="dxa"/>
          </w:tcPr>
          <w:p w14:paraId="59B10534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&lt; 0.05</w:t>
            </w:r>
          </w:p>
        </w:tc>
        <w:tc>
          <w:tcPr>
            <w:tcW w:w="1393" w:type="dxa"/>
          </w:tcPr>
          <w:p w14:paraId="0DA79447">
            <w:pPr>
              <w:numPr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YES</w:t>
            </w:r>
          </w:p>
        </w:tc>
        <w:tc>
          <w:tcPr>
            <w:tcW w:w="2249" w:type="dxa"/>
          </w:tcPr>
          <w:p w14:paraId="443BF6BF">
            <w:pPr>
              <w:numPr>
                <w:numId w:val="0"/>
              </w:numPr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Past behavior is strongly linked to future distress.</w:t>
            </w:r>
          </w:p>
        </w:tc>
      </w:tr>
    </w:tbl>
    <w:p w14:paraId="55708C6E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36C49275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Based on the above test, we concluded:</w:t>
      </w:r>
    </w:p>
    <w:p w14:paraId="69DEB7E5">
      <w:pPr>
        <w:numPr>
          <w:ilvl w:val="0"/>
          <w:numId w:val="8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Variable Inclusion: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All three tested variables (Age, Income, and Past Due counts) have passed the significance threshold and must be included in the final AI model.</w:t>
      </w:r>
    </w:p>
    <w:p w14:paraId="6FDE6F43">
      <w:pPr>
        <w:numPr>
          <w:ilvl w:val="0"/>
          <w:numId w:val="8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Threshold Setting: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 Bank can now confidently set lower credit limits for younger borrowers or those with a history of minor lateness, as these are now mathematically verified risk groups.</w:t>
      </w:r>
    </w:p>
    <w:p w14:paraId="77D908FE">
      <w:pPr>
        <w:numPr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32668624">
      <w:pPr>
        <w:numPr>
          <w:ilvl w:val="0"/>
          <w:numId w:val="9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CONCLUSION AND GENERAL RECOMMENDATION</w:t>
      </w:r>
    </w:p>
    <w:p w14:paraId="6CA0E1F9">
      <w:pPr>
        <w:numPr>
          <w:ilvl w:val="0"/>
          <w:numId w:val="10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Feature Priority: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scoring model must prioritize NumberOfTimes90DaysLate and the cleaned DebtRatio as the most significant inputs.</w:t>
      </w:r>
    </w:p>
    <w:p w14:paraId="6B089BEE">
      <w:pPr>
        <w:numPr>
          <w:ilvl w:val="0"/>
          <w:numId w:val="10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Risk Segmentation: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Borrowers with high RevolvingUtilization should be flagged for lower credit limits, even if their current income is high.</w:t>
      </w:r>
    </w:p>
    <w:p w14:paraId="76643122">
      <w:pPr>
        <w:numPr>
          <w:ilvl w:val="0"/>
          <w:numId w:val="10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Data Policy: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Bank should implement stricter validation for MonthlyIncome at the point of application to reduce the high volume of null or "zero" entries.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Ethiopic Addi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thiopic Addis">
    <w:panose1 w:val="02000500000000020004"/>
    <w:charset w:val="00"/>
    <w:family w:val="auto"/>
    <w:pitch w:val="default"/>
    <w:sig w:usb0="80000007" w:usb1="00000000" w:usb2="00000000" w:usb3="00000000" w:csb0="20000111" w:csb1="4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F5AA7B"/>
    <w:multiLevelType w:val="singleLevel"/>
    <w:tmpl w:val="98F5AA7B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45473F1"/>
    <w:multiLevelType w:val="singleLevel"/>
    <w:tmpl w:val="B45473F1"/>
    <w:lvl w:ilvl="0" w:tentative="0">
      <w:start w:val="1"/>
      <w:numFmt w:val="upperLetter"/>
      <w:suff w:val="space"/>
      <w:lvlText w:val="%1."/>
      <w:lvlJc w:val="left"/>
      <w:pPr>
        <w:ind w:left="420"/>
      </w:pPr>
      <w:rPr>
        <w:rFonts w:hint="default"/>
        <w:b/>
        <w:bCs/>
      </w:rPr>
    </w:lvl>
  </w:abstractNum>
  <w:abstractNum w:abstractNumId="2">
    <w:nsid w:val="C3299BA0"/>
    <w:multiLevelType w:val="multilevel"/>
    <w:tmpl w:val="C3299BA0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3">
    <w:nsid w:val="D215F273"/>
    <w:multiLevelType w:val="singleLevel"/>
    <w:tmpl w:val="D215F273"/>
    <w:lvl w:ilvl="0" w:tentative="0">
      <w:start w:val="7"/>
      <w:numFmt w:val="decimal"/>
      <w:suff w:val="space"/>
      <w:lvlText w:val="%1."/>
      <w:lvlJc w:val="left"/>
    </w:lvl>
  </w:abstractNum>
  <w:abstractNum w:abstractNumId="4">
    <w:nsid w:val="D6E08A03"/>
    <w:multiLevelType w:val="singleLevel"/>
    <w:tmpl w:val="D6E08A0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b/>
        <w:bCs/>
      </w:rPr>
    </w:lvl>
  </w:abstractNum>
  <w:abstractNum w:abstractNumId="5">
    <w:nsid w:val="EA38E7A4"/>
    <w:multiLevelType w:val="singleLevel"/>
    <w:tmpl w:val="EA38E7A4"/>
    <w:lvl w:ilvl="0" w:tentative="0">
      <w:start w:val="6"/>
      <w:numFmt w:val="decimal"/>
      <w:suff w:val="space"/>
      <w:lvlText w:val="%1."/>
      <w:lvlJc w:val="left"/>
    </w:lvl>
  </w:abstractNum>
  <w:abstractNum w:abstractNumId="6">
    <w:nsid w:val="F612CCC3"/>
    <w:multiLevelType w:val="singleLevel"/>
    <w:tmpl w:val="F612CCC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3A9F6AC9"/>
    <w:multiLevelType w:val="singleLevel"/>
    <w:tmpl w:val="3A9F6AC9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8">
    <w:nsid w:val="3DDA14BC"/>
    <w:multiLevelType w:val="singleLevel"/>
    <w:tmpl w:val="3DDA14BC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7DDC49A2"/>
    <w:multiLevelType w:val="singleLevel"/>
    <w:tmpl w:val="7DDC49A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8"/>
  </w:num>
  <w:num w:numId="2">
    <w:abstractNumId w:val="1"/>
  </w:num>
  <w:num w:numId="3">
    <w:abstractNumId w:val="7"/>
  </w:num>
  <w:num w:numId="4">
    <w:abstractNumId w:val="2"/>
  </w:num>
  <w:num w:numId="5">
    <w:abstractNumId w:val="9"/>
  </w:num>
  <w:num w:numId="6">
    <w:abstractNumId w:val="5"/>
  </w:num>
  <w:num w:numId="7">
    <w:abstractNumId w:val="0"/>
  </w:num>
  <w:num w:numId="8">
    <w:abstractNumId w:val="6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C21D1E"/>
    <w:rsid w:val="043851F9"/>
    <w:rsid w:val="04BC3145"/>
    <w:rsid w:val="0F3C60C0"/>
    <w:rsid w:val="18CD60AD"/>
    <w:rsid w:val="1DFB5625"/>
    <w:rsid w:val="1EAC1948"/>
    <w:rsid w:val="20037A73"/>
    <w:rsid w:val="23C849C9"/>
    <w:rsid w:val="37C9746A"/>
    <w:rsid w:val="3E924D0F"/>
    <w:rsid w:val="3F9A0FE5"/>
    <w:rsid w:val="4494739B"/>
    <w:rsid w:val="47256C68"/>
    <w:rsid w:val="477162E6"/>
    <w:rsid w:val="5807105F"/>
    <w:rsid w:val="5D25357E"/>
    <w:rsid w:val="5E5879D5"/>
    <w:rsid w:val="642B5B58"/>
    <w:rsid w:val="67A7735B"/>
    <w:rsid w:val="68A128B9"/>
    <w:rsid w:val="6C37119B"/>
    <w:rsid w:val="6CFE56E1"/>
    <w:rsid w:val="7A4B39AC"/>
    <w:rsid w:val="7B9945BC"/>
    <w:rsid w:val="7DC21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590</Words>
  <Characters>3496</Characters>
  <Lines>0</Lines>
  <Paragraphs>0</Paragraphs>
  <TotalTime>12</TotalTime>
  <ScaleCrop>false</ScaleCrop>
  <LinksUpToDate>false</LinksUpToDate>
  <CharactersWithSpaces>4048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2026-04-18T07:22:00Z</dcterms:created>
  <dc:creator>hp</dc:creator>
  <cp:lastModifiedBy>tsion moges</cp:lastModifiedBy>
  <dcterms:modified xsi:type="dcterms:W3CDTF">2026-04-23T07:34:05Z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9F578838314F4502B879CEB1F2E0EE23_11</vt:lpwstr>
  </property>
  <property fmtid="{D5CDD505-2E9C-101B-9397-08002B2CF9AE}" pid="4" name="KSOTemplateDocerSaveRecord">
    <vt:lpwstr>eyJoZGlkIjoiYjk5ODM0YmMxOWJiYWQyNDU4MGIzYWRmYTA0ZmI5NDciLCJ1c2VySWQiOiIxNDMxMTIzMTczMTM0MCJ9</vt:lpwstr>
  </property>
</Properties>
</file>