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1A1E6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DATA SCIENCE PROJECT REPORT: CREDIT RISK ANALYSIS</w:t>
      </w:r>
    </w:p>
    <w:p w14:paraId="034BB2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</w:p>
    <w:p w14:paraId="3C72D21B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Project: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Exploratory Data Analysis</w:t>
      </w:r>
    </w:p>
    <w:p w14:paraId="10820068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 xml:space="preserve">Organization: </w:t>
      </w:r>
      <w:r>
        <w:rPr>
          <w:rFonts w:hint="default" w:ascii="Times New Roman" w:hAnsi="Times New Roman" w:cs="Times New Roman"/>
          <w:sz w:val="22"/>
          <w:szCs w:val="22"/>
        </w:rPr>
        <w:t>Ahadu Bank</w:t>
      </w:r>
    </w:p>
    <w:p w14:paraId="667A6BFD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Dataset: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cs-training.csv</w:t>
      </w:r>
    </w:p>
    <w:p w14:paraId="2E1F0CB6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</w:rPr>
        <w:t>Analyst:</w:t>
      </w:r>
      <w:r>
        <w:rPr>
          <w:rFonts w:hint="default" w:ascii="Times New Roman" w:hAnsi="Times New Roman" w:cs="Times New Roman"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Tsion Moges</w:t>
      </w:r>
    </w:p>
    <w:p w14:paraId="3FAD83A4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04D5AC74">
      <w:pPr>
        <w:numPr>
          <w:ilvl w:val="0"/>
          <w:numId w:val="1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EXECUTIVE SUMMARY</w:t>
      </w:r>
    </w:p>
    <w:p w14:paraId="054FC40C">
      <w:p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objective of this analysis was to explore a historical credit dataset of 150,000 borrowers. The primary goal was to understand the characteristics of borrowers who experience "Financial Distress" within a two-year period.</w:t>
      </w:r>
    </w:p>
    <w:p w14:paraId="1F6C86CD">
      <w:pPr>
        <w:numPr>
          <w:ilvl w:val="0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DATA PREPARATION AND CLEANING</w:t>
      </w:r>
    </w:p>
    <w:p w14:paraId="32183D07">
      <w:pPr>
        <w:numPr>
          <w:ilvl w:val="0"/>
          <w:numId w:val="2"/>
        </w:numPr>
        <w:spacing w:line="360" w:lineRule="auto"/>
        <w:ind w:left="0"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Unnamed: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Drop the columns that didn’t have direct relation with our Target</w:t>
      </w:r>
    </w:p>
    <w:p w14:paraId="02A00881">
      <w:pPr>
        <w:numPr>
          <w:ilvl w:val="0"/>
          <w:numId w:val="2"/>
        </w:numPr>
        <w:spacing w:line="360" w:lineRule="auto"/>
        <w:ind w:left="0"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Missing Value Imputation with "Missingness Flags"</w:t>
      </w:r>
    </w:p>
    <w:p w14:paraId="19D47908">
      <w:pPr>
        <w:numPr>
          <w:ilvl w:val="0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Monthly Income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Missing values were replaced with the Median. However, a binary flag “MonthlyIncome_was_missing” was added to preserve the information that the value was originally unknown.</w:t>
      </w:r>
    </w:p>
    <w:p w14:paraId="66185E6A">
      <w:pPr>
        <w:numPr>
          <w:ilvl w:val="0"/>
          <w:numId w:val="3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NumberOfDependents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: Missing values were imputed using the Mode (0), as it is the most frequent occurrence in the borrower population.</w:t>
      </w:r>
    </w:p>
    <w:p w14:paraId="00DCA4B3">
      <w:pPr>
        <w:numPr>
          <w:ilvl w:val="0"/>
          <w:numId w:val="2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Solving the DebtRatio Anomaly</w:t>
      </w:r>
    </w:p>
    <w:p w14:paraId="2FF36C8B">
      <w:pPr>
        <w:numPr>
          <w:ilvl w:val="0"/>
          <w:numId w:val="4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Observation: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identified a data entry pattern where DebtRatio appeared as a massive integer (e.g. 5,710) specifically when MonthlyIncome was missing.</w:t>
      </w:r>
    </w:p>
    <w:p w14:paraId="5489CAE5">
      <w:pPr>
        <w:numPr>
          <w:ilvl w:val="0"/>
          <w:numId w:val="4"/>
        </w:numPr>
        <w:spacing w:line="360" w:lineRule="auto"/>
        <w:ind w:left="84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Action: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Implemented a logical transformation:</w:t>
      </w:r>
    </w:p>
    <w:p w14:paraId="174A1D8D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If Income was missing: Treated the DebtRatio value as the Total Monthly Debt.</w:t>
      </w:r>
    </w:p>
    <w:p w14:paraId="1900F329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If Income was present: Calculated Total Debt by multiplying the ratio by the income.</w:t>
      </w:r>
    </w:p>
    <w:p w14:paraId="20E98B27">
      <w:pPr>
        <w:numPr>
          <w:ilvl w:val="1"/>
          <w:numId w:val="4"/>
        </w:numPr>
        <w:spacing w:line="360" w:lineRule="auto"/>
        <w:ind w:left="126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Result: A new feature, DebtRatio_Cleaned, was created by dividing Total Debt by the imputed income. This unified the metric across the entire dataset.</w:t>
      </w:r>
    </w:p>
    <w:p w14:paraId="4E766070">
      <w:pPr>
        <w:numPr>
          <w:ilvl w:val="0"/>
          <w:numId w:val="2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Outlier Handling and Kurtosis Analysis</w:t>
      </w:r>
    </w:p>
    <w:p w14:paraId="12B53E6D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Revolving Utilization of Unsecured Lines: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Values were capped at 2.0. This prevents extreme outliers (likely data errors) from skewing the model while still acknowledging that the borrower is significantly over-leveraged.</w:t>
      </w:r>
    </w:p>
    <w:p w14:paraId="3541F9A9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Age: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Any entries with age recorded below 18 were replaced with the median age, ensuring logical consistency for a lending environment.</w:t>
      </w:r>
    </w:p>
    <w:p w14:paraId="72E6D778"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Findings: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In this dataset, MonthlyIncome and DebtRatio show very high kurtosis.</w:t>
      </w:r>
    </w:p>
    <w:p w14:paraId="58C3BA28">
      <w:pPr>
        <w:numPr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7F96AC8F">
      <w:pPr>
        <w:numPr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7FD49580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3. UNIVARIATE ANALYSIS: UNDERSTANDING THE POPULATION</w:t>
      </w:r>
    </w:p>
    <w:p w14:paraId="0557BAB0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Class Imbalance: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target variable (SeriousDlqin2yrs) reveals that approximately 6.7% of the population experienced financial distress. This confirms the need for advanced modeling techniques (like SMOTE or weighted loss) to handle the minority class.</w:t>
      </w:r>
    </w:p>
    <w:p w14:paraId="6105B9AA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Income Distribution: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By applying a Logarithmic Scale, we observed that the majority of borrowers fall into a specific middle-income bracket, with a very long tail of high-earners.</w:t>
      </w:r>
    </w:p>
    <w:p w14:paraId="55B143C9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Age Trends: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borrower base is most concentrated between ages 35 and 65.</w:t>
      </w:r>
    </w:p>
    <w:p w14:paraId="3E47F1EB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11345" cy="174625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rcRect l="11924" t="29168" r="4316" b="11895"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E4E1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</w:rPr>
      </w:pPr>
    </w:p>
    <w:p w14:paraId="2899D744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432935" cy="1757680"/>
            <wp:effectExtent l="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rcRect l="11997" t="29147" r="3834" b="11530"/>
                    <a:stretch>
                      <a:fillRect/>
                    </a:stretch>
                  </pic:blipFill>
                  <pic:spPr>
                    <a:xfrm>
                      <a:off x="0" y="0"/>
                      <a:ext cx="4432935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7CD27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</w:rPr>
      </w:pPr>
    </w:p>
    <w:p w14:paraId="69CF5887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4. DATA IMBALANCE MITIGA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TION (SMOTE)</w:t>
      </w:r>
    </w:p>
    <w:p w14:paraId="0C84E91B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The Problem: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Only ~6.7% of borrowers in the data defaulted. If we train an AI model on this, it will simply learn to say "No Default" to everyone to get 93% accuracy, effectively missing all the risky people.</w:t>
      </w:r>
    </w:p>
    <w:p w14:paraId="51747C50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The Solution: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used SMOTE. Instead of just copying the risky borrowers (oversampling), SMOTE creates new, synthetic data points by looking at the characteristics of existing risky borrowers.</w:t>
      </w:r>
    </w:p>
    <w:p w14:paraId="3CAC359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Result: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This balances the dataset (1:1 ratio), forcing the AI model to learn the specific patterns of "High Risk" individuals equally.</w:t>
      </w:r>
    </w:p>
    <w:p w14:paraId="682B902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lang w:val="en-US"/>
        </w:rPr>
      </w:pPr>
    </w:p>
    <w:p w14:paraId="4E96A43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5D272D7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5. BIVARIATE ANALYSIS: RISK CORRELATION</w:t>
      </w:r>
    </w:p>
    <w:p w14:paraId="62C7DBCA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Past Due Behavior (The Lead Indicator):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We engineered a new feature, TotalTimesPastDue. The analysis shows a direct linear relationship: as the count of late payments increases, the probability of financial distress within the next two years rises sharply.</w:t>
      </w:r>
    </w:p>
    <w:p w14:paraId="10041D0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Utilization vs. Risk: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Borrowers with a utilization ratio near or above 1.0 (using more than 100% of their limit) are significantly more likely to be in the "Distress" category than those below 0.3.</w:t>
      </w:r>
    </w:p>
    <w:p w14:paraId="27D272B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0E360EB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3908425" cy="2500630"/>
            <wp:effectExtent l="0" t="0" r="3175" b="1270"/>
            <wp:docPr id="3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8425" cy="2500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6ACC41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Debt Ratio vs Risk:</w:t>
      </w:r>
    </w:p>
    <w:p w14:paraId="266E239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6D60E730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246245" cy="2716530"/>
            <wp:effectExtent l="0" t="0" r="8255" b="1270"/>
            <wp:docPr id="5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6245" cy="2716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40EF48B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Dependents and Risk: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>There is a notable correlation between the number of dependents and the likelihood of distress. Borrowers with 3 or more dependents show a higher risk profile, likely due to higher fixed monthly expenses.</w:t>
      </w:r>
    </w:p>
    <w:p w14:paraId="6C5A1B8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32D82F7C">
      <w:pPr>
        <w:numPr>
          <w:ilvl w:val="0"/>
          <w:numId w:val="0"/>
        </w:numPr>
        <w:spacing w:line="360" w:lineRule="auto"/>
        <w:jc w:val="center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4312920" cy="2733675"/>
            <wp:effectExtent l="0" t="0" r="5080" b="9525"/>
            <wp:docPr id="4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AFEB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5DCF73B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6. CORRELATION MATRIX &amp; MULTICOLLINEARITY</w:t>
      </w:r>
    </w:p>
    <w:p w14:paraId="75C3580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The final correlation heatmap identified:</w:t>
      </w:r>
    </w:p>
    <w:p w14:paraId="0BC4749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Strong Multicollinearity: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three different "Past Due" columns (30-59, 60-89, and 90+ days) are highly correlated.</w:t>
      </w:r>
    </w:p>
    <w:p w14:paraId="51D76B1C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Debt Ratio vs. Risk: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cleaned Debt Ratio shows a positive correlation with risk, proving that our logical correction of the missing-income rows was successful in making the data meaningful.</w:t>
      </w:r>
    </w:p>
    <w:p w14:paraId="507EC2B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</w:p>
    <w:p w14:paraId="12699099">
      <w:pPr>
        <w:numPr>
          <w:ilvl w:val="0"/>
          <w:numId w:val="0"/>
        </w:numPr>
        <w:spacing w:line="360" w:lineRule="auto"/>
        <w:jc w:val="center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281805" cy="3604260"/>
            <wp:effectExtent l="0" t="0" r="10795" b="2540"/>
            <wp:docPr id="6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1805" cy="36042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B91C3E">
      <w:pPr>
        <w:numPr>
          <w:ilvl w:val="0"/>
          <w:numId w:val="7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HYPOTHESIS TESTING</w:t>
      </w:r>
    </w:p>
    <w:p w14:paraId="1F4C6CA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While visual analysis provides a good overview of borrower trends, it does not account for random chance. To ensure that we build Model-as-a-Service (MaaS) on reliable data, we conducted Statistical Hypothesis Testing. This process mathematically proves whether a variable (like Age or Income) truly influences credit risk or if the observed difference is merely a coincidence.</w:t>
      </w:r>
    </w:p>
    <w:p w14:paraId="2F2304F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2666FDF0">
      <w:pPr>
        <w:numPr>
          <w:ilvl w:val="0"/>
          <w:numId w:val="8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We set a Confidence Level of 95% (α=0.05). If a test result (P-value) is less than 0.05, we conclude the finding is "Statistically Significant”.</w:t>
      </w:r>
    </w:p>
    <w:p w14:paraId="423128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56E05A8C">
      <w:pPr>
        <w:numPr>
          <w:ilvl w:val="0"/>
          <w:numId w:val="0"/>
        </w:num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Results and Analysis</w:t>
      </w:r>
    </w:p>
    <w:p w14:paraId="114A3DB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1: Age vs. Financial Distress (Independent T-Test)</w:t>
      </w:r>
    </w:p>
    <w:p w14:paraId="064F9CF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the average age of borrowers in financial distress is significantly different from those who are not.</w:t>
      </w:r>
    </w:p>
    <w:p w14:paraId="3DD7085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Hypotheses:</w:t>
      </w:r>
    </w:p>
    <w:p w14:paraId="22E0359A">
      <w:pPr>
        <w:numPr>
          <w:ilvl w:val="0"/>
          <w:numId w:val="9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2"/>
          <w:szCs w:val="22"/>
          <w:lang w:val="en-US"/>
        </w:rPr>
        <w:t>Null (H0)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: There is no difference in mean age between the two groups.</w:t>
      </w:r>
    </w:p>
    <w:p w14:paraId="2E7AC962">
      <w:pPr>
        <w:numPr>
          <w:ilvl w:val="0"/>
          <w:numId w:val="9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2"/>
          <w:szCs w:val="22"/>
          <w:lang w:val="en-US"/>
        </w:rPr>
        <w:t>Alternative (H1)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: Borrowers in distress have a significantly different mean age (typically younger).</w:t>
      </w:r>
    </w:p>
    <w:p w14:paraId="59AD616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Statistical Finding: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P-value was &lt; 0.0001.</w:t>
      </w:r>
    </w:p>
    <w:p w14:paraId="3F9C974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Conclusion: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Reject the Null Hypothesis.</w:t>
      </w:r>
    </w:p>
    <w:p w14:paraId="3A505AC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Age is a scientifically proven risk factor. Younger borrowers show a higher mathematical probability of default, justifying the inclusion of age as a weighted feature in the scoring algorithm.</w:t>
      </w:r>
    </w:p>
    <w:p w14:paraId="12F0F17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2D8AD1C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2: Monthly Income vs. Financial Distress (Mann-Whitney U Test)</w:t>
      </w:r>
    </w:p>
    <w:p w14:paraId="3264528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income levels differ between high-risk and low-risk borrowers.</w:t>
      </w:r>
    </w:p>
    <w:p w14:paraId="18106F1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Methodology: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We used the Mann-Whitney U test because income data is "skewed" (non-normal). This test compares the distribution ranks rather than just the average.</w:t>
      </w:r>
    </w:p>
    <w:p w14:paraId="55A99B8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Statistical Finding: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P-value was &lt; 0.0001.</w:t>
      </w:r>
    </w:p>
    <w:p w14:paraId="0C6B557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Conclusion: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Reject the Null Hypothesis.</w:t>
      </w:r>
    </w:p>
    <w:p w14:paraId="28225EE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There is a significant difference in the income distributions. Lower-income individuals are statistically more likely to experience financial distress, even after accounting for the imputed values for missing data.</w:t>
      </w:r>
    </w:p>
    <w:p w14:paraId="45BB371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43B4A05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Test 3: Past Late Payments vs. Financial Distress (Chi-Square Test)</w:t>
      </w:r>
    </w:p>
    <w:p w14:paraId="3BB8CF7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Objective: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To determine if the categorical behavior of "Ever being 90+ days late" is associated with the target variable of financial distress.</w:t>
      </w:r>
    </w:p>
    <w:p w14:paraId="187C944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Methodology: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 2x2 contingency table was used to compare the frequency of past lateness against the frequency of future distress.</w:t>
      </w:r>
    </w:p>
    <w:p w14:paraId="4C3FCB8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Statistical Finding: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The P-value was ≈ 0.</w:t>
      </w:r>
    </w:p>
    <w:p w14:paraId="40CE69F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Conclusion: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Reject the Null Hypothesis.</w:t>
      </w:r>
    </w:p>
    <w:p w14:paraId="1C3D721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Bank Insight: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This test yielded the strongest statistical association. Being 90+ days late even once in the past is the most powerful "Red Flag" indicator. This relationship is not random; it is a consistent behavioral pattern.</w:t>
      </w:r>
    </w:p>
    <w:p w14:paraId="713E7AF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</w:p>
    <w:p w14:paraId="015E7EAF">
      <w:pPr>
        <w:numPr>
          <w:ilvl w:val="0"/>
          <w:numId w:val="0"/>
        </w:numPr>
        <w:spacing w:line="360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Summary Table</w:t>
      </w:r>
    </w:p>
    <w:p w14:paraId="062404E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959"/>
        <w:gridCol w:w="1041"/>
        <w:gridCol w:w="1393"/>
        <w:gridCol w:w="2249"/>
      </w:tblGrid>
      <w:tr w14:paraId="61FFD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38BB341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Variable Tested</w:t>
            </w:r>
          </w:p>
        </w:tc>
        <w:tc>
          <w:tcPr>
            <w:tcW w:w="1959" w:type="dxa"/>
          </w:tcPr>
          <w:p w14:paraId="43A5575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Statistical Test</w:t>
            </w:r>
          </w:p>
        </w:tc>
        <w:tc>
          <w:tcPr>
            <w:tcW w:w="1041" w:type="dxa"/>
          </w:tcPr>
          <w:p w14:paraId="253A1A0E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P-value</w:t>
            </w:r>
          </w:p>
        </w:tc>
        <w:tc>
          <w:tcPr>
            <w:tcW w:w="1393" w:type="dxa"/>
          </w:tcPr>
          <w:p w14:paraId="3B9F3E5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Significant?</w:t>
            </w:r>
          </w:p>
        </w:tc>
        <w:tc>
          <w:tcPr>
            <w:tcW w:w="2249" w:type="dxa"/>
          </w:tcPr>
          <w:p w14:paraId="7D83D8C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Result</w:t>
            </w:r>
          </w:p>
        </w:tc>
      </w:tr>
      <w:tr w14:paraId="28D92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27D3ECDB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Age</w:t>
            </w:r>
          </w:p>
        </w:tc>
        <w:tc>
          <w:tcPr>
            <w:tcW w:w="1959" w:type="dxa"/>
          </w:tcPr>
          <w:p w14:paraId="23CDC81D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Independent T-Test</w:t>
            </w:r>
          </w:p>
        </w:tc>
        <w:tc>
          <w:tcPr>
            <w:tcW w:w="1041" w:type="dxa"/>
          </w:tcPr>
          <w:p w14:paraId="6648947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7E6F8E4F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0CEE4251">
            <w:pPr>
              <w:widowControl w:val="0"/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Age is a real predictor of risk.</w:t>
            </w:r>
          </w:p>
        </w:tc>
      </w:tr>
      <w:tr w14:paraId="3F363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361A2226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Monthly Income</w:t>
            </w:r>
          </w:p>
        </w:tc>
        <w:tc>
          <w:tcPr>
            <w:tcW w:w="1959" w:type="dxa"/>
          </w:tcPr>
          <w:p w14:paraId="1ABE0BB1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Mann-Whitney U</w:t>
            </w:r>
          </w:p>
        </w:tc>
        <w:tc>
          <w:tcPr>
            <w:tcW w:w="1041" w:type="dxa"/>
          </w:tcPr>
          <w:p w14:paraId="71ADE905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3D9E38F9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62A0A120">
            <w:pPr>
              <w:widowControl w:val="0"/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Income level significantly impacts default probability.</w:t>
            </w:r>
          </w:p>
        </w:tc>
      </w:tr>
      <w:tr w14:paraId="31410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0" w:type="dxa"/>
          </w:tcPr>
          <w:p w14:paraId="3982A303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90+ Days Late</w:t>
            </w:r>
          </w:p>
        </w:tc>
        <w:tc>
          <w:tcPr>
            <w:tcW w:w="1959" w:type="dxa"/>
          </w:tcPr>
          <w:p w14:paraId="3C36D4F2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Chi-squre</w:t>
            </w:r>
          </w:p>
        </w:tc>
        <w:tc>
          <w:tcPr>
            <w:tcW w:w="1041" w:type="dxa"/>
          </w:tcPr>
          <w:p w14:paraId="59B10534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&lt; 0.05</w:t>
            </w:r>
          </w:p>
        </w:tc>
        <w:tc>
          <w:tcPr>
            <w:tcW w:w="1393" w:type="dxa"/>
          </w:tcPr>
          <w:p w14:paraId="0DA79447">
            <w:pPr>
              <w:widowControl w:val="0"/>
              <w:numPr>
                <w:ilvl w:val="0"/>
                <w:numId w:val="0"/>
              </w:num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2"/>
                <w:szCs w:val="22"/>
                <w:vertAlign w:val="baseline"/>
                <w:lang w:val="en-US"/>
              </w:rPr>
              <w:t>YES</w:t>
            </w:r>
          </w:p>
        </w:tc>
        <w:tc>
          <w:tcPr>
            <w:tcW w:w="2249" w:type="dxa"/>
          </w:tcPr>
          <w:p w14:paraId="443BF6BF">
            <w:pPr>
              <w:widowControl w:val="0"/>
              <w:numPr>
                <w:ilvl w:val="0"/>
                <w:numId w:val="0"/>
              </w:numPr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2"/>
                <w:szCs w:val="22"/>
                <w:vertAlign w:val="baseline"/>
                <w:lang w:val="en-US"/>
              </w:rPr>
              <w:t>Past behavior is strongly linked to future distress.</w:t>
            </w:r>
          </w:p>
        </w:tc>
      </w:tr>
    </w:tbl>
    <w:p w14:paraId="55708C6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36C4927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Based on the above test, we concluded:</w:t>
      </w:r>
    </w:p>
    <w:p w14:paraId="69DEB7E5">
      <w:pPr>
        <w:numPr>
          <w:ilvl w:val="0"/>
          <w:numId w:val="9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Variable Inclusion: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All three tested variables (Age, Income, and Past Due counts) have passed the significance threshold and must be included in the final AI model.</w:t>
      </w:r>
    </w:p>
    <w:p w14:paraId="6FDE6F43">
      <w:pPr>
        <w:numPr>
          <w:ilvl w:val="0"/>
          <w:numId w:val="9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Threshold Setting: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The Bank can now confidently set lower credit limits for younger borrowers or those with a history of minor lateness, as these are now mathematically verified risk groups.</w:t>
      </w:r>
    </w:p>
    <w:p w14:paraId="287A3A0F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2AC13387">
      <w:pPr>
        <w:numPr>
          <w:ilvl w:val="0"/>
          <w:numId w:val="7"/>
        </w:numPr>
        <w:tabs>
          <w:tab w:val="left" w:pos="420"/>
        </w:tabs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FEATURE ENGINEERING (THE "NEXT STEP")</w:t>
      </w:r>
    </w:p>
    <w:p w14:paraId="5B112CFE">
      <w:pPr>
        <w:numPr>
          <w:ilvl w:val="0"/>
          <w:numId w:val="0"/>
        </w:numPr>
        <w:tabs>
          <w:tab w:val="left" w:pos="420"/>
        </w:tabs>
        <w:spacing w:line="360" w:lineRule="auto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sz w:val="22"/>
          <w:szCs w:val="22"/>
          <w:lang w:val="en-US"/>
        </w:rPr>
        <w:t>To improve the predictive power of the Model-as-a-Service (MaaS) API, we created new variables:</w:t>
      </w:r>
    </w:p>
    <w:p w14:paraId="373C2403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IncomePerPerson: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Calculates cash availability by dividing income by household size.</w:t>
      </w:r>
    </w:p>
    <w:p w14:paraId="44042C5D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LatePaymentIntensity: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Instead of just looking at the number of late payments, this looks at how many late payments occur relative to the number of loans they have. A high ratio indicates a systemic failure to manage debt.</w:t>
      </w:r>
    </w:p>
    <w:p w14:paraId="20AD2E93">
      <w:pPr>
        <w:numPr>
          <w:ilvl w:val="0"/>
          <w:numId w:val="5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Is_Retired: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Financial risk profiles often shift significantly at retirement age (65+). Categorizing this helps the model distinguish between a young person with no income vs. a retiree with assets but low monthly income.</w:t>
      </w:r>
    </w:p>
    <w:p w14:paraId="77D908F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 w14:paraId="32668624">
      <w:pPr>
        <w:numPr>
          <w:ilvl w:val="0"/>
          <w:numId w:val="7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color w:val="851321" w:themeColor="accent6" w:themeShade="80"/>
          <w:sz w:val="22"/>
          <w:szCs w:val="22"/>
          <w:lang w:val="en-US"/>
        </w:rPr>
        <w:t>CONCLUSION AND GENERAL RECOMMENDATION</w:t>
      </w:r>
    </w:p>
    <w:p w14:paraId="6CA0E1F9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Feature Priority: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scoring model must prioritize NumberOfTimes90DaysLate and the cleaned DebtRatio as the most significant inputs.</w:t>
      </w:r>
    </w:p>
    <w:p w14:paraId="6B089BEE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Risk Segmentation: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Borrowers with high RevolvingUtilization should be flagged for lower credit limits, even if their current income is high.</w:t>
      </w:r>
    </w:p>
    <w:p w14:paraId="76643122">
      <w:pPr>
        <w:numPr>
          <w:ilvl w:val="0"/>
          <w:numId w:val="10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Data Policy: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The Bank should implement stricter validation for MonthlyIncome at the point of application to reduce the high volume of null or "zero" entries.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F5AA7B"/>
    <w:multiLevelType w:val="singleLevel"/>
    <w:tmpl w:val="98F5AA7B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45473F1"/>
    <w:multiLevelType w:val="singleLevel"/>
    <w:tmpl w:val="B45473F1"/>
    <w:lvl w:ilvl="0" w:tentative="0">
      <w:start w:val="1"/>
      <w:numFmt w:val="upperLetter"/>
      <w:suff w:val="space"/>
      <w:lvlText w:val="%1."/>
      <w:lvlJc w:val="left"/>
      <w:pPr>
        <w:ind w:left="420"/>
      </w:pPr>
      <w:rPr>
        <w:rFonts w:hint="default"/>
        <w:b/>
        <w:bCs/>
      </w:rPr>
    </w:lvl>
  </w:abstractNum>
  <w:abstractNum w:abstractNumId="2">
    <w:nsid w:val="C3299BA0"/>
    <w:multiLevelType w:val="multilevel"/>
    <w:tmpl w:val="C3299BA0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3">
    <w:nsid w:val="D6E08A03"/>
    <w:multiLevelType w:val="singleLevel"/>
    <w:tmpl w:val="D6E08A0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b/>
        <w:bCs/>
      </w:rPr>
    </w:lvl>
  </w:abstractNum>
  <w:abstractNum w:abstractNumId="4">
    <w:nsid w:val="F612CCC3"/>
    <w:multiLevelType w:val="singleLevel"/>
    <w:tmpl w:val="F612CCC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F703CE95"/>
    <w:multiLevelType w:val="singleLevel"/>
    <w:tmpl w:val="F703CE9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3A9F6AC9"/>
    <w:multiLevelType w:val="singleLevel"/>
    <w:tmpl w:val="3A9F6AC9"/>
    <w:lvl w:ilvl="0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7">
    <w:nsid w:val="3DDA14BC"/>
    <w:multiLevelType w:val="singleLevel"/>
    <w:tmpl w:val="3DDA14BC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5725A54B"/>
    <w:multiLevelType w:val="singleLevel"/>
    <w:tmpl w:val="5725A54B"/>
    <w:lvl w:ilvl="0" w:tentative="0">
      <w:start w:val="7"/>
      <w:numFmt w:val="decimal"/>
      <w:suff w:val="space"/>
      <w:lvlText w:val="%1."/>
      <w:lvlJc w:val="left"/>
    </w:lvl>
  </w:abstractNum>
  <w:abstractNum w:abstractNumId="9">
    <w:nsid w:val="7DDC49A2"/>
    <w:multiLevelType w:val="singleLevel"/>
    <w:tmpl w:val="7DDC49A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2"/>
  </w:num>
  <w:num w:numId="5">
    <w:abstractNumId w:val="9"/>
  </w:num>
  <w:num w:numId="6">
    <w:abstractNumId w:val="5"/>
  </w:num>
  <w:num w:numId="7">
    <w:abstractNumId w:val="8"/>
  </w:num>
  <w:num w:numId="8">
    <w:abstractNumId w:val="0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C21D1E"/>
    <w:rsid w:val="00EE0F95"/>
    <w:rsid w:val="043851F9"/>
    <w:rsid w:val="04BC3145"/>
    <w:rsid w:val="0F3C60C0"/>
    <w:rsid w:val="18CD60AD"/>
    <w:rsid w:val="1DFB5625"/>
    <w:rsid w:val="1EAC1948"/>
    <w:rsid w:val="20037A73"/>
    <w:rsid w:val="23C849C9"/>
    <w:rsid w:val="2D8E5C2E"/>
    <w:rsid w:val="37C9746A"/>
    <w:rsid w:val="3E924D0F"/>
    <w:rsid w:val="3F9A0FE5"/>
    <w:rsid w:val="4494739B"/>
    <w:rsid w:val="47256C68"/>
    <w:rsid w:val="477162E6"/>
    <w:rsid w:val="5807105F"/>
    <w:rsid w:val="5D0F6122"/>
    <w:rsid w:val="5D25357E"/>
    <w:rsid w:val="5E5879D5"/>
    <w:rsid w:val="642B5B58"/>
    <w:rsid w:val="67A7735B"/>
    <w:rsid w:val="68A128B9"/>
    <w:rsid w:val="6C37119B"/>
    <w:rsid w:val="6CFE56E1"/>
    <w:rsid w:val="7A4B39AC"/>
    <w:rsid w:val="7B9945BC"/>
    <w:rsid w:val="7DC21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1279</Words>
  <Characters>7370</Characters>
  <Lines>0</Lines>
  <Paragraphs>0</Paragraphs>
  <TotalTime>110</TotalTime>
  <ScaleCrop>false</ScaleCrop>
  <LinksUpToDate>false</LinksUpToDate>
  <CharactersWithSpaces>8553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2026-04-18T07:22:00Z</dcterms:created>
  <dc:creator>hp</dc:creator>
  <cp:lastModifiedBy>tsion moges</cp:lastModifiedBy>
  <dcterms:modified xsi:type="dcterms:W3CDTF">2026-04-25T07:37:46Z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9F578838314F4502B879CEB1F2E0EE23_11</vt:lpwstr>
  </property>
  <property fmtid="{D5CDD505-2E9C-101B-9397-08002B2CF9AE}" pid="4" name="KSOTemplateDocerSaveRecord">
    <vt:lpwstr>eyJoZGlkIjoiMDJmNzE0Yjc4YWZkODFlZGM2NDQ4NWI0YWUzMmE0ZmEiLCJ1c2VySWQiOiIxNDMxMTIzMTczMTM0MCJ9</vt:lpwstr>
  </property>
</Properties>
</file>