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1A1E6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Data Science Project Report: Credit Risk Analysis</w:t>
      </w:r>
    </w:p>
    <w:p w14:paraId="034BB2A4">
      <w:p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86E6F78">
      <w:p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Project: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Data Science Project</w:t>
      </w:r>
    </w:p>
    <w:p w14:paraId="10820068">
      <w:p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Organization: </w:t>
      </w:r>
      <w:r>
        <w:rPr>
          <w:rFonts w:hint="default" w:ascii="Times New Roman" w:hAnsi="Times New Roman" w:cs="Times New Roman"/>
          <w:sz w:val="22"/>
          <w:szCs w:val="22"/>
        </w:rPr>
        <w:t>Ahadu Bank</w:t>
      </w:r>
    </w:p>
    <w:p w14:paraId="2E1F0CB6">
      <w:p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Analyst: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Tsion Moges</w:t>
      </w:r>
      <w:bookmarkStart w:id="0" w:name="_GoBack"/>
      <w:bookmarkEnd w:id="0"/>
    </w:p>
    <w:p w14:paraId="3FAD83A4">
      <w:p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04D5AC74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Executive Summary</w:t>
      </w:r>
    </w:p>
    <w:p w14:paraId="1D530E28">
      <w:p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The objective of this analysis was to explore a historical credit dataset of 150,000 borrowers. The primary goal was to understand the characteristics of borrowers who experience "Financial Distress" within a two-year period. Our analysis identified past payment behavior and credit utilization as the most critical risk indicators.</w:t>
      </w:r>
    </w:p>
    <w:p w14:paraId="054FC40C">
      <w:p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5E2C9096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Data Preparation and Cleaning</w:t>
      </w:r>
    </w:p>
    <w:p w14:paraId="59E12D3A">
      <w:p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Upon initial inspection, two columns contained significant missing values:</w:t>
      </w:r>
    </w:p>
    <w:p w14:paraId="027532E2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Monthly Income: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A substantial number of entries were null.</w:t>
      </w:r>
    </w:p>
    <w:p w14:paraId="27888752">
      <w:pPr>
        <w:numPr>
          <w:ilvl w:val="1"/>
          <w:numId w:val="2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Action: Missing values were imputed using the Median. This choice was made to prevent extreme high-income outliers from skewing the representative average.</w:t>
      </w:r>
    </w:p>
    <w:p w14:paraId="533D0D61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Number of Dependents:</w:t>
      </w:r>
    </w:p>
    <w:p w14:paraId="3336E7CA">
      <w:pPr>
        <w:numPr>
          <w:ilvl w:val="1"/>
          <w:numId w:val="2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Action: Missing values were imputed using the Median (commonly 0), as this is a discrete count variable.</w:t>
      </w:r>
    </w:p>
    <w:p w14:paraId="3541F9A9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54C3C3A7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Univariate Analysis: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The Target Variable</w:t>
      </w:r>
    </w:p>
    <w:p w14:paraId="20C0B4A9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We analyzed the distribution of SeriousDlqin2yrs (the target variable).</w:t>
      </w:r>
    </w:p>
    <w:p w14:paraId="3AA924DD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Observation: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The dataset is highly imbalanced. The vast majority of borrowers do not experience financial distress.</w:t>
      </w:r>
    </w:p>
    <w:p w14:paraId="55B143C9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Implication: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When building the AI model, we must use specific techniques (like oversampling or specialized loss functions) to ensure the model doesn't ignore the minority "High Risk" group.</w:t>
      </w:r>
    </w:p>
    <w:p w14:paraId="4E96A431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475164D8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Bivariate Analysis: Key Risk Drivers</w:t>
      </w:r>
    </w:p>
    <w:p w14:paraId="4D695056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A. Impact of Age</w:t>
      </w:r>
    </w:p>
    <w:p w14:paraId="555C157A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Finding: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A boxplot analysis revealed that younger borrowers (typically aged 35 to 50) show a higher statistical frequency of financial distress compared to older, more established borrowers.</w:t>
      </w:r>
    </w:p>
    <w:p w14:paraId="74ED2CD3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Insight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: Risk tends to decrease as the borrower’s age increases, likely due to increased financial stability and asset accumulation.</w:t>
      </w:r>
    </w:p>
    <w:p w14:paraId="15F64D10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686365E1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B. Past Due Behavior (The Strongest Predictor)</w:t>
      </w:r>
    </w:p>
    <w:p w14:paraId="228E3EF1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Finding: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Using a logistic regression plot (lmplot), we observed a near-perfect correlation between NumberOfTimes90DaysLate and the probability of distress.</w:t>
      </w:r>
    </w:p>
    <w:p w14:paraId="7E2E14CD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Insight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: If a borrower has a history of being 90+ days late even once, the likelihood of future default increases exponentially. This is the most critical feature for the upcoming scoring model.</w:t>
      </w:r>
    </w:p>
    <w:p w14:paraId="7C83349E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5672FEA1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Outlier Detection and Data Integrity</w:t>
      </w:r>
    </w:p>
    <w:p w14:paraId="2D237E5A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The analysis flagged significant anomalies in two areas:</w:t>
      </w:r>
    </w:p>
    <w:p w14:paraId="107C7C3C">
      <w:pPr>
        <w:numPr>
          <w:ilvl w:val="0"/>
          <w:numId w:val="4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Revolving Utilization: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Some values exceed 1.0, indicating borrowers are spending beyond their credit limits.</w:t>
      </w:r>
    </w:p>
    <w:p w14:paraId="674659B2">
      <w:pPr>
        <w:numPr>
          <w:ilvl w:val="0"/>
          <w:numId w:val="4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Debt Ratio: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We found instances where the Debt Ratio is extremely high (e.g., &gt; 5000).</w:t>
      </w:r>
    </w:p>
    <w:p w14:paraId="3B119F53">
      <w:pPr>
        <w:numPr>
          <w:ilvl w:val="1"/>
          <w:numId w:val="4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Source of Error: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These high ratios often occur when MonthlyIncome is recorded as 0 or 1, making the ratio calculation mathematically explosive.</w:t>
      </w:r>
    </w:p>
    <w:p w14:paraId="4C25C2BC">
      <w:pPr>
        <w:numPr>
          <w:ilvl w:val="1"/>
          <w:numId w:val="4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Recommendation: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These values should be "capped" or treated as a specific sub-category of risk.</w:t>
      </w:r>
    </w:p>
    <w:p w14:paraId="485D0B03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7A225243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6. Correlation and Relationship Mapping</w:t>
      </w:r>
    </w:p>
    <w:p w14:paraId="33768734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The Correlation Heatmap confirmed:</w:t>
      </w:r>
    </w:p>
    <w:p w14:paraId="476553B2">
      <w:pPr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High multicollinearity between different "Days Past Due" categories (30-59 days, 60-89 days, and 90+ days).</w:t>
      </w:r>
    </w:p>
    <w:p w14:paraId="49292592">
      <w:pPr>
        <w:numPr>
          <w:ilvl w:val="0"/>
          <w:numId w:val="5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Weak correlation between income levels and distress, suggesting that how a person manages credit (Utilization) is more important than how much they earn.</w:t>
      </w:r>
    </w:p>
    <w:p w14:paraId="4EF4E9B8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577BC120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7. Conclusion and Strategic Recommendations</w:t>
      </w:r>
    </w:p>
    <w:p w14:paraId="18789285">
      <w:pPr>
        <w:numPr>
          <w:ilvl w:val="0"/>
          <w:numId w:val="6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Feature Importance: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The Credit Scoring Model should heavily weight Past Due Frequency and Credit Utilization.</w:t>
      </w:r>
    </w:p>
    <w:p w14:paraId="56D8E5AB">
      <w:pPr>
        <w:numPr>
          <w:ilvl w:val="0"/>
          <w:numId w:val="6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Data Collection Improvement: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Ahadu Bank should implement stricter validation for MonthlyIncome at the point of application to reduce the high volume of null or "zero" entries.</w:t>
      </w:r>
    </w:p>
    <w:p w14:paraId="0DBEEC42">
      <w:pPr>
        <w:numPr>
          <w:ilvl w:val="0"/>
          <w:numId w:val="6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Risk Segmentation: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The bank should develop a "Flagging System" for borrowers with a DebtRatio greater than 1, as these individuals represent a unique high-risk tier that requires manual review.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Ethiopic Addi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thiopic Addis">
    <w:panose1 w:val="02000500000000020004"/>
    <w:charset w:val="00"/>
    <w:family w:val="auto"/>
    <w:pitch w:val="default"/>
    <w:sig w:usb0="80000007" w:usb1="00000000" w:usb2="00000000" w:usb3="00000000" w:csb0="20000111" w:csb1="4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EADC87"/>
    <w:multiLevelType w:val="multilevel"/>
    <w:tmpl w:val="A2EADC8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D6557245"/>
    <w:multiLevelType w:val="singleLevel"/>
    <w:tmpl w:val="D655724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A360DE6"/>
    <w:multiLevelType w:val="singleLevel"/>
    <w:tmpl w:val="EA360DE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02C9B3C0"/>
    <w:multiLevelType w:val="singleLevel"/>
    <w:tmpl w:val="02C9B3C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2EBA615D"/>
    <w:multiLevelType w:val="multilevel"/>
    <w:tmpl w:val="2EBA615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3DDA14BC"/>
    <w:multiLevelType w:val="singleLevel"/>
    <w:tmpl w:val="3DDA14BC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C21D1E"/>
    <w:rsid w:val="043851F9"/>
    <w:rsid w:val="18CD60AD"/>
    <w:rsid w:val="1DFB5625"/>
    <w:rsid w:val="20037A73"/>
    <w:rsid w:val="23C849C9"/>
    <w:rsid w:val="3F9A0FE5"/>
    <w:rsid w:val="5807105F"/>
    <w:rsid w:val="67A7735B"/>
    <w:rsid w:val="6C37119B"/>
    <w:rsid w:val="6CFE56E1"/>
    <w:rsid w:val="7DC2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2026-04-18T07:22:00Z</dcterms:created>
  <dc:creator>hp</dc:creator>
  <cp:lastModifiedBy>tsion moges</cp:lastModifiedBy>
  <dcterms:modified xsi:type="dcterms:W3CDTF">2026-04-18T07:50:09Z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9F578838314F4502B879CEB1F2E0EE23_11</vt:lpwstr>
  </property>
  <property fmtid="{D5CDD505-2E9C-101B-9397-08002B2CF9AE}" pid="4" name="KSOTemplateDocerSaveRecord">
    <vt:lpwstr>eyJoZGlkIjoiMDJmNzE0Yjc4YWZkODFlZGM2NDQ4NWI0YWUzMmE0ZmEiLCJ1c2VySWQiOiIxNDMxMTIzMTczMTM0MCJ9</vt:lpwstr>
  </property>
</Properties>
</file>