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1A1E6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DATA SCIENCE PROJECT REPORT: CREDIT RISK ANALYSIS</w:t>
      </w:r>
    </w:p>
    <w:p w14:paraId="034BB2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3C72D21B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Project: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Exploratory Data Analysis</w:t>
      </w:r>
    </w:p>
    <w:p w14:paraId="1082006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Organization: </w:t>
      </w:r>
      <w:r>
        <w:rPr>
          <w:rFonts w:hint="default" w:ascii="Times New Roman" w:hAnsi="Times New Roman" w:cs="Times New Roman"/>
          <w:sz w:val="22"/>
          <w:szCs w:val="22"/>
        </w:rPr>
        <w:t>Ahadu Bank</w:t>
      </w:r>
    </w:p>
    <w:p w14:paraId="667A6BFD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Dataset: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cs-training.csv</w:t>
      </w:r>
    </w:p>
    <w:p w14:paraId="2E1F0CB6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Analyst:</w:t>
      </w: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Tsion Moges</w:t>
      </w:r>
    </w:p>
    <w:p w14:paraId="3FAD83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bookmarkStart w:id="0" w:name="_GoBack"/>
      <w:bookmarkEnd w:id="0"/>
    </w:p>
    <w:p w14:paraId="04D5AC74">
      <w:pPr>
        <w:numPr>
          <w:ilvl w:val="0"/>
          <w:numId w:val="1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EXECUTIVE SUMMARY</w:t>
      </w:r>
    </w:p>
    <w:p w14:paraId="1D530E2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objective of this analysis was to explore a historical credit dataset of 150,000 borrowers. The primary goal was to understand the characteristics of borrowers who experience "Financial Distress" within a two-year period. Our analysis identified past payment due behavior and credit utilization as the most critical risk indicators.</w:t>
      </w:r>
    </w:p>
    <w:p w14:paraId="054FC40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F6C86CD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DATA PREPARATION AND CLEANING</w:t>
      </w:r>
    </w:p>
    <w:p w14:paraId="32183D07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Unnamed: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Drop the columns that didn’t have direct relation with our Target</w:t>
      </w:r>
    </w:p>
    <w:p w14:paraId="02A00881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Missing Value Imputation with "Missingness Flags"</w:t>
      </w:r>
    </w:p>
    <w:p w14:paraId="19D47908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MonthlyIncome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replaced with the Median. However, a binary flag “MonthlyIncome_was_missing” was added to preserve the information that the value was originally unknown.</w:t>
      </w:r>
    </w:p>
    <w:p w14:paraId="66185E6A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NumberOfDependents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imputed using the Mode (0), as it is the most frequent occurrence in the borrower population.</w:t>
      </w:r>
    </w:p>
    <w:p w14:paraId="00DCA4B3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Solving the DebtRatio Anomaly</w:t>
      </w:r>
    </w:p>
    <w:p w14:paraId="2FF36C8B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Observation: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identified a data entry pattern where DebtRatio appeared as a massive integer (e.g. 5,710) specifically when MonthlyIncome was missing.</w:t>
      </w:r>
    </w:p>
    <w:p w14:paraId="5489CAE5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Action: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Implemented a logical transformation:</w:t>
      </w:r>
    </w:p>
    <w:p w14:paraId="174A1D8D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missing: Treated the DebtRatio value as the Total Monthly Debt.</w:t>
      </w:r>
    </w:p>
    <w:p w14:paraId="1900F329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present: Calculated Total Debt by multiplying the ratio by the income.</w:t>
      </w:r>
    </w:p>
    <w:p w14:paraId="20E98B27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Result: A new feature, DebtRatio_Cleaned, was created by dividing Total Debt by the imputed income. This unified the metric across the entire dataset.</w:t>
      </w:r>
    </w:p>
    <w:p w14:paraId="4E766070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Outlier Handling (Feature Clipping)</w:t>
      </w:r>
    </w:p>
    <w:p w14:paraId="12B53E6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Revolving Utilization of Unsecured Lines: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Values were capped at 2.0. This prevents extreme outliers (likely data errors) from skewing the model while still acknowledging that the borrower is significantly over-leveraged.</w:t>
      </w:r>
    </w:p>
    <w:p w14:paraId="3541F9A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Age: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Any entries with age recorded below 18 were replaced with the median age, ensuring logical consistency for a lending environment.</w:t>
      </w:r>
    </w:p>
    <w:p w14:paraId="10595A6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FD4958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3. UNIVARIATE ANALYSIS: UNDERSTANDING THE POPULATION</w:t>
      </w:r>
    </w:p>
    <w:p w14:paraId="0557BAB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Class Imbalance: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target variable (SeriousDlqin2yrs) reveals that approximately 6.7% of the population experienced financial distress. This confirms the need for advanced modeling techniques (like SMOTE or weighted loss) to handle the minority class.</w:t>
      </w:r>
    </w:p>
    <w:p w14:paraId="6105B9AA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 Distribution: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By applying a Logarithmic Scale, we observed that the majority of borrowers fall into a specific middle-income bracket, with a very long tail of high-earners.</w:t>
      </w:r>
    </w:p>
    <w:p w14:paraId="55B143C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Age Trends: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borrower base is most concentrated between ages 35 and 65.</w:t>
      </w:r>
    </w:p>
    <w:p w14:paraId="3E47F1EB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11345" cy="17462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11924" t="29168" r="4316" b="11895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E4E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</w:rPr>
      </w:pPr>
    </w:p>
    <w:p w14:paraId="2899D744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32935" cy="175768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rcRect l="11997" t="29147" r="3834" b="11530"/>
                    <a:stretch>
                      <a:fillRect/>
                    </a:stretch>
                  </pic:blipFill>
                  <pic:spPr>
                    <a:xfrm>
                      <a:off x="0" y="0"/>
                      <a:ext cx="4432935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A4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5D272D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4. BIVARIATE ANALYSIS: RISK CORRELATION</w:t>
      </w:r>
    </w:p>
    <w:p w14:paraId="3C25182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Past Due Behavior (The Lead Indicator):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engineered a new feature, TotalTimesPastDue. The analysis shows a direct linear relationship: as the count of late payments increases, the probability of financial distress within the next two years rises sharply.</w:t>
      </w:r>
    </w:p>
    <w:p w14:paraId="62C7DBC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0041D0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Utilization vs.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Borrowers with a utilization ratio near or above 1.0 (using more than 100% of their limit) are significantly more likely to be in the "Distress" category than those below 0.3.</w:t>
      </w:r>
    </w:p>
    <w:p w14:paraId="27D272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0E360EB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908425" cy="2500630"/>
            <wp:effectExtent l="0" t="0" r="3175" b="1270"/>
            <wp:docPr id="3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500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6ACC41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 Risk:</w:t>
      </w:r>
    </w:p>
    <w:p w14:paraId="266E239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D60E730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246245" cy="2716530"/>
            <wp:effectExtent l="0" t="0" r="8255" b="1270"/>
            <wp:docPr id="5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2716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0EF48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Dependents and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There is a notable correlation between the number of dependents and the likelihood of distress. Borrowers with 3 or more dependents show a higher risk profile, likely due to higher fixed monthly expenses.</w:t>
      </w:r>
    </w:p>
    <w:p w14:paraId="6C5A1B8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2D82F7C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312920" cy="2733675"/>
            <wp:effectExtent l="0" t="0" r="5080" b="9525"/>
            <wp:docPr id="4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AFEB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DCF73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5. CORRELATION MATRIX &amp; MULTICOLLINEARITY</w:t>
      </w:r>
    </w:p>
    <w:p w14:paraId="75C3580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final correlation heatmap identified:</w:t>
      </w:r>
    </w:p>
    <w:p w14:paraId="0BC474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Strong Multicollinearity: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three different "Past Due" columns (30-59, 60-89, and 90+ days) are highly correlated.</w:t>
      </w:r>
    </w:p>
    <w:p w14:paraId="51D76B1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vs. Risk: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cleaned Debt Ratio shows a positive correlation with risk, proving that our logical correction of the missing-income rows was successful in making the data meaningful.</w:t>
      </w:r>
    </w:p>
    <w:p w14:paraId="507EC2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AF5B879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066540" cy="3423285"/>
            <wp:effectExtent l="0" t="0" r="10160" b="5715"/>
            <wp:docPr id="6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6540" cy="3423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8FD3AC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6B91C3E">
      <w:pPr>
        <w:numPr>
          <w:ilvl w:val="0"/>
          <w:numId w:val="6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HYPOTHESIS TESTING</w:t>
      </w:r>
    </w:p>
    <w:p w14:paraId="1F4C6CA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While visual analysis provides a good overview of borrower trends, it does not account for random chance. To ensure that we build Model-as-a-Service (MaaS) on reliable data, we conducted Statistical Hypothesis Testing. This process mathematically proves whether a variable (like Age or Income) truly influences credit risk or if the observed difference is merely a coincidence.</w:t>
      </w:r>
    </w:p>
    <w:p w14:paraId="2F2304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666FDF0">
      <w:pPr>
        <w:numPr>
          <w:ilvl w:val="0"/>
          <w:numId w:val="7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We set a Confidence Level of 95% (α=0.05). If a test result (P-value) is less than 0.05, we conclude the finding is "Statistically Significant.</w:t>
      </w:r>
    </w:p>
    <w:p w14:paraId="423128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6E05A8C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Results and Analysis</w:t>
      </w:r>
    </w:p>
    <w:p w14:paraId="114A3DB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1: Age vs. Financial Distress (Independent T-Test)</w:t>
      </w:r>
    </w:p>
    <w:p w14:paraId="064F9C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average age of borrowers in financial distress is significantly different from those who are not.</w:t>
      </w:r>
    </w:p>
    <w:p w14:paraId="3DD7085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Hypotheses:</w:t>
      </w:r>
    </w:p>
    <w:p w14:paraId="22E0359A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Null (H0)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There is no difference in mean age between the two groups.</w:t>
      </w:r>
    </w:p>
    <w:p w14:paraId="2E7AC962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Alternative (H1)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Borrowers in distress have a significantly different mean age (typically younger).</w:t>
      </w:r>
    </w:p>
    <w:p w14:paraId="59AD616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3F9C974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Conclusion: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Reject the Null Hypothesis.</w:t>
      </w:r>
    </w:p>
    <w:p w14:paraId="3A505AC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Age is a scientifically proven risk factor. Younger borrowers show a higher mathematical probability of default, justifying the inclusion of age as a weighted feature in the scoring algorithm.</w:t>
      </w:r>
    </w:p>
    <w:p w14:paraId="12F0F17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D8AD1C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2: Monthly Income vs. Financial Distress (Mann-Whitney U Test)</w:t>
      </w:r>
    </w:p>
    <w:p w14:paraId="3264528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income levels differ between high-risk and low-risk borrowers.</w:t>
      </w:r>
    </w:p>
    <w:p w14:paraId="18106F1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We used the Mann-Whitney U test because income data is "skewed" (non-normal). This test compares the distribution ranks rather than just the average.</w:t>
      </w:r>
    </w:p>
    <w:p w14:paraId="55A99B8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0C6B55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28225EE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There is a significant difference in the income distributions. Lower-income individuals are statistically more likely to experience financial distress, even after accounting for the imputed values for missing data.</w:t>
      </w:r>
    </w:p>
    <w:p w14:paraId="45BB37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3B4A05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3: Past Late Payments vs. Financial Distress (Chi-Square Test)</w:t>
      </w:r>
    </w:p>
    <w:p w14:paraId="3BB8CF7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categorical behavior of "Ever being 90+ days late" is associated with the target variable of financial distress.</w:t>
      </w:r>
    </w:p>
    <w:p w14:paraId="187C944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 2x2 contingency table was used to compare the frequency of past lateness against the frequency of future distress.</w:t>
      </w:r>
    </w:p>
    <w:p w14:paraId="4C3FCB8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Statistical Finding: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The P-value was ≈ 0.</w:t>
      </w:r>
    </w:p>
    <w:p w14:paraId="40CE69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1C3D721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This test yielded the strongest statistical association. Being 90+ days late even once in the past is the most powerful "Red Flag" indicator. This relationship is not random; it is a consistent behavioral pattern.</w:t>
      </w:r>
    </w:p>
    <w:p w14:paraId="713E7AF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015E7EAF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Summary Table</w:t>
      </w:r>
    </w:p>
    <w:p w14:paraId="062404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959"/>
        <w:gridCol w:w="1041"/>
        <w:gridCol w:w="1393"/>
        <w:gridCol w:w="2249"/>
      </w:tblGrid>
      <w:tr w14:paraId="61FF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8BB341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Variable Tested</w:t>
            </w:r>
          </w:p>
        </w:tc>
        <w:tc>
          <w:tcPr>
            <w:tcW w:w="1959" w:type="dxa"/>
          </w:tcPr>
          <w:p w14:paraId="43A5575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Statistical Test</w:t>
            </w:r>
          </w:p>
        </w:tc>
        <w:tc>
          <w:tcPr>
            <w:tcW w:w="1041" w:type="dxa"/>
          </w:tcPr>
          <w:p w14:paraId="253A1A0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P-value</w:t>
            </w:r>
          </w:p>
        </w:tc>
        <w:tc>
          <w:tcPr>
            <w:tcW w:w="1393" w:type="dxa"/>
          </w:tcPr>
          <w:p w14:paraId="3B9F3E5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Significant?</w:t>
            </w:r>
          </w:p>
        </w:tc>
        <w:tc>
          <w:tcPr>
            <w:tcW w:w="2249" w:type="dxa"/>
          </w:tcPr>
          <w:p w14:paraId="7D83D8C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Result</w:t>
            </w:r>
          </w:p>
        </w:tc>
      </w:tr>
      <w:tr w14:paraId="28D9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27D3ECD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Age</w:t>
            </w:r>
          </w:p>
        </w:tc>
        <w:tc>
          <w:tcPr>
            <w:tcW w:w="1959" w:type="dxa"/>
          </w:tcPr>
          <w:p w14:paraId="23CDC81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Independent T-Test</w:t>
            </w:r>
          </w:p>
        </w:tc>
        <w:tc>
          <w:tcPr>
            <w:tcW w:w="1041" w:type="dxa"/>
          </w:tcPr>
          <w:p w14:paraId="6648947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7E6F8E4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0CEE4251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Age is a real predictor of risk.</w:t>
            </w:r>
          </w:p>
        </w:tc>
      </w:tr>
      <w:tr w14:paraId="3F363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61A222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Monthly Income</w:t>
            </w:r>
          </w:p>
        </w:tc>
        <w:tc>
          <w:tcPr>
            <w:tcW w:w="1959" w:type="dxa"/>
          </w:tcPr>
          <w:p w14:paraId="1ABE0BB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Mann-Whitney U</w:t>
            </w:r>
          </w:p>
        </w:tc>
        <w:tc>
          <w:tcPr>
            <w:tcW w:w="1041" w:type="dxa"/>
          </w:tcPr>
          <w:p w14:paraId="71ADE90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3D9E38F9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62A0A120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Income level significantly impacts default probability.</w:t>
            </w:r>
          </w:p>
        </w:tc>
      </w:tr>
      <w:tr w14:paraId="3141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982A30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90+ Days Late</w:t>
            </w:r>
          </w:p>
        </w:tc>
        <w:tc>
          <w:tcPr>
            <w:tcW w:w="1959" w:type="dxa"/>
          </w:tcPr>
          <w:p w14:paraId="3C36D4F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Chi-squre</w:t>
            </w:r>
          </w:p>
        </w:tc>
        <w:tc>
          <w:tcPr>
            <w:tcW w:w="1041" w:type="dxa"/>
          </w:tcPr>
          <w:p w14:paraId="59B1053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0DA7944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443BF6BF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Past behavior is strongly linked to future distress.</w:t>
            </w:r>
          </w:p>
        </w:tc>
      </w:tr>
    </w:tbl>
    <w:p w14:paraId="55708C6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6C4927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Based on the above test, we concluded:</w:t>
      </w:r>
    </w:p>
    <w:p w14:paraId="69DEB7E5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Variable Inclusion: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All three tested variables (Age, Income, and Past Due counts) have passed the significance threshold and must be included in the final AI model.</w:t>
      </w:r>
    </w:p>
    <w:p w14:paraId="6FDE6F43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Threshold Setting: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Bank can now confidently set lower credit limits for younger borrowers or those with a history of minor lateness, as these are now mathematically verified risk groups.</w:t>
      </w:r>
    </w:p>
    <w:p w14:paraId="77D908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2668624">
      <w:pPr>
        <w:numPr>
          <w:ilvl w:val="0"/>
          <w:numId w:val="9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CONCLUSION AND GENERAL RECOMMENDATION</w:t>
      </w:r>
    </w:p>
    <w:p w14:paraId="6CA0E1F9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Feature Priority: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scoring model must prioritize NumberOfTimes90DaysLate and the cleaned DebtRatio as the most significant inputs.</w:t>
      </w:r>
    </w:p>
    <w:p w14:paraId="6B089BEE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Risk Segmentation: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Borrowers with high RevolvingUtilization should be flagged for lower credit limits, even if their current income is high.</w:t>
      </w:r>
    </w:p>
    <w:p w14:paraId="76643122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Policy: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Bank should implement stricter validation for MonthlyIncome at the point of application to reduce the high volume of null or "zero" entries.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5AA7B"/>
    <w:multiLevelType w:val="singleLevel"/>
    <w:tmpl w:val="98F5AA7B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45473F1"/>
    <w:multiLevelType w:val="singleLevel"/>
    <w:tmpl w:val="B45473F1"/>
    <w:lvl w:ilvl="0" w:tentative="0">
      <w:start w:val="1"/>
      <w:numFmt w:val="upperLetter"/>
      <w:suff w:val="space"/>
      <w:lvlText w:val="%1."/>
      <w:lvlJc w:val="left"/>
      <w:pPr>
        <w:ind w:left="420"/>
      </w:pPr>
      <w:rPr>
        <w:rFonts w:hint="default"/>
        <w:b/>
        <w:bCs/>
      </w:rPr>
    </w:lvl>
  </w:abstractNum>
  <w:abstractNum w:abstractNumId="2">
    <w:nsid w:val="C3299BA0"/>
    <w:multiLevelType w:val="multilevel"/>
    <w:tmpl w:val="C3299BA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D215F273"/>
    <w:multiLevelType w:val="singleLevel"/>
    <w:tmpl w:val="D215F273"/>
    <w:lvl w:ilvl="0" w:tentative="0">
      <w:start w:val="7"/>
      <w:numFmt w:val="decimal"/>
      <w:suff w:val="space"/>
      <w:lvlText w:val="%1."/>
      <w:lvlJc w:val="left"/>
    </w:lvl>
  </w:abstractNum>
  <w:abstractNum w:abstractNumId="4">
    <w:nsid w:val="D6E08A03"/>
    <w:multiLevelType w:val="singleLevel"/>
    <w:tmpl w:val="D6E08A0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</w:rPr>
    </w:lvl>
  </w:abstractNum>
  <w:abstractNum w:abstractNumId="5">
    <w:nsid w:val="EA38E7A4"/>
    <w:multiLevelType w:val="singleLevel"/>
    <w:tmpl w:val="EA38E7A4"/>
    <w:lvl w:ilvl="0" w:tentative="0">
      <w:start w:val="6"/>
      <w:numFmt w:val="decimal"/>
      <w:suff w:val="space"/>
      <w:lvlText w:val="%1."/>
      <w:lvlJc w:val="left"/>
    </w:lvl>
  </w:abstractNum>
  <w:abstractNum w:abstractNumId="6">
    <w:nsid w:val="F612CCC3"/>
    <w:multiLevelType w:val="singleLevel"/>
    <w:tmpl w:val="F612CCC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A9F6AC9"/>
    <w:multiLevelType w:val="singleLevel"/>
    <w:tmpl w:val="3A9F6AC9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3DDA14BC"/>
    <w:multiLevelType w:val="singleLevel"/>
    <w:tmpl w:val="3DDA14BC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DDC49A2"/>
    <w:multiLevelType w:val="singleLevel"/>
    <w:tmpl w:val="7DDC49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2"/>
  </w:num>
  <w:num w:numId="5">
    <w:abstractNumId w:val="9"/>
  </w:num>
  <w:num w:numId="6">
    <w:abstractNumId w:val="5"/>
  </w:num>
  <w:num w:numId="7">
    <w:abstractNumId w:val="0"/>
  </w:num>
  <w:num w:numId="8">
    <w:abstractNumId w:val="6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C21D1E"/>
    <w:rsid w:val="043851F9"/>
    <w:rsid w:val="04BC3145"/>
    <w:rsid w:val="0F3C60C0"/>
    <w:rsid w:val="18CD60AD"/>
    <w:rsid w:val="1DFB5625"/>
    <w:rsid w:val="1EAC1948"/>
    <w:rsid w:val="20037A73"/>
    <w:rsid w:val="23C849C9"/>
    <w:rsid w:val="2D8E5C2E"/>
    <w:rsid w:val="37C9746A"/>
    <w:rsid w:val="3E924D0F"/>
    <w:rsid w:val="3F9A0FE5"/>
    <w:rsid w:val="4494739B"/>
    <w:rsid w:val="47256C68"/>
    <w:rsid w:val="477162E6"/>
    <w:rsid w:val="5807105F"/>
    <w:rsid w:val="5D25357E"/>
    <w:rsid w:val="5E5879D5"/>
    <w:rsid w:val="642B5B58"/>
    <w:rsid w:val="67A7735B"/>
    <w:rsid w:val="68A128B9"/>
    <w:rsid w:val="6C37119B"/>
    <w:rsid w:val="6CFE56E1"/>
    <w:rsid w:val="7A4B39AC"/>
    <w:rsid w:val="7B9945BC"/>
    <w:rsid w:val="7DC2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1076</Words>
  <Characters>6255</Characters>
  <Lines>0</Lines>
  <Paragraphs>0</Paragraphs>
  <TotalTime>15</TotalTime>
  <ScaleCrop>false</ScaleCrop>
  <LinksUpToDate>false</LinksUpToDate>
  <CharactersWithSpaces>7245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2026-04-18T07:22:00Z</dcterms:created>
  <dc:creator>hp</dc:creator>
  <cp:lastModifiedBy>tsion moges</cp:lastModifiedBy>
  <dcterms:modified xsi:type="dcterms:W3CDTF">2026-04-24T06:35:30Z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9F578838314F4502B879CEB1F2E0EE23_11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