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C9900"/>
          <w:sz w:val="28"/>
        </w:rPr>
        <w:t>AHADU BANK S.C.</w:t>
      </w:r>
    </w:p>
    <w:p>
      <w:pPr>
        <w:pStyle w:val="MainHeading"/>
      </w:pPr>
      <w:r>
        <w:t>PROJECT ACTION PLAN</w:t>
      </w:r>
    </w:p>
    <w:p>
      <w:pPr>
        <w:pStyle w:val="SubHeading"/>
      </w:pPr>
      <w:r>
        <w:t>Implementation of Integrated Risk Management System</w:t>
        <w:br/>
        <w:t>(ahadu_risk_register Module)</w:t>
      </w:r>
    </w:p>
    <w:p>
      <w:r>
        <w:br/>
        <w:br/>
        <w:br/>
        <w:br/>
        <w:br/>
        <w:br/>
        <w:br/>
        <w:br/>
        <w:br/>
        <w:br/>
        <w:br/>
        <w:br/>
        <w:br/>
        <w:br/>
        <w:br/>
        <w:br/>
      </w:r>
    </w:p>
    <w:p>
      <w:pPr>
        <w:jc w:val="center"/>
      </w:pPr>
      <w:r>
        <w:rPr>
          <w:b/>
        </w:rPr>
        <w:t xml:space="preserve">Document Version: </w:t>
      </w:r>
      <w:r>
        <w:t>1.0 (Final Draft for Approval)</w:t>
        <w:br/>
      </w:r>
      <w:r>
        <w:rPr>
          <w:b/>
        </w:rPr>
        <w:t xml:space="preserve">Date of Issue: </w:t>
      </w:r>
      <w:r>
        <w:t>June 26, 2026</w:t>
        <w:br/>
      </w:r>
      <w:r>
        <w:rPr>
          <w:b/>
        </w:rPr>
        <w:t xml:space="preserve">Prepared By: </w:t>
      </w:r>
      <w:r>
        <w:t>Ahadu Bank ERP Implementation Project Team &amp; DevTeam</w:t>
        <w:br/>
      </w:r>
      <w:r>
        <w:rPr>
          <w:b/>
        </w:rPr>
        <w:t xml:space="preserve">Target Department: </w:t>
      </w:r>
      <w:r>
        <w:t>Risk &amp; Compliance Management Department (RCMD)</w:t>
        <w:br/>
      </w:r>
      <w:r>
        <w:rPr>
          <w:b/>
        </w:rPr>
        <w:t xml:space="preserve">Classification: </w:t>
      </w:r>
      <w:r>
        <w:t>Confidential - Internal Commercial Use Only</w:t>
      </w:r>
    </w:p>
    <w:p>
      <w:r>
        <w:br w:type="page"/>
      </w:r>
    </w:p>
    <w:p>
      <w:pPr>
        <w:pStyle w:val="Heading1"/>
      </w:pPr>
      <w:r>
        <w:t>Document Control &amp; Revision History</w:t>
      </w:r>
    </w:p>
    <w:p>
      <w:r>
        <w:t>This document outlines the end-to-end tactical Action Plan for deploying the custom ahadu_risk_register ERP module across Ahadu Bank S.C. Head Office and branches. It is a living document and shall be updated to reflect the project's progress and changes.</w:t>
      </w:r>
    </w:p>
    <w:p>
      <w:pPr>
        <w:pStyle w:val="Heading2"/>
      </w:pPr>
      <w:r>
        <w:t>Document Revision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Changes</w:t>
            </w:r>
          </w:p>
        </w:tc>
        <w:tc>
          <w:tcPr>
            <w:tcW w:type="dxa" w:w="2160"/>
          </w:tcPr>
          <w:p>
            <w:r>
              <w:t>Author / Approved By</w:t>
            </w:r>
          </w:p>
        </w:tc>
      </w:tr>
      <w:tr>
        <w:tc>
          <w:tcPr>
            <w:tcW w:type="dxa" w:w="2160"/>
          </w:tcPr>
          <w:p>
            <w:r>
              <w:t>1.0</w:t>
            </w:r>
          </w:p>
        </w:tc>
        <w:tc>
          <w:tcPr>
            <w:tcW w:type="dxa" w:w="2160"/>
          </w:tcPr>
          <w:p>
            <w:r>
              <w:t>June 26, 2026</w:t>
            </w:r>
          </w:p>
        </w:tc>
        <w:tc>
          <w:tcPr>
            <w:tcW w:type="dxa" w:w="2160"/>
          </w:tcPr>
          <w:p>
            <w:r>
              <w:t>Final Action Plan incorporating end-to-end risk workflows and RCMD controls.</w:t>
            </w:r>
          </w:p>
        </w:tc>
        <w:tc>
          <w:tcPr>
            <w:tcW w:type="dxa" w:w="2160"/>
          </w:tcPr>
          <w:p>
            <w:r>
              <w:t>DevTeam / Steering Committee</w:t>
            </w:r>
          </w:p>
        </w:tc>
      </w:tr>
    </w:tbl>
    <w:p>
      <w:pPr>
        <w:pStyle w:val="Heading1"/>
      </w:pPr>
      <w:r>
        <w:t>Table of Contents</w:t>
      </w:r>
    </w:p>
    <w:p>
      <w:r>
        <w:t>1. Executive Summary &amp; Strategic Context</w:t>
      </w:r>
    </w:p>
    <w:p>
      <w:r>
        <w:t>2. System Architecture &amp; Integrated Scope</w:t>
      </w:r>
    </w:p>
    <w:p>
      <w:r>
        <w:t>3. Implementation Methodology &amp; Phase-by-Phase Timeline</w:t>
      </w:r>
    </w:p>
    <w:p>
      <w:r>
        <w:t xml:space="preserve">   3.1 Phase 1: Environment Setup &amp; Initial Baseline</w:t>
      </w:r>
    </w:p>
    <w:p>
      <w:r>
        <w:t xml:space="preserve">   3.2 Phase 2: Master Data Preparation &amp; Clean-up</w:t>
      </w:r>
    </w:p>
    <w:p>
      <w:r>
        <w:t xml:space="preserve">   3.3 Phase 3: Module Configuration &amp; Customization</w:t>
      </w:r>
    </w:p>
    <w:p>
      <w:r>
        <w:t xml:space="preserve">   3.4 Phase 4: Integration with Core Systems</w:t>
      </w:r>
    </w:p>
    <w:p>
      <w:r>
        <w:t xml:space="preserve">   3.5 Phase 5: Comprehensive UAT &amp; Quality Assurance</w:t>
      </w:r>
    </w:p>
    <w:p>
      <w:r>
        <w:t xml:space="preserve">   3.6 Phase 6: User Training &amp; Change Management</w:t>
      </w:r>
    </w:p>
    <w:p>
      <w:r>
        <w:t xml:space="preserve">   3.7 Phase 7: Cutover, Go-Live &amp; Post-Implementation Hypercare</w:t>
      </w:r>
    </w:p>
    <w:p>
      <w:r>
        <w:t>4. Project Governance, Roles &amp; Responsibilities (RACI Matrix)</w:t>
      </w:r>
    </w:p>
    <w:p>
      <w:r>
        <w:t>5. Data Migration Strategy &amp; Data Objects Mapping</w:t>
      </w:r>
    </w:p>
    <w:p>
      <w:r>
        <w:t>6. Change Management, Training &amp; Communication Plan</w:t>
      </w:r>
    </w:p>
    <w:p>
      <w:r>
        <w:t>7. Risk Assessment &amp; Mitigation Matrix</w:t>
      </w:r>
    </w:p>
    <w:p>
      <w:r>
        <w:t>8. Key Performance Indicators (KPIs) &amp; Quality Gates</w:t>
      </w:r>
    </w:p>
    <w:p>
      <w:r>
        <w:t>9. Project Sign-off &amp; Authorizations</w:t>
      </w:r>
    </w:p>
    <w:p>
      <w:r>
        <w:br w:type="page"/>
      </w:r>
    </w:p>
    <w:p>
      <w:pPr>
        <w:pStyle w:val="Heading1"/>
      </w:pPr>
      <w:r>
        <w:t>1. Executive Summary &amp; Strategic Context</w:t>
      </w:r>
    </w:p>
    <w:p>
      <w:r>
        <w:t>Ahadu Bank S.C. is committed to managing and mitigating organizational risks efficiently across its rapidly expanding operations in Ethiopia. To sustain this growth while ensuring absolute operational discipline and regulatory compliance, the Bank has custom-developed the Ahadu Risk Register System (ahadu_risk_register module). This integrated ERP system replaces fragmented, paper-based, and offline workflows with a unified, auditable, and automated application covering risk registration, mitigation, and reporting.</w:t>
      </w:r>
    </w:p>
    <w:p>
      <w:r>
        <w:t>The primary goal of this Action Plan is to define the exact deployment steps, ownerships, timelines, and mitigation strategies required to successfully transition Ahadu Bank to the new Odoo 18 environment. The project targets the digitalization of operational roles, integrated models, and the management of all active risks across branches and departments.</w:t>
      </w:r>
    </w:p>
    <w:p>
      <w:r>
        <w:rPr>
          <w:b/>
          <w:color w:val="C00000"/>
        </w:rPr>
        <w:t xml:space="preserve">[CRITICAL REGULATORY COMPLIANCE] </w:t>
      </w:r>
      <w:r>
        <w:t>This Action Plan is designed to meet strict regulatory and security compliance. A maker-checker principle is natively hardcoded across all risk records (Registration, Mitigations, Reviews). Internal Audit and RCMD act as mandatory validation gates before any risk is closed.</w:t>
      </w:r>
    </w:p>
    <w:p>
      <w:pPr>
        <w:pStyle w:val="Heading1"/>
      </w:pPr>
      <w:r>
        <w:t>2. System Architecture &amp; Integrated Scope</w:t>
      </w:r>
    </w:p>
    <w:p>
      <w:r>
        <w:t>The system is organized into major sub-systems, working in a continuous feedback loop: Risk Identification, Assessment, Mitigation Planning, and Monitoring &amp; Reporting. The diagram below outlines the logical end-to-end integration flow:</w:t>
      </w:r>
    </w:p>
    <w:p>
      <w:r>
        <w:t>1. Risk Guideline Setup -&gt; RCMD defines probability and impact matrices with calculated ratings.</w:t>
      </w:r>
    </w:p>
    <w:p>
      <w:r>
        <w:t>2. Risk Registration (Maker) -&gt; Submitted by Risk Owner (Maker) per department or branch.</w:t>
      </w:r>
    </w:p>
    <w:p>
      <w:r>
        <w:t>3. Risk Assessment -&gt; Automated calculation of Risk Rating based on probability and impact parameters.</w:t>
      </w:r>
    </w:p>
    <w:p>
      <w:r>
        <w:t>4. Approval (Checker) -&gt; Direct Manager or Branch Manager reviews and approves.</w:t>
      </w:r>
    </w:p>
    <w:p>
      <w:r>
        <w:t>5. RCMD Review -&gt; Final validation by Risk and Compliance Management Department.</w:t>
      </w:r>
    </w:p>
    <w:p>
      <w:r>
        <w:t>6. Mitigation Planning -&gt; Mitigation strategies are logged and assigned to Mitigation Owners.</w:t>
      </w:r>
    </w:p>
    <w:p>
      <w:r>
        <w:t>7. Monitoring &amp; Escalation -&gt; Automated cron jobs notify makers and checkers of overdue mitigations.</w:t>
      </w:r>
    </w:p>
    <w:p>
      <w:pPr>
        <w:pStyle w:val="Heading2"/>
      </w:pPr>
      <w:r>
        <w:t>Module Implementation Scope</w:t>
      </w:r>
    </w:p>
    <w:tbl>
      <w:tblPr>
        <w:tblStyle w:val="TableGrid"/>
        <w:tblW w:type="auto" w:w="0"/>
        <w:tblLook w:firstColumn="1" w:firstRow="1" w:lastColumn="0" w:lastRow="0" w:noHBand="0" w:noVBand="1" w:val="04A0"/>
      </w:tblPr>
      <w:tblGrid>
        <w:gridCol w:w="2880"/>
        <w:gridCol w:w="2880"/>
        <w:gridCol w:w="2880"/>
      </w:tblGrid>
      <w:tr>
        <w:tc>
          <w:tcPr>
            <w:tcW w:type="dxa" w:w="2880"/>
          </w:tcPr>
          <w:p>
            <w:r>
              <w:t>Sub-System</w:t>
            </w:r>
          </w:p>
        </w:tc>
        <w:tc>
          <w:tcPr>
            <w:tcW w:type="dxa" w:w="2880"/>
          </w:tcPr>
          <w:p>
            <w:r>
              <w:t>Core Functions &amp; Hardcoded Logic</w:t>
            </w:r>
          </w:p>
        </w:tc>
        <w:tc>
          <w:tcPr>
            <w:tcW w:type="dxa" w:w="2880"/>
          </w:tcPr>
          <w:p>
            <w:r>
              <w:t>Target Users</w:t>
            </w:r>
          </w:p>
        </w:tc>
      </w:tr>
      <w:tr>
        <w:tc>
          <w:tcPr>
            <w:tcW w:type="dxa" w:w="2880"/>
          </w:tcPr>
          <w:p>
            <w:r>
              <w:t>Risk Guideline Setup</w:t>
            </w:r>
          </w:p>
        </w:tc>
        <w:tc>
          <w:tcPr>
            <w:tcW w:type="dxa" w:w="2880"/>
          </w:tcPr>
          <w:p>
            <w:r>
              <w:t>Probability/Impact matrices, threshold configuration.</w:t>
            </w:r>
          </w:p>
        </w:tc>
        <w:tc>
          <w:tcPr>
            <w:tcW w:type="dxa" w:w="2880"/>
          </w:tcPr>
          <w:p>
            <w:r>
              <w:t>RCMD Administrators</w:t>
            </w:r>
          </w:p>
        </w:tc>
      </w:tr>
      <w:tr>
        <w:tc>
          <w:tcPr>
            <w:tcW w:type="dxa" w:w="2880"/>
          </w:tcPr>
          <w:p>
            <w:r>
              <w:t>Risk Registration</w:t>
            </w:r>
          </w:p>
        </w:tc>
        <w:tc>
          <w:tcPr>
            <w:tcW w:type="dxa" w:w="2880"/>
          </w:tcPr>
          <w:p>
            <w:r>
              <w:t>Maker-checker workflows, branch-specific visibility.</w:t>
            </w:r>
          </w:p>
        </w:tc>
        <w:tc>
          <w:tcPr>
            <w:tcW w:type="dxa" w:w="2880"/>
          </w:tcPr>
          <w:p>
            <w:r>
              <w:t>Risk Owners (Makers), Branch Managers</w:t>
            </w:r>
          </w:p>
        </w:tc>
      </w:tr>
      <w:tr>
        <w:tc>
          <w:tcPr>
            <w:tcW w:type="dxa" w:w="2880"/>
          </w:tcPr>
          <w:p>
            <w:r>
              <w:t>Mitigation Planning</w:t>
            </w:r>
          </w:p>
        </w:tc>
        <w:tc>
          <w:tcPr>
            <w:tcW w:type="dxa" w:w="2880"/>
          </w:tcPr>
          <w:p>
            <w:r>
              <w:t>Task assignment, status tracking, automated reminders.</w:t>
            </w:r>
          </w:p>
        </w:tc>
        <w:tc>
          <w:tcPr>
            <w:tcW w:type="dxa" w:w="2880"/>
          </w:tcPr>
          <w:p>
            <w:r>
              <w:t>Mitigation Owners, Managers</w:t>
            </w:r>
          </w:p>
        </w:tc>
      </w:tr>
    </w:tbl>
    <w:p>
      <w:pPr>
        <w:pStyle w:val="Heading1"/>
      </w:pPr>
      <w:r>
        <w:t>3. Implementation Methodology &amp; Timeline</w:t>
      </w:r>
    </w:p>
    <w:p>
      <w:r>
        <w:t>Ahadu Bank S.C. will follow a Structured Agile Implementation Methodology. The deployment is split into seven distinct phases, spanning June 18 - July 03, 2026. Below is the high-level roadmap and the detailed weekly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Timeline</w:t>
            </w:r>
          </w:p>
        </w:tc>
        <w:tc>
          <w:tcPr>
            <w:tcW w:type="dxa" w:w="2160"/>
          </w:tcPr>
          <w:p>
            <w:r>
              <w:t>Key Deliverables</w:t>
            </w:r>
          </w:p>
        </w:tc>
        <w:tc>
          <w:tcPr>
            <w:tcW w:type="dxa" w:w="2160"/>
          </w:tcPr>
          <w:p>
            <w:r>
              <w:t>Status</w:t>
            </w:r>
          </w:p>
        </w:tc>
      </w:tr>
      <w:tr>
        <w:tc>
          <w:tcPr>
            <w:tcW w:type="dxa" w:w="2160"/>
          </w:tcPr>
          <w:p>
            <w:r>
              <w:t>Phase 1: Environment &amp; Setup</w:t>
            </w:r>
          </w:p>
        </w:tc>
        <w:tc>
          <w:tcPr>
            <w:tcW w:type="dxa" w:w="2160"/>
          </w:tcPr>
          <w:p>
            <w:r>
              <w:t>June 18 - 19</w:t>
            </w:r>
          </w:p>
        </w:tc>
        <w:tc>
          <w:tcPr>
            <w:tcW w:type="dxa" w:w="2160"/>
          </w:tcPr>
          <w:p>
            <w:r>
              <w:t>Odoo 18 Custom module install, DB staging, User credentials creation</w:t>
            </w:r>
          </w:p>
        </w:tc>
        <w:tc>
          <w:tcPr>
            <w:tcW w:type="dxa" w:w="2160"/>
          </w:tcPr>
          <w:p>
            <w:r>
              <w:t>Completed</w:t>
            </w:r>
          </w:p>
        </w:tc>
      </w:tr>
      <w:tr>
        <w:tc>
          <w:tcPr>
            <w:tcW w:type="dxa" w:w="2160"/>
          </w:tcPr>
          <w:p>
            <w:r>
              <w:t>Phase 2: Master Data Migration</w:t>
            </w:r>
          </w:p>
        </w:tc>
        <w:tc>
          <w:tcPr>
            <w:tcW w:type="dxa" w:w="2160"/>
          </w:tcPr>
          <w:p>
            <w:r>
              <w:t>June 20 - 21</w:t>
            </w:r>
          </w:p>
        </w:tc>
        <w:tc>
          <w:tcPr>
            <w:tcW w:type="dxa" w:w="2160"/>
          </w:tcPr>
          <w:p>
            <w:r>
              <w:t>Cleaned risk registry, guidelines data loaded</w:t>
            </w:r>
          </w:p>
        </w:tc>
        <w:tc>
          <w:tcPr>
            <w:tcW w:type="dxa" w:w="2160"/>
          </w:tcPr>
          <w:p>
            <w:r>
              <w:t>Completed</w:t>
            </w:r>
          </w:p>
        </w:tc>
      </w:tr>
      <w:tr>
        <w:tc>
          <w:tcPr>
            <w:tcW w:type="dxa" w:w="2160"/>
          </w:tcPr>
          <w:p>
            <w:r>
              <w:t>Phase 3: Module Configuration</w:t>
            </w:r>
          </w:p>
        </w:tc>
        <w:tc>
          <w:tcPr>
            <w:tcW w:type="dxa" w:w="2160"/>
          </w:tcPr>
          <w:p>
            <w:r>
              <w:t>June 22 - 24</w:t>
            </w:r>
          </w:p>
        </w:tc>
        <w:tc>
          <w:tcPr>
            <w:tcW w:type="dxa" w:w="2160"/>
          </w:tcPr>
          <w:p>
            <w:r>
              <w:t>Approval hierarchies, matrices, security groups verified</w:t>
            </w:r>
          </w:p>
        </w:tc>
        <w:tc>
          <w:tcPr>
            <w:tcW w:type="dxa" w:w="2160"/>
          </w:tcPr>
          <w:p>
            <w:r>
              <w:t>In Progress</w:t>
            </w:r>
          </w:p>
        </w:tc>
      </w:tr>
      <w:tr>
        <w:tc>
          <w:tcPr>
            <w:tcW w:type="dxa" w:w="2160"/>
          </w:tcPr>
          <w:p>
            <w:r>
              <w:t>Phase 4: Integrations</w:t>
            </w:r>
          </w:p>
        </w:tc>
        <w:tc>
          <w:tcPr>
            <w:tcW w:type="dxa" w:w="2160"/>
          </w:tcPr>
          <w:p>
            <w:r>
              <w:t>June 25</w:t>
            </w:r>
          </w:p>
        </w:tc>
        <w:tc>
          <w:tcPr>
            <w:tcW w:type="dxa" w:w="2160"/>
          </w:tcPr>
          <w:p>
            <w:r>
              <w:t>Employee/HR linking verified</w:t>
            </w:r>
          </w:p>
        </w:tc>
        <w:tc>
          <w:tcPr>
            <w:tcW w:type="dxa" w:w="2160"/>
          </w:tcPr>
          <w:p>
            <w:r>
              <w:t>In Progress</w:t>
            </w:r>
          </w:p>
        </w:tc>
      </w:tr>
      <w:tr>
        <w:tc>
          <w:tcPr>
            <w:tcW w:type="dxa" w:w="2160"/>
          </w:tcPr>
          <w:p>
            <w:r>
              <w:t>Phase 5: UAT &amp; Validation</w:t>
            </w:r>
          </w:p>
        </w:tc>
        <w:tc>
          <w:tcPr>
            <w:tcW w:type="dxa" w:w="2160"/>
          </w:tcPr>
          <w:p>
            <w:r>
              <w:t>June 26 - 28</w:t>
            </w:r>
          </w:p>
        </w:tc>
        <w:tc>
          <w:tcPr>
            <w:tcW w:type="dxa" w:w="2160"/>
          </w:tcPr>
          <w:p>
            <w:r>
              <w:t>Golden path test executed, signed UAT sheets, bug fixes</w:t>
            </w:r>
          </w:p>
        </w:tc>
        <w:tc>
          <w:tcPr>
            <w:tcW w:type="dxa" w:w="2160"/>
          </w:tcPr>
          <w:p>
            <w:r>
              <w:t>Pending</w:t>
            </w:r>
          </w:p>
        </w:tc>
      </w:tr>
      <w:tr>
        <w:tc>
          <w:tcPr>
            <w:tcW w:type="dxa" w:w="2160"/>
          </w:tcPr>
          <w:p>
            <w:r>
              <w:t>Phase 6: User Training &amp; Change</w:t>
            </w:r>
          </w:p>
        </w:tc>
        <w:tc>
          <w:tcPr>
            <w:tcW w:type="dxa" w:w="2160"/>
          </w:tcPr>
          <w:p>
            <w:r>
              <w:t>June 29 - July 01</w:t>
            </w:r>
          </w:p>
        </w:tc>
        <w:tc>
          <w:tcPr>
            <w:tcW w:type="dxa" w:w="2160"/>
          </w:tcPr>
          <w:p>
            <w:r>
              <w:t>Role-based training, system manuals printed, certificates issued</w:t>
            </w:r>
          </w:p>
        </w:tc>
        <w:tc>
          <w:tcPr>
            <w:tcW w:type="dxa" w:w="2160"/>
          </w:tcPr>
          <w:p>
            <w:r>
              <w:t>Pending</w:t>
            </w:r>
          </w:p>
        </w:tc>
      </w:tr>
      <w:tr>
        <w:tc>
          <w:tcPr>
            <w:tcW w:type="dxa" w:w="2160"/>
          </w:tcPr>
          <w:p>
            <w:r>
              <w:t>Phase 7: Go-Live &amp; Hypercare</w:t>
            </w:r>
          </w:p>
        </w:tc>
        <w:tc>
          <w:tcPr>
            <w:tcW w:type="dxa" w:w="2160"/>
          </w:tcPr>
          <w:p>
            <w:r>
              <w:t>July 02 - 03</w:t>
            </w:r>
          </w:p>
        </w:tc>
        <w:tc>
          <w:tcPr>
            <w:tcW w:type="dxa" w:w="2160"/>
          </w:tcPr>
          <w:p>
            <w:r>
              <w:t>Cutover checklist, production migration, hypercare support</w:t>
            </w:r>
          </w:p>
        </w:tc>
        <w:tc>
          <w:tcPr>
            <w:tcW w:type="dxa" w:w="2160"/>
          </w:tcPr>
          <w:p>
            <w:r>
              <w:t>Pending</w:t>
            </w:r>
          </w:p>
        </w:tc>
      </w:tr>
    </w:tbl>
    <w:p>
      <w:pPr>
        <w:pStyle w:val="Heading2"/>
      </w:pPr>
      <w:r>
        <w:t>3.1 Phase 1: Environment Setup &amp; Initial Baseline</w:t>
      </w:r>
    </w:p>
    <w:p>
      <w:r>
        <w:t>- Configure Odoo 18 backend servers and link the staging database.</w:t>
        <w:br/>
        <w:t>- Deploy custom code and views including interactive dashboards.</w:t>
        <w:br/>
        <w:t>- Initialize user security profiles and link each Odoo user record directly to its corresponding HR employee file.</w:t>
      </w:r>
    </w:p>
    <w:p>
      <w:pPr>
        <w:pStyle w:val="Heading2"/>
      </w:pPr>
      <w:r>
        <w:t>3.2 Phase 2: Master Data Preparation &amp; Clean-up</w:t>
      </w:r>
    </w:p>
    <w:p>
      <w:r>
        <w:t>- Audit and cleanse legacy risk spreadsheets.</w:t>
        <w:br/>
        <w:t>- Format data into Odoo-compliant CSV/Excel templates.</w:t>
      </w:r>
    </w:p>
    <w:p>
      <w:pPr>
        <w:pStyle w:val="Heading2"/>
      </w:pPr>
      <w:r>
        <w:t>3.3 Phase 3: Module Configuration &amp; Customization</w:t>
      </w:r>
    </w:p>
    <w:p>
      <w:r>
        <w:t>- Load default risk guidelines and matrices.</w:t>
        <w:br/>
        <w:t>- Maker-checker and validation rules: Establish hard system validation checks preventing the same user from acting as maker and checker.</w:t>
      </w:r>
    </w:p>
    <w:p>
      <w:pPr>
        <w:pStyle w:val="Heading2"/>
      </w:pPr>
      <w:r>
        <w:t>3.4 Phase 4: Integration with Core Systems</w:t>
      </w:r>
    </w:p>
    <w:p>
      <w:r>
        <w:t>- Map Odoo HR Employee hierarchies to user accounts for correct Manager/Checker assignments.</w:t>
        <w:br/>
        <w:t>- Test automated cron: Configure the daily batch run to notify users of overdue mitigations.</w:t>
      </w:r>
    </w:p>
    <w:p>
      <w:pPr>
        <w:pStyle w:val="Heading2"/>
      </w:pPr>
      <w:r>
        <w:t>3.5 Phase 5: Comprehensive UAT &amp; Quality Assurance</w:t>
      </w:r>
    </w:p>
    <w:p>
      <w:r>
        <w:t>- Execute End-to-End Golden Path: Validate the entire cycle: Risk Registration -&gt; Assessment -&gt; Approval -&gt; Mitigation -&gt; Closure.</w:t>
        <w:br/>
        <w:t>- Negative testing: Confirm that missing fields block approvals.</w:t>
        <w:br/>
        <w:t>- Sign-off sheets collection.</w:t>
      </w:r>
    </w:p>
    <w:p>
      <w:pPr>
        <w:pStyle w:val="Heading2"/>
      </w:pPr>
      <w:r>
        <w:t>3.6 Phase 6: User Training &amp; Change Management</w:t>
      </w:r>
    </w:p>
    <w:p>
      <w:r>
        <w:t>- Conduct classroom training: Run interactive training sessions tailored by role.</w:t>
        <w:br/>
        <w:t>- Publish training manuals.</w:t>
      </w:r>
    </w:p>
    <w:p>
      <w:pPr>
        <w:pStyle w:val="Heading2"/>
      </w:pPr>
      <w:r>
        <w:t>3.7 Phase 7: Cutover &amp; Go-Live Operations</w:t>
      </w:r>
    </w:p>
    <w:p>
      <w:r>
        <w:t>- Execute final data migration.</w:t>
        <w:br/>
        <w:t>- Post Go-Live support (Hypercare).</w:t>
      </w:r>
    </w:p>
    <w:p>
      <w:pPr>
        <w:pStyle w:val="Heading1"/>
      </w:pPr>
      <w:r>
        <w:t>4. Project Governance, Roles &amp; Responsibilities (RACI Matrix)</w:t>
      </w:r>
    </w:p>
    <w:p>
      <w:r>
        <w:t>To ensure accountability and transparency, roles are assigned using the RACI framework: Responsible (R), Accountable (A), Consulted (C), and Informed (I).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 Project Task</w:t>
            </w:r>
          </w:p>
        </w:tc>
        <w:tc>
          <w:tcPr>
            <w:tcW w:type="dxa" w:w="1440"/>
          </w:tcPr>
          <w:p>
            <w:r>
              <w:t>PM</w:t>
            </w:r>
          </w:p>
        </w:tc>
        <w:tc>
          <w:tcPr>
            <w:tcW w:type="dxa" w:w="1440"/>
          </w:tcPr>
          <w:p>
            <w:r>
              <w:t>RCMD</w:t>
            </w:r>
          </w:p>
        </w:tc>
        <w:tc>
          <w:tcPr>
            <w:tcW w:type="dxa" w:w="1440"/>
          </w:tcPr>
          <w:p>
            <w:r>
              <w:t>AUD</w:t>
            </w:r>
          </w:p>
        </w:tc>
        <w:tc>
          <w:tcPr>
            <w:tcW w:type="dxa" w:w="1440"/>
          </w:tcPr>
          <w:p>
            <w:r>
              <w:t>CEO</w:t>
            </w:r>
          </w:p>
        </w:tc>
        <w:tc>
          <w:tcPr>
            <w:tcW w:type="dxa" w:w="1440"/>
          </w:tcPr>
          <w:p>
            <w:r>
              <w:t>IT</w:t>
            </w:r>
          </w:p>
        </w:tc>
      </w:tr>
      <w:tr>
        <w:tc>
          <w:tcPr>
            <w:tcW w:type="dxa" w:w="1440"/>
          </w:tcPr>
          <w:p>
            <w:r>
              <w:t>Initial Module Install</w:t>
            </w:r>
          </w:p>
        </w:tc>
        <w:tc>
          <w:tcPr>
            <w:tcW w:type="dxa" w:w="1440"/>
          </w:tcPr>
          <w:p>
            <w:r>
              <w:t>A</w:t>
            </w:r>
          </w:p>
        </w:tc>
        <w:tc>
          <w:tcPr>
            <w:tcW w:type="dxa" w:w="1440"/>
          </w:tcPr>
          <w:p>
            <w:r>
              <w:t>C</w:t>
            </w:r>
          </w:p>
        </w:tc>
        <w:tc>
          <w:tcPr>
            <w:tcW w:type="dxa" w:w="1440"/>
          </w:tcPr>
          <w:p>
            <w:r>
              <w:t>I</w:t>
            </w:r>
          </w:p>
        </w:tc>
        <w:tc>
          <w:tcPr>
            <w:tcW w:type="dxa" w:w="1440"/>
          </w:tcPr>
          <w:p>
            <w:r>
              <w:t>I</w:t>
            </w:r>
          </w:p>
        </w:tc>
        <w:tc>
          <w:tcPr>
            <w:tcW w:type="dxa" w:w="1440"/>
          </w:tcPr>
          <w:p>
            <w:r>
              <w:t>R</w:t>
            </w:r>
          </w:p>
        </w:tc>
      </w:tr>
      <w:tr>
        <w:tc>
          <w:tcPr>
            <w:tcW w:type="dxa" w:w="1440"/>
          </w:tcPr>
          <w:p>
            <w:r>
              <w:t>Master Data Load</w:t>
            </w:r>
          </w:p>
        </w:tc>
        <w:tc>
          <w:tcPr>
            <w:tcW w:type="dxa" w:w="1440"/>
          </w:tcPr>
          <w:p>
            <w:r>
              <w:t>A</w:t>
            </w:r>
          </w:p>
        </w:tc>
        <w:tc>
          <w:tcPr>
            <w:tcW w:type="dxa" w:w="1440"/>
          </w:tcPr>
          <w:p>
            <w:r>
              <w:t>R</w:t>
            </w:r>
          </w:p>
        </w:tc>
        <w:tc>
          <w:tcPr>
            <w:tcW w:type="dxa" w:w="1440"/>
          </w:tcPr>
          <w:p>
            <w:r>
              <w:t>C</w:t>
            </w:r>
          </w:p>
        </w:tc>
        <w:tc>
          <w:tcPr>
            <w:tcW w:type="dxa" w:w="1440"/>
          </w:tcPr>
          <w:p>
            <w:r>
              <w:t>I</w:t>
            </w:r>
          </w:p>
        </w:tc>
        <w:tc>
          <w:tcPr>
            <w:tcW w:type="dxa" w:w="1440"/>
          </w:tcPr>
          <w:p>
            <w:r>
              <w:t>C</w:t>
            </w:r>
          </w:p>
        </w:tc>
      </w:tr>
      <w:tr>
        <w:tc>
          <w:tcPr>
            <w:tcW w:type="dxa" w:w="1440"/>
          </w:tcPr>
          <w:p>
            <w:r>
              <w:t>UAT Sign-off</w:t>
            </w:r>
          </w:p>
        </w:tc>
        <w:tc>
          <w:tcPr>
            <w:tcW w:type="dxa" w:w="1440"/>
          </w:tcPr>
          <w:p>
            <w:r>
              <w:t>R/A</w:t>
            </w:r>
          </w:p>
        </w:tc>
        <w:tc>
          <w:tcPr>
            <w:tcW w:type="dxa" w:w="1440"/>
          </w:tcPr>
          <w:p>
            <w:r>
              <w:t>R</w:t>
            </w:r>
          </w:p>
        </w:tc>
        <w:tc>
          <w:tcPr>
            <w:tcW w:type="dxa" w:w="1440"/>
          </w:tcPr>
          <w:p>
            <w:r>
              <w:t>C</w:t>
            </w:r>
          </w:p>
        </w:tc>
        <w:tc>
          <w:tcPr>
            <w:tcW w:type="dxa" w:w="1440"/>
          </w:tcPr>
          <w:p>
            <w:r>
              <w:t>I</w:t>
            </w:r>
          </w:p>
        </w:tc>
        <w:tc>
          <w:tcPr>
            <w:tcW w:type="dxa" w:w="1440"/>
          </w:tcPr>
          <w:p>
            <w:r>
              <w:t>I</w:t>
            </w:r>
          </w:p>
        </w:tc>
      </w:tr>
      <w:tr>
        <w:tc>
          <w:tcPr>
            <w:tcW w:type="dxa" w:w="1440"/>
          </w:tcPr>
          <w:p>
            <w:r>
              <w:t>Go-Live Execution</w:t>
            </w:r>
          </w:p>
        </w:tc>
        <w:tc>
          <w:tcPr>
            <w:tcW w:type="dxa" w:w="1440"/>
          </w:tcPr>
          <w:p>
            <w:r>
              <w:t>A</w:t>
            </w:r>
          </w:p>
        </w:tc>
        <w:tc>
          <w:tcPr>
            <w:tcW w:type="dxa" w:w="1440"/>
          </w:tcPr>
          <w:p>
            <w:r>
              <w:t>R</w:t>
            </w:r>
          </w:p>
        </w:tc>
        <w:tc>
          <w:tcPr>
            <w:tcW w:type="dxa" w:w="1440"/>
          </w:tcPr>
          <w:p>
            <w:r>
              <w:t>I</w:t>
            </w:r>
          </w:p>
        </w:tc>
        <w:tc>
          <w:tcPr>
            <w:tcW w:type="dxa" w:w="1440"/>
          </w:tcPr>
          <w:p>
            <w:r>
              <w:t>C</w:t>
            </w:r>
          </w:p>
        </w:tc>
        <w:tc>
          <w:tcPr>
            <w:tcW w:type="dxa" w:w="1440"/>
          </w:tcPr>
          <w:p>
            <w:r>
              <w:t>R</w:t>
            </w:r>
          </w:p>
        </w:tc>
      </w:tr>
    </w:tbl>
    <w:p>
      <w:pPr>
        <w:pStyle w:val="Heading1"/>
      </w:pPr>
      <w:r>
        <w:t>5. Data Migration Strategy &amp; Data Objects Mapping</w:t>
      </w:r>
    </w:p>
    <w:p>
      <w:r>
        <w:t>Ahadu Bank's historical risk records must be migrated systematically to prevent discrepancies. The migration process utilizes standard ETL pipelines.</w:t>
      </w:r>
    </w:p>
    <w:p>
      <w:r>
        <w:t>Step 1: Data Extraction &amp; Verification</w:t>
        <w:br/>
        <w:t>Step 2: Transformation &amp; Schema Mapping</w:t>
        <w:br/>
        <w:t>Step 3: Staged Loading &amp; Reconciliation</w:t>
      </w:r>
    </w:p>
    <w:p>
      <w:pPr>
        <w:pStyle w:val="Heading1"/>
      </w:pPr>
      <w:r>
        <w:t>6. Change Management, Training &amp; Communication Plan</w:t>
      </w:r>
    </w:p>
    <w:p>
      <w:r>
        <w:t>1. Executive Awareness &amp; Sponsors Alignment</w:t>
        <w:br/>
        <w:t>2. Role-Based User Training (The Makers &amp; Checkers)</w:t>
        <w:br/>
        <w:t>3. System Walkthrough Manual Publication</w:t>
        <w:br/>
        <w:t>4. Technical Handover for IT Support</w:t>
      </w:r>
    </w:p>
    <w:p>
      <w:pPr>
        <w:pStyle w:val="Heading1"/>
      </w:pPr>
      <w:r>
        <w:t>7. Risk Assessment &amp; Mitigation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Identified Risk</w:t>
            </w:r>
          </w:p>
        </w:tc>
        <w:tc>
          <w:tcPr>
            <w:tcW w:type="dxa" w:w="2880"/>
          </w:tcPr>
          <w:p>
            <w:r>
              <w:t>Severity</w:t>
            </w:r>
          </w:p>
        </w:tc>
        <w:tc>
          <w:tcPr>
            <w:tcW w:type="dxa" w:w="2880"/>
          </w:tcPr>
          <w:p>
            <w:r>
              <w:t>Mitigation Strategy</w:t>
            </w:r>
          </w:p>
        </w:tc>
      </w:tr>
      <w:tr>
        <w:tc>
          <w:tcPr>
            <w:tcW w:type="dxa" w:w="2880"/>
          </w:tcPr>
          <w:p>
            <w:r>
              <w:t>Legacy Data Inaccuracies</w:t>
            </w:r>
          </w:p>
        </w:tc>
        <w:tc>
          <w:tcPr>
            <w:tcW w:type="dxa" w:w="2880"/>
          </w:tcPr>
          <w:p>
            <w:r>
              <w:t>High</w:t>
            </w:r>
          </w:p>
        </w:tc>
        <w:tc>
          <w:tcPr>
            <w:tcW w:type="dxa" w:w="2880"/>
          </w:tcPr>
          <w:p>
            <w:r>
              <w:t>Enforce strict spreadsheet templates validation.</w:t>
            </w:r>
          </w:p>
        </w:tc>
      </w:tr>
      <w:tr>
        <w:tc>
          <w:tcPr>
            <w:tcW w:type="dxa" w:w="2880"/>
          </w:tcPr>
          <w:p>
            <w:r>
              <w:t>User Adoption Resistance</w:t>
            </w:r>
          </w:p>
        </w:tc>
        <w:tc>
          <w:tcPr>
            <w:tcW w:type="dxa" w:w="2880"/>
          </w:tcPr>
          <w:p>
            <w:r>
              <w:t>Medium</w:t>
            </w:r>
          </w:p>
        </w:tc>
        <w:tc>
          <w:tcPr>
            <w:tcW w:type="dxa" w:w="2880"/>
          </w:tcPr>
          <w:p>
            <w:r>
              <w:t>Enforce strict cutoff date. Disable legacy reporting.</w:t>
            </w:r>
          </w:p>
        </w:tc>
      </w:tr>
    </w:tbl>
    <w:p>
      <w:pPr>
        <w:pStyle w:val="Heading1"/>
      </w:pPr>
      <w:r>
        <w:t>8. Key Performance Indicators (KPIs) &amp; Quality Gates</w:t>
      </w:r>
    </w:p>
    <w:p>
      <w:r>
        <w:t>Gate 1: Environment Readiness: All custom Odoo 18 models compile successfully.</w:t>
        <w:br/>
        <w:t>Gate 2: Master Data Integrity: 100% of risk records match legacy balances.</w:t>
        <w:br/>
        <w:t>Gate 3: Integration Validation: HR API links verified.</w:t>
        <w:br/>
        <w:t>Gate 4: UAT &amp; QA: 100% pass rate on all UAT test manual scripts. Maker-checker blocks verified.</w:t>
        <w:br/>
        <w:t>Gate 5: User Certification: All target users pass the system competency assessment.</w:t>
      </w:r>
    </w:p>
    <w:p>
      <w:pPr>
        <w:pStyle w:val="Heading1"/>
      </w:pPr>
      <w:r>
        <w:t>9. Project Sign-off &amp; Authorizations</w:t>
      </w:r>
    </w:p>
    <w:p>
      <w:r>
        <w:t>By signing below, the key stakeholders approve this implementation Action Plan for the Ahadu Bank Integrated Risk Management System, authorizing the team to proceed with configuration and data migration.</w:t>
      </w:r>
    </w:p>
    <w:p>
      <w:r>
        <w:br/>
        <w:t>Prepared By:</w:t>
        <w:br/>
        <w:t>_______________________</w:t>
        <w:br/>
        <w:t>Project Manager</w:t>
        <w:br/>
        <w:t>ERP Implementation Team</w:t>
      </w:r>
    </w:p>
    <w:p>
      <w:r>
        <w:br/>
        <w:t>Reviewed By:</w:t>
        <w:br/>
        <w:t>_______________________</w:t>
        <w:br/>
        <w:t>Director</w:t>
        <w:br/>
        <w:t>RCMD</w:t>
      </w:r>
    </w:p>
    <w:p>
      <w:r>
        <w:br/>
        <w:t>Approved By:</w:t>
        <w:br/>
        <w:t>_______________________</w:t>
        <w:br/>
        <w:t>Chief Executive Officer (CEO)</w:t>
        <w:br/>
        <w:t>Ahadu Bank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Heading">
    <w:name w:val="MainHeading"/>
    <w:pPr>
      <w:jc w:val="center"/>
    </w:pPr>
    <w:rPr>
      <w:b/>
      <w:color w:val="003366"/>
      <w:sz w:val="48"/>
    </w:rPr>
  </w:style>
  <w:style w:type="paragraph" w:customStyle="1" w:styleId="SubHeading">
    <w:name w:val="SubHeading"/>
    <w:pPr>
      <w:jc w:val="center"/>
    </w:pPr>
    <w:rPr>
      <w:i/>
      <w:color w:val="59595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