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left"/>
      </w:pPr>
      <w:r>
        <w:rPr>
          <w:rFonts w:ascii="Times New Roman" w:hAnsi="Times New Roman"/>
          <w:sz w:val="24"/>
        </w:rPr>
        <w:t>BAB I</w:t>
      </w:r>
    </w:p>
    <w:p>
      <w:pPr>
        <w:pStyle w:val="Heading2"/>
        <w:jc w:val="left"/>
      </w:pPr>
      <w:r>
        <w:rPr>
          <w:rFonts w:ascii="Times New Roman" w:hAnsi="Times New Roman"/>
          <w:sz w:val="24"/>
        </w:rPr>
        <w:t>PENDAHULUAN</w:t>
      </w:r>
    </w:p>
    <w:p>
      <w:pPr>
        <w:pStyle w:val="Heading2"/>
        <w:jc w:val="left"/>
      </w:pPr>
      <w:r>
        <w:rPr>
          <w:rFonts w:ascii="Times New Roman" w:hAnsi="Times New Roman"/>
          <w:sz w:val="24"/>
        </w:rPr>
        <w:t>1.1 Latar Belakang</w:t>
      </w:r>
    </w:p>
    <w:p>
      <w:pPr>
        <w:spacing w:line="360" w:lineRule="auto"/>
        <w:ind w:firstLine="720"/>
        <w:jc w:val="both"/>
      </w:pPr>
      <w:r>
        <w:rPr>
          <w:rFonts w:ascii="Times New Roman" w:hAnsi="Times New Roman"/>
          <w:sz w:val="24"/>
        </w:rPr>
        <w:t>Pemerintah optimis menargetkan pertumbuhan ekonomi nasional mencapai 8 persen yang direncanakan tercapai pada tahun 2029, sebagaimana dinyatakan Presiden Prabowo Subianto dalam pidato penyampaian KEM-PPKF 2027. Sebagai langkah mencapai sasaran tersebut, pemerintah menetapkan asumsi dasar pertumbuhan ekonomi sebesar 5,8-6,8 persen pada tahun 2027 (Kementerian Keuangan, 2026). Namun realisasi pertumbuhan ekonomi pada tahun 2025 masih berada di kisaran 5,2 persen, menandakan masih diperlukannya akselerasi yang signifikan. Dalam kontribusinya terhadap pertumbuhan ekonomi nasional, investasi konsisten menempati posisi kedua setelah konsumsi rumah tangga dengan besaran 1,79 persen terhadap pertumbuhan PDB pada Triwulan I tahun 2026 (Kementerian Keuangan, 2026). Hal ini menunjukkan bahwa investasi menjadi salah satu komponen paling strategis menutup kesenjangan pertumbuhan tersebut.</w:t>
      </w:r>
    </w:p>
    <w:p>
      <w:pPr>
        <w:spacing w:line="360" w:lineRule="auto"/>
        <w:ind w:firstLine="720"/>
        <w:jc w:val="both"/>
      </w:pPr>
      <w:r>
        <w:rPr>
          <w:rFonts w:ascii="Times New Roman" w:hAnsi="Times New Roman"/>
          <w:sz w:val="24"/>
        </w:rPr>
        <w:t>Investasi telah lama dinyatakan sebagai faktor utama pendorong pertumbuhan ekonomi, mulai dari teori Neoklasik hingga teori-teori kontemporer (Sarungu, 2008). Dalam konteks Indonesia, bukti empiris menegaskan bahwa kedua jenis investasi, baik Penanaman Modal Asing (PMA) maupun Penanaman Modal Dalam Negeri (PMDN), terbukti berpengaruh positif dan signifikan terhadap pertumbuhan ekonomi nasional. PMA berkontribusi pada akselerasi pertumbuhan ekonomi secara agregat (Hidayat et al., 2024), sementara PMDN secara khusus mendorong pertumbuhan yang lebih inklusif (Herdiyati &amp; Ismail, 2022). Aswan et al. (2024) menemukan bahwa investasi domestik (PMDN) pada tingkat provinsi berpengaruh signifikan terhadap keputusan kredit investasi bank pemerintah daerah, sementara PMA tidak menunjukkan pengaruh serupa, yang mengindikasikan bahwa PMDN memberikan dampak lebih langsung terhadap perekonomian lokal dibandingkan PMA. Perbedaan mekanisme pengaruh antara PMA dan PMDN terhadap perekonomian daerah ini menjadikan analisis terpisah atas kedua jenis investasi tersebut sebagai kebutuhan empiris yang penting.</w:t>
      </w:r>
    </w:p>
    <w:p>
      <w:pPr>
        <w:spacing w:line="360" w:lineRule="auto"/>
        <w:ind w:firstLine="720"/>
        <w:jc w:val="both"/>
      </w:pPr>
      <w:r>
        <w:rPr>
          <w:rFonts w:ascii="Times New Roman" w:hAnsi="Times New Roman"/>
          <w:sz w:val="24"/>
        </w:rPr>
        <w:t>Meski PMA dan PMDN sama-sama berkontribusi terhadap pertumbuhan ekonomi, keberhasilan realisasi keduanya tidak semata ditentukan oleh kebijakan di tingkat pusat. Keberhasilan tata kelola investasi sangat bergantung pada kemampuan institusi daerah dalam melaksanakan mandat yang dilimpahkan kepadanya (Farhan et al., 2025). Pelimpahan mandat atau yang dikenal dengan desentralisasi dinilai mampu mendorong pertumbuhan ekonomi dan sosial suatu daerah (Farhan et al., 2025). Sejak diberlakukannya desentralisasi, peran pemerintah daerah dalam mendorong pembangunan wilayahnya menjadi semakin sentral, termasuk dalam memfasilitasi realisasi investasi sesuai dengan potensi masing-masing daerah (Farhan et al., 2025). Meski demikian, kewenangan daerah dalam PMA cenderung lemah karena pemerintah daerah hanya berperan sebagai fasilitator dan pengawas yang mengikuti regulasi pemerintah pusat (Farhan et al., 2025). Dalam konteks ini, PMDN menjadi variabel yang lebih relevan untuk mengukur efektivitas tata kelola daerah, karena investor domestik berhadapan langsung dengan kualitas birokrasi, kelancaran perizinan, dan iklim usaha yang sepenuhnya berada di bawah kendali pemerintah daerah. Namun demikian, analisis terhadap PMA tetap diperlukan untuk memberikan gambaran komparatif mengenai sensitivitas masing-masing jenis investasi terhadap kualitas tata kelola pencegahan korupsi daerah.</w:t>
      </w:r>
    </w:p>
    <w:p>
      <w:pPr>
        <w:spacing w:line="360" w:lineRule="auto"/>
        <w:ind w:firstLine="720"/>
        <w:jc w:val="both"/>
      </w:pPr>
      <w:r>
        <w:rPr>
          <w:rFonts w:ascii="Times New Roman" w:hAnsi="Times New Roman"/>
          <w:sz w:val="24"/>
        </w:rPr>
        <w:t>Efektivitas desentralisasi pemerintah khususnya atas investasi tidak bersifat otomatis; diperlukan kejelasan kewenangan, kapasitas administratif yang memadai, serta penerapan good governance sebagai prasyarat terciptanya iklim investasi yang kondusif di tingkat daerah (Farhan et al., 2025). Keberhasilan realisasi investasi di tingkat daerah dengan demikian tidak dapat dipisahkan dari kualitas tata kelola pemerintahan, termasuk upaya pencegahan dan pengendalian korupsi (Almakkiyah, 2026). Teori kelembagaan (institutional theory) memperkuat argumen ini dengan menyatakan bahwa investor cenderung mempertimbangkan stabilitas kebijakan, transparansi birokrasi, dan kepastian hukum sebelum memutuskan untuk masuk ke suatu daerah, sehingga kualitas tata kelola menjadi sinyal utama yang dibaca oleh pelaku investasi (North, 1990). Good governance mampu menekan tingkat korupsi melalui penguatan transparansi dan akuntabilitas (Hofheimer, 2006 dalam Linda, Winoto &amp; Suprehatin, 2024). Sebaliknya, lemahnya tata kelola secara langsung membuka ruang bagi korupsi untuk berkembang. Yuwono et al. (2025) membuktikan secara empiris menggunakan pendekatan difference-in-difference bahwa provinsi-provinsi di Indonesia dengan sistem tata kelola regulasi yang lemah mengalami penurunan pertumbuhan FDI sebesar 26-30 persen dibandingkan kelompok kontrol, yang menegaskan bahwa kualitas tata kelola merupakan determinan krusial bagi arus investasi.</w:t>
      </w:r>
    </w:p>
    <w:p>
      <w:pPr>
        <w:spacing w:line="360" w:lineRule="auto"/>
        <w:ind w:firstLine="720"/>
        <w:jc w:val="both"/>
      </w:pPr>
      <w:r>
        <w:rPr>
          <w:rFonts w:ascii="Times New Roman" w:hAnsi="Times New Roman"/>
          <w:sz w:val="24"/>
        </w:rPr>
        <w:t>Salah satu dampak utama dari korupsi adalah menurunnya kepercayaan investor, karena ketika praktik korupsi terjadi, investor cenderung ragu menanamkan modal akibat ketidakpastian yang muncul dari risiko penyalahgunaan anggaran dan inefisiensi dalam penggunaan dana (Miulyadi, Sunarti &amp; Puanandini, 2024). Kekhawatiran investor tersebut bukan tanpa dasar; skor Corruption Perception Index (CPI) Indonesia tahun 2023 hanya mencapai 34 dari 100 dengan peringkat 115 dari 180 negara. Posisi ini menempatkan Indonesia pada level persepsi korupsi yang masih tinggi (Transparency International, 2024). Alfada (2019) membuktikan adanya hubungan nonlinier antara korupsi dan pertumbuhan ekonomi di Indonesia menggunakan model threshold, di mana efek destruktif korupsi semakin kuat pada provinsi-provinsi dengan tingkat korupsi di atas ambang batas tertentu. Kondisi ini diperparah oleh fakta bahwa ancaman korupsi paling terkonsentrasi di tingkat pemerintah daerah. Berdasarkan data statistik tindak pidana korupsi yang diterbitkan KPK, pada periode 2019-2022 pemerintah kabupaten/kota menjadi instansi dengan jumlah kasus korupsi tertinggi dibandingkan seluruh jenis instansi lainnya, yakni sebanyak 256 kasus. Oleh sebab itu, pemberantasan praktik korupsi pada pemerintah daerah menjadi prasyarat penting agar manfaat investasi dapat dirasakan secara merata oleh seluruh masyarakat (Safitri, Saputri &amp; Sanjaya, 2025). Untuk memastikan upaya pemberantasan korupsi tersebut berjalan secara terukur dan akuntabel, diperlukan instrumen pengukuran yang dapat memantau kinerja pencegahan korupsi pemerintah daerah secara sistematis, salah satunya adalah Monitoring Center for Prevention (MCP) yang dikembangkan oleh Komisi Pemberantasan Korupsi (KPK) sebagai indikator pencegahan korupsi di tingkat daerah.</w:t>
      </w:r>
    </w:p>
    <w:p>
      <w:pPr>
        <w:spacing w:line="360" w:lineRule="auto"/>
        <w:ind w:firstLine="720"/>
        <w:jc w:val="both"/>
      </w:pPr>
      <w:r>
        <w:rPr>
          <w:rFonts w:ascii="Times New Roman" w:hAnsi="Times New Roman"/>
          <w:sz w:val="24"/>
        </w:rPr>
        <w:t>Komisi Pemberantasan Korupsi Republik Indonesia (KPK RI) mengembangkan instrumen Monitoring Center for Prevention (MCP). MCP merupakan sistem yang menilai capaian Indeks Pencegahan Korupsi Daerah pada delapan area tata kelola yang dianggap rawan korupsi, yaitu perencanaan dan penganggaran, pengadaan barang dan jasa, perizinan, pengawasan Aparat Pengawasan Intern Pemerintah (APIP), manajemen ASN, optimalisasi pajak daerah, pengelolaan Barang Milik Daerah, dan tata kelola desa (Linda et al., 2024). Hasil penilaian MCP dipublikasikan secara terbuka melalui portal jaga.id, menciptakan tekanan transparansi dan akuntabilitas publik yang diharapkan mendorong pemerintah daerah memperbaiki sistemnya secara nyata dan berkelanjutan. Berdasarkan capaiannya pada tahun 2022, sebanyak 367 pemerintah daerah berada pada kategori sangat baik (skor 75,01-100), 104 pemda baik (50,01-75), 46 pemda cukup (25,01-50), dan 26 pemda kurang (0-25), yang menggambarkan adanya disparitas kualitas pencegahan korupsi antardaerah di Indonesia (Linda et al., 2024).</w:t>
      </w:r>
    </w:p>
    <w:p>
      <w:pPr>
        <w:spacing w:line="360" w:lineRule="auto"/>
        <w:ind w:firstLine="720"/>
        <w:jc w:val="both"/>
      </w:pPr>
      <w:r>
        <w:rPr>
          <w:rFonts w:ascii="Times New Roman" w:hAnsi="Times New Roman"/>
          <w:sz w:val="24"/>
        </w:rPr>
        <w:t>Beberapa penelitian terdahulu telah membuktikan bahwa MCP berpengaruh signifikan terhadap realisasi investasi di Indonesia. Tua dan Mahi (2022) yang menganalisis 507 kabupaten/kota di Indonesia periode 2018-2020 menemukan bahwa MCP berpengaruh positif dan signifikan terhadap akumulasi investasi swasta dengan koefisien 0,0397. Temuan tersebut diperkuat oleh Almakkiyah (2026) yang meneliti sepuluh kabupaten/kota di Nusa Tenggara Barat periode 2019-2024 dan menemukan adanya threshold effect, yaitu pengaruh positif MCP terhadap investasi baru terlihat secara signifikan ketika upaya pencegahan korupsi dilakukan secara konsisten dan berkelanjutan. Kedua penelitian tersebut menegaskan bahwa MCP merupakan instrumen pencegahan korupsi yang memiliki pengaruh nyata terhadap keputusan investor di tingkat daerah.</w:t>
      </w:r>
    </w:p>
    <w:p>
      <w:pPr>
        <w:spacing w:line="360" w:lineRule="auto"/>
        <w:ind w:firstLine="720"/>
        <w:jc w:val="both"/>
      </w:pPr>
      <w:r>
        <w:rPr>
          <w:rFonts w:ascii="Times New Roman" w:hAnsi="Times New Roman"/>
          <w:sz w:val="24"/>
        </w:rPr>
        <w:t>Meskipun penelitian terdahulu telah membuktikan pengaruh signifikan MCP terhadap investasi, terdapat sejumlah celah penelitian yang belum terjawab. Pertama, baik Tua dan Mahi (2022) maupun Almakkiyah (2026) menggunakan skor MCP secara agregat sehingga belum dapat mengidentifikasi sub-area mana dari delapan area MCP yang sebenarnya menjadi penggerak utama hubungan dengan investasi, padahal secara teoretis investor swasta cenderung lebih sensitif terhadap aspek pelayanan publik yang langsung berinteraksi dengan kegiatan usahanya, seperti perizinan, dibandingkan aspek tata kelola internal pemerintah daerah. Kedua, belum ada penelitian yang menganalisis pengaruh MCP secara terpisah terhadap PMA dan PMDN pada level kabupaten/kota, padahal kedua jenis investasi ini memiliki mekanisme respons yang berbeda terhadap kualitas tata kelola daerah (Aswan et al., 2024; Farhan et al., 2025). Ketiga, studi pada level provinsi spesifik dengan karakter heterogen seperti Jawa Tengah yang memiliki skor MCP tertinggi di Indonesia namun realisasi investasi antardaerahnya bervariasi. Keempat, belum ada penelitian yang mengakomodasi secara empiris perubahan kerangka indikator MCP dari "Perizinan" (2023) menjadi "Pelayanan Publik" (2024-2025) untuk menguji apakah penyempurnaan substansi indikator memberikan dampak yang berbeda terhadap respons investor.</w:t>
      </w:r>
    </w:p>
    <w:p>
      <w:pPr>
        <w:spacing w:line="360" w:lineRule="auto"/>
        <w:ind w:firstLine="720"/>
        <w:jc w:val="both"/>
      </w:pPr>
      <w:r>
        <w:rPr>
          <w:rFonts w:ascii="Times New Roman" w:hAnsi="Times New Roman"/>
          <w:sz w:val="24"/>
        </w:rPr>
        <w:t>Penelitian ini memilih Provinsi Jawa Tengah sebagai field penelitian dengan tiga pertimbangan utama. Pertama, Provinsi Jawa Tengah merupakan provinsi dengan capaian skor Monitoring Center for Prevention (MCP) tertinggi di Indonesia, sebagai bukti komitmen integritas dan tata kelola pemerintahan yang kuat dalam pencegahan korupsi (Pemerintah Provinsi Jawa Tengah, 2024). Kedua, Jawa Tengah memiliki keberagaman kontekstual antardaerah yang kaya, mencakup kawasan industri di pantai utara (Pantura), daerah pertanian dan agribisnis di wilayah pegunungan, pusat-pusat perkotaan dengan dominasi sektor jasa, hingga kawasan pelabuhan dan logistik. Keberagaman struktur ekonomi tersebut menghasilkan variasi realisasi investasi yang signifikan antar 35 kabupaten/kota, sehingga memungkinkan analisis pengaruh kualitas tata kelola terhadap investasi dalam beragam tipologi daerah. Ketiga, Jawa Tengah menunjukkan tren positif dalam realisasi investasi, di mana pada tahun 2024 realisasi investasi tembus Rp88,50 triliun dan melonjak signifikan dibandingkan tahun-tahun sebelumnya (Pemerintah Provinsi Jawa Tengah, 2024). Kombinasi capaian MCP tertinggi, keberagaman kontekstual daerah, dan tren investasi yang positif menjadikan Jawa Tengah sebagai field penelitian yang strategis untuk mengkaji secara empiris pengaruh komponen MCP terhadap realisasi investasi.</w:t>
      </w:r>
    </w:p>
    <w:p>
      <w:pPr>
        <w:spacing w:line="360" w:lineRule="auto"/>
        <w:ind w:firstLine="720"/>
        <w:jc w:val="both"/>
      </w:pPr>
      <w:r>
        <w:rPr>
          <w:rFonts w:ascii="Times New Roman" w:hAnsi="Times New Roman"/>
          <w:sz w:val="24"/>
        </w:rPr>
        <w:t>Pemilihan Provinsi Jawa Tengah sebagai field penelitian menghasilkan struktur data panel yang terdiri atas 35 kabupaten/kota selama periode tiga tahun (2023-2025), sehingga total observasi yang diperoleh adalah sebanyak 105 unit pengamatan. Penelitian ini menggunakan pendekatan kuantitatif dengan metode regresi data panel yang dilengkapi pendekatan dekomposisi komponen. Pendekatan dekomposisi komponen dilakukan dengan memisahkan skor MCP menjadi tujuh sub-area sehingga kontribusi masing-masing komponen tata kelola terhadap realisasi investasi dapat diidentifikasi secara terpisah. Selain itu, penelitian ini menganalisis pengaruh komponen MCP terhadap tiga variabel dependen secara terpisah, yaitu total investasi (PMA+PMDN), realisasi PMDN, dan realisasi PMA, untuk mengungkap pola respons yang berbeda antara investor domestik dan asing terhadap kualitas tata kelola daerah. Dengan pendekatan ini, penelitian diharapkan dapat memberikan gambaran empiris yang lebih komprehensif mengenai komponen tata kelola pencegahan korupsi yang paling efektif dalam mendorong realisasi investasi di Provinsi Jawa Tengah.</w:t>
      </w:r>
    </w:p>
    <w:p>
      <w:pPr>
        <w:spacing w:line="360" w:lineRule="auto"/>
        <w:ind w:firstLine="720"/>
        <w:jc w:val="both"/>
      </w:pPr>
      <w:r>
        <w:rPr>
          <w:rFonts w:ascii="Times New Roman" w:hAnsi="Times New Roman"/>
          <w:sz w:val="24"/>
        </w:rPr>
        <w:t>Berdasarkan uraian di atas, terlihat bahwa MCP sebagai instrumen pencegahan korupsi pemerintah daerah memiliki peran strategis dalam menciptakan iklim investasi yang kondusif, namun penggunaannya secara agregat dalam penelitian terdahulu belum mampu mengungkap komponen tata kelola yang paling efektif dalam mendorong realisasi investasi. Di sisi lain, belum ada studi yang membandingkan respons PMA dan PMDN terhadap kualitas pencegahan korupsi daerah pada level kabupaten/kota. Oleh karena itu, penelitian ini bertujuan untuk menganalisis pengaruh komponen MCP terhadap realisasi investasi (total, PMDN, dan PMA) di Provinsi Jawa Tengah periode 2023-2025 melalui pendekatan dekomposisi per sub-area serta menguji konsistensi pengaruh tersebut terhadap perubahan kerangka indikator MCP. Hasil penelitian diharapkan memberikan kontribusi baik secara metodologis melalui dekomposisi MCP dan perbandingan respons PMA-PMDN, maupun secara praktis sebagai bahan rekomendasi kebijakan bagi pemerintah daerah dalam menetapkan prioritas reformasi tata kelola yang paling efektif untuk mendorong realisasi investasi di tingkat kabupaten/kota.</w:t>
      </w:r>
    </w:p>
    <w:p>
      <w:pPr>
        <w:pStyle w:val="Heading2"/>
        <w:jc w:val="left"/>
      </w:pPr>
      <w:r>
        <w:rPr>
          <w:rFonts w:ascii="Times New Roman" w:hAnsi="Times New Roman"/>
          <w:sz w:val="24"/>
        </w:rPr>
        <w:t>1.2 Rumusan Masalah</w:t>
      </w:r>
    </w:p>
    <w:p>
      <w:pPr>
        <w:spacing w:line="360" w:lineRule="auto"/>
        <w:ind w:firstLine="720"/>
        <w:jc w:val="both"/>
      </w:pPr>
      <w:r>
        <w:rPr>
          <w:rFonts w:ascii="Times New Roman" w:hAnsi="Times New Roman"/>
          <w:sz w:val="24"/>
        </w:rPr>
        <w:t>Berdasarkan latar belakang yang telah diuraikan, rumusan masalah penelitian ini adalah:</w:t>
      </w:r>
    </w:p>
    <w:p>
      <w:pPr>
        <w:pStyle w:val="ListNumber"/>
      </w:pPr>
      <w:r>
        <w:rPr>
          <w:rFonts w:ascii="Times New Roman" w:hAnsi="Times New Roman"/>
          <w:sz w:val="24"/>
        </w:rPr>
        <w:t>Komponen Monitoring Center for Prevention (MCP) manakah yang berpengaruh signifikan terhadap realisasi investasi PMDN dan PMA di kabupaten/kota Provinsi Jawa Tengah periode 2023-2025?</w:t>
      </w:r>
    </w:p>
    <w:p>
      <w:pPr>
        <w:pStyle w:val="ListNumber"/>
      </w:pPr>
      <w:r>
        <w:rPr>
          <w:rFonts w:ascii="Times New Roman" w:hAnsi="Times New Roman"/>
          <w:sz w:val="24"/>
        </w:rPr>
        <w:t>Apakah perubahan kerangka indikator MCP dari "Perizinan" (2023) menjadi "Pelayanan Publik" (2024-2025) menghasilkan pengaruh yang berbeda terhadap realisasi investasi?</w:t>
      </w:r>
    </w:p>
    <w:p>
      <w:pPr>
        <w:pStyle w:val="Heading2"/>
        <w:jc w:val="left"/>
      </w:pPr>
      <w:r>
        <w:rPr>
          <w:rFonts w:ascii="Times New Roman" w:hAnsi="Times New Roman"/>
          <w:sz w:val="24"/>
        </w:rPr>
        <w:t>1.3 Tujuan Penelitian</w:t>
      </w:r>
    </w:p>
    <w:p>
      <w:pPr>
        <w:spacing w:line="360" w:lineRule="auto"/>
        <w:ind w:firstLine="720"/>
        <w:jc w:val="both"/>
      </w:pPr>
      <w:r>
        <w:rPr>
          <w:rFonts w:ascii="Times New Roman" w:hAnsi="Times New Roman"/>
          <w:sz w:val="24"/>
        </w:rPr>
        <w:t>Sesuai dengan rumusan masalah, tujuan penelitian ini adalah:</w:t>
      </w:r>
    </w:p>
    <w:p>
      <w:pPr>
        <w:pStyle w:val="ListNumber"/>
      </w:pPr>
      <w:r>
        <w:rPr>
          <w:rFonts w:ascii="Times New Roman" w:hAnsi="Times New Roman"/>
          <w:sz w:val="24"/>
        </w:rPr>
        <w:t>Mengidentifikasi komponen MCP yang berpengaruh signifikan terhadap realisasi investasi PMDN dan PMA di kabupaten/kota Provinsi Jawa Tengah periode 2023-2025.</w:t>
      </w:r>
    </w:p>
    <w:p>
      <w:pPr>
        <w:pStyle w:val="ListNumber"/>
      </w:pPr>
      <w:r>
        <w:rPr>
          <w:rFonts w:ascii="Times New Roman" w:hAnsi="Times New Roman"/>
          <w:sz w:val="24"/>
        </w:rPr>
        <w:t>Menguji konsistensi pengaruh komponen MCP terhadap realisasi investasi sebelum dan sesudah perubahan kerangka indikator dari "Perizinan" menjadi "Pelayanan Publik".</w:t>
      </w:r>
    </w:p>
    <w:p>
      <w:pPr>
        <w:pStyle w:val="Heading2"/>
        <w:jc w:val="left"/>
      </w:pPr>
      <w:r>
        <w:rPr>
          <w:rFonts w:ascii="Times New Roman" w:hAnsi="Times New Roman"/>
          <w:sz w:val="24"/>
        </w:rPr>
        <w:t>1.4 Ruang Lingkup Penelitian</w:t>
      </w:r>
    </w:p>
    <w:p>
      <w:pPr>
        <w:spacing w:line="360" w:lineRule="auto"/>
        <w:ind w:firstLine="720"/>
        <w:jc w:val="both"/>
      </w:pPr>
      <w:r>
        <w:rPr>
          <w:rFonts w:ascii="Times New Roman" w:hAnsi="Times New Roman"/>
          <w:sz w:val="24"/>
        </w:rPr>
        <w:t>Penelitian ini berfokus pada pengaruh komponen Monitoring Center for Prevention (MCP) terhadap realisasi investasi di Provinsi Jawa Tengah. Ruang lingkup penelitian meliputi:</w:t>
      </w:r>
    </w:p>
    <w:p>
      <w:pPr>
        <w:pStyle w:val="ListNumber"/>
      </w:pPr>
      <w:r>
        <w:rPr>
          <w:rFonts w:ascii="Times New Roman" w:hAnsi="Times New Roman"/>
          <w:sz w:val="24"/>
        </w:rPr>
        <w:t>Objek Penelitian: Realisasi investasi diukur melalui tiga variabel dependen, yaitu total investasi (PMA+PMDN), realisasi PMDN, dan realisasi PMA, masing-masing dalam bentuk logaritma natural. Variabel independen terdiri atas tujuh komponen MCP (Perencanaan dan Penganggaran APBD, Pengadaan Barang dan Jasa, Perizinan/Pelayanan Publik, Pengawasan APIP, Manajemen ASN, Optimalisasi Pajak Daerah, dan Manajemen Aset). Variabel kontrol adalah jumlah penduduk dalam bentuk logaritma natural. Variabel dummy DPOST2024 digunakan untuk menguji structural break_ akibat perubahan kerangka indikator MCP.</w:t>
      </w:r>
    </w:p>
    <w:p>
      <w:pPr>
        <w:pStyle w:val="ListNumber"/>
      </w:pPr>
      <w:r>
        <w:rPr>
          <w:rFonts w:ascii="Times New Roman" w:hAnsi="Times New Roman"/>
          <w:sz w:val="24"/>
        </w:rPr>
        <w:t>Lokasi Penelitian: Provinsi Jawa Tengah dengan sampel penelitian mencakup seluruh 35 kabupaten/kota di provinsi tersebut, yang merepresentasikan keberagaman kontekstual daerah meliputi kawasan industri Pantura, daerah pertanian dan agribisnis pegunungan, pusat perkotaan jasa, serta kawasan pelabuhan dan logistik.</w:t>
      </w:r>
    </w:p>
    <w:p>
      <w:pPr>
        <w:pStyle w:val="ListNumber"/>
      </w:pPr>
      <w:r>
        <w:rPr>
          <w:rFonts w:ascii="Times New Roman" w:hAnsi="Times New Roman"/>
          <w:sz w:val="24"/>
        </w:rPr>
        <w:t>Waktu Penelitian: Data yang digunakan dalam penelitian ini mencakup periode tiga tahun, yaitu 2023 hingga 2025, dengan total 105 unit observasi (35 kabupaten/kota x 3 tahun). Periode ini dipilih untuk mengakomodasi perubahan kerangka indikator MCP dari "Perizinan" (2023) menjadi "Pelayanan Publik" (2024-2025).</w:t>
      </w:r>
    </w:p>
    <w:p>
      <w:pPr>
        <w:pStyle w:val="ListNumber"/>
      </w:pPr>
      <w:r>
        <w:rPr>
          <w:rFonts w:ascii="Times New Roman" w:hAnsi="Times New Roman"/>
          <w:sz w:val="24"/>
        </w:rPr>
        <w:t>Pendekatan Penelitian: Penelitian kuantitatif dengan metode regresi data panel menggunakan pendekatan dekomposisi komponen dan empat spesifikasi model. Data sekunder yang digunakan bersumber dari realisasi investasi BPS/DPMPTSP Jawa Tengah dan dashboard MCP KPK.</w:t>
      </w:r>
    </w:p>
    <w:p>
      <w:pPr>
        <w:spacing w:line="360" w:lineRule="auto"/>
        <w:ind w:firstLine="720"/>
        <w:jc w:val="both"/>
      </w:pPr>
      <w:r>
        <w:rPr>
          <w:rFonts w:ascii="Times New Roman" w:hAnsi="Times New Roman"/>
          <w:sz w:val="24"/>
        </w:rPr>
        <w:t>Dengan ruang lingkup ini, penelitian diharapkan dapat memberikan pemahaman yang komprehensif mengenai komponen tata kelola pencegahan korupsi yang paling efektif dalam mendorong realisasi investasi di tingkat kabupaten/kota serta perbedaan respons antara investor domestik dan asing.</w:t>
      </w:r>
    </w:p>
    <w:p>
      <w:pPr>
        <w:pStyle w:val="Heading2"/>
        <w:jc w:val="left"/>
      </w:pPr>
      <w:r>
        <w:rPr>
          <w:rFonts w:ascii="Times New Roman" w:hAnsi="Times New Roman"/>
          <w:sz w:val="24"/>
        </w:rPr>
        <w:t>1.5 Manfaat Penelitian</w:t>
      </w:r>
    </w:p>
    <w:p>
      <w:pPr>
        <w:pStyle w:val="Heading2"/>
        <w:jc w:val="left"/>
      </w:pPr>
      <w:r>
        <w:rPr>
          <w:rFonts w:ascii="Times New Roman" w:hAnsi="Times New Roman"/>
          <w:sz w:val="24"/>
        </w:rPr>
        <w:t>1.5.1 Manfaat Teoretis</w:t>
      </w:r>
    </w:p>
    <w:p>
      <w:pPr>
        <w:pStyle w:val="ListNumber"/>
      </w:pPr>
      <w:r>
        <w:rPr>
          <w:rFonts w:ascii="Times New Roman" w:hAnsi="Times New Roman"/>
          <w:sz w:val="24"/>
        </w:rPr>
        <w:t>Memberikan kontribusi metodologis berupa pendekatan dekomposisi MCP per sub-area, sebagai alternatif penggunaan skor agregat yang dominan di literatur sebelumnya.</w:t>
      </w:r>
    </w:p>
    <w:p>
      <w:pPr>
        <w:pStyle w:val="ListNumber"/>
      </w:pPr>
      <w:r>
        <w:rPr>
          <w:rFonts w:ascii="Times New Roman" w:hAnsi="Times New Roman"/>
          <w:sz w:val="24"/>
        </w:rPr>
        <w:t>Memperkaya literatur empiris tentang perbedaan respons PMA dan PMDN terhadap kualitas tata kelola pencegahan korupsi daerah, yang selama ini belum banyak dikaji secara terpisah pada level kabupaten/kota.</w:t>
      </w:r>
    </w:p>
    <w:p>
      <w:pPr>
        <w:pStyle w:val="ListNumber"/>
      </w:pPr>
      <w:r>
        <w:rPr>
          <w:rFonts w:ascii="Times New Roman" w:hAnsi="Times New Roman"/>
          <w:sz w:val="24"/>
        </w:rPr>
        <w:t>Memperkaya literatur empiris tentang pengaruh tata kelola pemerintahan terhadap investasi di tingkat sub-nasional, khususnya pada level kabupaten/kota.</w:t>
      </w:r>
    </w:p>
    <w:p>
      <w:pPr>
        <w:pStyle w:val="Heading2"/>
        <w:jc w:val="left"/>
      </w:pPr>
      <w:r>
        <w:rPr>
          <w:rFonts w:ascii="Times New Roman" w:hAnsi="Times New Roman"/>
          <w:sz w:val="24"/>
        </w:rPr>
        <w:t>1.5.2 Manfaat Praktis</w:t>
      </w:r>
    </w:p>
    <w:p>
      <w:pPr>
        <w:pStyle w:val="ListNumber"/>
      </w:pPr>
      <w:r>
        <w:rPr>
          <w:rFonts w:ascii="Times New Roman" w:hAnsi="Times New Roman"/>
          <w:sz w:val="24"/>
        </w:rPr>
        <w:t>Memberikan rekomendasi kebijakan kepada pemerintah daerah Jawa Tengah mengenai prioritas reformasi tata kelola yang paling efektif dalam mendorong investasi.</w:t>
      </w:r>
    </w:p>
    <w:p>
      <w:pPr>
        <w:pStyle w:val="ListNumber"/>
      </w:pPr>
      <w:r>
        <w:rPr>
          <w:rFonts w:ascii="Times New Roman" w:hAnsi="Times New Roman"/>
          <w:sz w:val="24"/>
        </w:rPr>
        <w:t>Membantu KPK dalam mengevaluasi efektivitas kerangka indikator MCP, khususnya dampak revisi indikator pada periode 2024-2025.</w:t>
      </w:r>
    </w:p>
    <w:p>
      <w:pPr>
        <w:pStyle w:val="ListNumber"/>
      </w:pPr>
      <w:r>
        <w:rPr>
          <w:rFonts w:ascii="Times New Roman" w:hAnsi="Times New Roman"/>
          <w:sz w:val="24"/>
        </w:rPr>
        <w:t>Memberikan informasi kepada calon investor mengenai kondisi tata kelola pelayanan publik di Jawa Tengah sebagai bahan pertimbangan keputusan investasi.</w:t>
      </w:r>
    </w:p>
    <w:p>
      <w:pPr>
        <w:pStyle w:val="Heading2"/>
        <w:jc w:val="left"/>
      </w:pPr>
      <w:r>
        <w:rPr>
          <w:rFonts w:ascii="Times New Roman" w:hAnsi="Times New Roman"/>
          <w:sz w:val="24"/>
        </w:rPr>
        <w:t>1.6 Sistematika Penulisan Skripsi</w:t>
      </w:r>
    </w:p>
    <w:p>
      <w:pPr>
        <w:pStyle w:val="Heading2"/>
        <w:jc w:val="left"/>
      </w:pPr>
      <w:r>
        <w:rPr>
          <w:rFonts w:ascii="Times New Roman" w:hAnsi="Times New Roman"/>
          <w:sz w:val="24"/>
        </w:rPr>
        <w:t>BAB I PENDAHULUAN</w:t>
      </w:r>
    </w:p>
    <w:p>
      <w:pPr>
        <w:spacing w:line="360" w:lineRule="auto"/>
        <w:ind w:firstLine="720"/>
        <w:jc w:val="both"/>
      </w:pPr>
      <w:r>
        <w:rPr>
          <w:rFonts w:ascii="Times New Roman" w:hAnsi="Times New Roman"/>
          <w:sz w:val="24"/>
        </w:rPr>
        <w:t>Bab I berisikan gambaran umum yang menguraikan mengenai latar belakang, rumusan masalah penelitian, tujuan penelitian, ruang lingkup penelitian, manfaat penelitian, serta sistematika pembahasan atas penelitian yang disusun dengan pendekatan kuantitatif.</w:t>
      </w:r>
    </w:p>
    <w:p>
      <w:pPr>
        <w:pStyle w:val="Heading2"/>
        <w:jc w:val="left"/>
      </w:pPr>
      <w:r>
        <w:rPr>
          <w:rFonts w:ascii="Times New Roman" w:hAnsi="Times New Roman"/>
          <w:sz w:val="24"/>
        </w:rPr>
        <w:t>BAB II LANDASAN TEORI</w:t>
      </w:r>
    </w:p>
    <w:p>
      <w:pPr>
        <w:spacing w:line="360" w:lineRule="auto"/>
        <w:ind w:firstLine="720"/>
        <w:jc w:val="both"/>
      </w:pPr>
      <w:r>
        <w:rPr>
          <w:rFonts w:ascii="Times New Roman" w:hAnsi="Times New Roman"/>
          <w:sz w:val="24"/>
        </w:rPr>
        <w:t>Bab II berisi landasan teori yang menjabarkan kerangka teori bersifat umum dan kerangka teori yang bersifat khusus serta hasil studi literatur terkait tata kelola pemerintah daerah, Monitoring Center for Prevention, investasi domestik (PMDN), dan investasi asing (PMA).</w:t>
      </w:r>
    </w:p>
    <w:p>
      <w:pPr>
        <w:pStyle w:val="Heading2"/>
        <w:jc w:val="left"/>
      </w:pPr>
      <w:r>
        <w:rPr>
          <w:rFonts w:ascii="Times New Roman" w:hAnsi="Times New Roman"/>
          <w:sz w:val="24"/>
        </w:rPr>
        <w:t>BAB III METODE PENELITIAN</w:t>
      </w:r>
    </w:p>
    <w:p>
      <w:pPr>
        <w:spacing w:line="360" w:lineRule="auto"/>
        <w:ind w:firstLine="720"/>
        <w:jc w:val="both"/>
      </w:pPr>
      <w:r>
        <w:rPr>
          <w:rFonts w:ascii="Times New Roman" w:hAnsi="Times New Roman"/>
          <w:sz w:val="24"/>
        </w:rPr>
        <w:t>Bab III berisi gambaran umum objek penelitian, alasan penggunaan metode penelitian, sumber data, teknik pengumpulan data, serta prosedur analisis data penelitian.</w:t>
      </w:r>
    </w:p>
    <w:p>
      <w:pPr>
        <w:pStyle w:val="Heading2"/>
        <w:jc w:val="left"/>
      </w:pPr>
      <w:r>
        <w:rPr>
          <w:rFonts w:ascii="Times New Roman" w:hAnsi="Times New Roman"/>
          <w:sz w:val="24"/>
        </w:rPr>
        <w:t>BAB IV HASIL PENELITIAN DAN PEMBAHASAN</w:t>
      </w:r>
    </w:p>
    <w:p>
      <w:pPr>
        <w:spacing w:line="360" w:lineRule="auto"/>
        <w:ind w:firstLine="720"/>
        <w:jc w:val="both"/>
      </w:pPr>
      <w:r>
        <w:rPr>
          <w:rFonts w:ascii="Times New Roman" w:hAnsi="Times New Roman"/>
          <w:sz w:val="24"/>
        </w:rPr>
        <w:t>Bab IV berisi hasil penelitian dan pembahasan, menjabarkan gambaran objek yang diteliti, struktur, profil serta pembahasan dan diskusi hasil analisis data.</w:t>
      </w:r>
    </w:p>
    <w:p>
      <w:pPr>
        <w:pStyle w:val="Heading2"/>
        <w:jc w:val="left"/>
      </w:pPr>
      <w:r>
        <w:rPr>
          <w:rFonts w:ascii="Times New Roman" w:hAnsi="Times New Roman"/>
          <w:sz w:val="24"/>
        </w:rPr>
        <w:t>BAB V SIMPULAN DAN SARAN</w:t>
      </w:r>
    </w:p>
    <w:p>
      <w:pPr>
        <w:spacing w:line="360" w:lineRule="auto"/>
        <w:ind w:firstLine="720"/>
        <w:jc w:val="both"/>
      </w:pPr>
      <w:r>
        <w:rPr>
          <w:rFonts w:ascii="Times New Roman" w:hAnsi="Times New Roman"/>
          <w:sz w:val="24"/>
        </w:rPr>
        <w:t>Bab V berisi simpulan dan saran, mengemukakan simpulan penelitian dan pembahasan yang telah dilakukan, implikasi dan saran terkait solusi, rekomendasi kebijakan terkait dengan hasil penelitian, serta keterbatasan hasil penelitian.</w:t>
      </w:r>
    </w:p>
    <w:p>
      <w:pPr>
        <w:pStyle w:val="Heading2"/>
        <w:jc w:val="left"/>
      </w:pPr>
      <w:r>
        <w:rPr>
          <w:rFonts w:ascii="Times New Roman" w:hAnsi="Times New Roman"/>
          <w:sz w:val="24"/>
        </w:rPr>
        <w:t>BAB II</w:t>
      </w:r>
    </w:p>
    <w:p>
      <w:pPr>
        <w:pStyle w:val="Heading2"/>
        <w:jc w:val="left"/>
      </w:pPr>
      <w:r>
        <w:rPr>
          <w:rFonts w:ascii="Times New Roman" w:hAnsi="Times New Roman"/>
          <w:sz w:val="24"/>
        </w:rPr>
        <w:t>LANDASAN TEORI</w:t>
      </w:r>
    </w:p>
    <w:p>
      <w:pPr>
        <w:pStyle w:val="Heading2"/>
        <w:jc w:val="left"/>
      </w:pPr>
      <w:r>
        <w:rPr>
          <w:rFonts w:ascii="Times New Roman" w:hAnsi="Times New Roman"/>
          <w:sz w:val="24"/>
        </w:rPr>
        <w:t>2.1 Kajian Pustaka</w:t>
      </w:r>
    </w:p>
    <w:p>
      <w:pPr>
        <w:pStyle w:val="Heading2"/>
        <w:jc w:val="left"/>
      </w:pPr>
      <w:r>
        <w:rPr>
          <w:rFonts w:ascii="Times New Roman" w:hAnsi="Times New Roman"/>
          <w:sz w:val="24"/>
        </w:rPr>
        <w:t>2.1.1 Teori Keagenan (Agency Theory)</w:t>
      </w:r>
    </w:p>
    <w:p>
      <w:pPr>
        <w:spacing w:line="360" w:lineRule="auto"/>
        <w:ind w:firstLine="720"/>
        <w:jc w:val="both"/>
      </w:pPr>
      <w:r>
        <w:rPr>
          <w:rFonts w:ascii="Times New Roman" w:hAnsi="Times New Roman"/>
          <w:sz w:val="24"/>
        </w:rPr>
        <w:t>Teori agensi (agency theory) merupakan kerangka konseptual fundamental dalam ilmu ekonomi dan keuangan yang secara seminal dirumuskan oleh Jensen dan Meckling (1976). Dalam rumusan aslinya, hubungan keagenan (agency relationship) didefinisikan sebagai suatu kontrak di mana satu pihak atau lebih yang disebut prinsipal mendelegasikan kewenangan pengambilan keputusan kepada pihak lain yang disebut agen, untuk melaksanakan suatu layanan atau tugas tertentu atas nama prinsipal tersebut (Jensen &amp; Meckling, 1976). Asumsi inti teori ini menegaskan bahwa apabila kedua pihak bertindak sebagai pemaksimum utilitas masing-masing (utility maximizer), maka terdapat alasan mendasar untuk menduga bahwa agen tidak akan senantiasa bertindak selaras dengan kepentingan terbaik prinsipal (Jensen &amp; Meckling, 1976). Kondisi inilah yang melahirkan fenomena asimetri informasi (information asymmetry), yakni keunggulan informasi yang secara struktural dimiliki agen atas prinsipal, yang pada gilirannya membuka celah bagi perilaku oportunistik (opportunistic behavior) dan moral hazard (Ulum et al., 2019).</w:t>
      </w:r>
    </w:p>
    <w:p>
      <w:pPr>
        <w:spacing w:line="360" w:lineRule="auto"/>
        <w:ind w:firstLine="720"/>
        <w:jc w:val="both"/>
      </w:pPr>
      <w:r>
        <w:rPr>
          <w:rFonts w:ascii="Times New Roman" w:hAnsi="Times New Roman"/>
          <w:sz w:val="24"/>
        </w:rPr>
        <w:t>Dalam konteks kelembagaan publik, asimetri informasi ini terutama bersumber dari posisi aparatur pemerintah yang menguasai informasi administratif, prosedural, dan teknis secara lebih mendalam dibandingkan pihak prinsipal yang diwakilinya, sehingga agen cenderung memanfaatkan keunggulan informasi tersebut demi kepentingan pribadi (Ulum et al., 2019). Perilaku penyimpangan agen ini secara teoritis menimbulkan biaya keagenan (agency costs), yang oleh Jensen dan Meckling (1976) dirumuskan sebagai penjumlahan dari tiga komponen: pertama, biaya pemantauan (monitoring expenditures) yang dikeluarkan prinsipal; kedua, biaya penjaminan (bonding expenditures) yang dikeluarkan agen; dan ketiga, residual loss berupa kemerosotan kesejahteraan prinsipal akibat divergensi keputusan agen dari kondisi optimalnya. Untuk memitigasi penyimpangan tersebut, prinsipal dapat membatasi perilaku menyimpang agen melalui penetapan insentif yang tepat disertai pengeluaran biaya pemantauan yang memadai (Jensen &amp; Meckling, 1976). Teori agensi selanjutnya berkembang melampaui batas organisasi bisnis dan terbukti relevan pula untuk menjelaskan dinamika hubungan keagenan dalam organisasi sektor publik, termasuk pemerintahan daerah.</w:t>
      </w:r>
    </w:p>
    <w:p>
      <w:pPr>
        <w:spacing w:line="360" w:lineRule="auto"/>
        <w:ind w:firstLine="720"/>
        <w:jc w:val="both"/>
      </w:pPr>
      <w:r>
        <w:rPr>
          <w:rFonts w:ascii="Times New Roman" w:hAnsi="Times New Roman"/>
          <w:sz w:val="24"/>
        </w:rPr>
        <w:t>Dalam konteks pemerintahan daerah di Indonesia, relasi keagenan terbentuk secara inheren melalui konstruksi otonomi daerah dan desentralisasi fiskal. Masyarakat dan Pemerintah Pusat berperan sebagai prinsipal yang mendelegasikan wewenang pengelolaan sumber daya publik, sementara pemerintah kabupaten dan kota termasuk seluruh satuan kerja perangkat daerah di Provinsi Jawa Tengah berposisi sebagai agen yang menjalankan fungsi pemerintahan, pengelolaan anggaran, dan pemberian layanan publik atas nama kepentingan prinsipal tersebut (Tua &amp; Mahi, 2022). Lebih jauh, investor yang hendak menanamkan modal, baik dalam bentuk PMDN maupun PMA, dapat pula diposisikan sebagai prinsipal dalam relasi ini, sebab keputusan investasi mereka sangat bergantung pada informasi yang disediakan pemerintah daerah selaku agen, khususnya menyangkut kepastian hukum, kualitas pelayanan perizinan, dan integritas tata kelola wilayah (Suardi et al., 2025). Permasalahan keagenan muncul manakala kepentingan agen menyimpang dari kepentingan prinsipal akibat keunggulan informasi yang dimiliki agen tersebut (Suardi et al., 2025). Secara konkret, perilaku oportunistik aparatur pemerintah daerah dapat termanifestasi dalam beragam bentuk, antara lain: tata kelola aset daerah yang tidak transparan, penganggaran yang bias kepentingan kelompok, praktik pungutan liar (illegal levies) dalam proses perizinan usaha, hingga birokrasi yang sengaja dipersulit demi mengekstrak rente (rent-seeking) (Ulum et al., 2019).</w:t>
      </w:r>
    </w:p>
    <w:p>
      <w:pPr>
        <w:spacing w:line="360" w:lineRule="auto"/>
        <w:ind w:firstLine="720"/>
        <w:jc w:val="both"/>
      </w:pPr>
      <w:r>
        <w:rPr>
          <w:rFonts w:ascii="Times New Roman" w:hAnsi="Times New Roman"/>
          <w:sz w:val="24"/>
        </w:rPr>
        <w:t>Klitgaard et al. (2000) memodelkan kondisi ini secara sistematis dalam formula C = M + D - A, yang menegaskan bahwa intensitas korupsi (C) meningkat seiring bertambahnya kekuasaan monopolistik birokrasi (M) dan diskresi pejabat (D), serta berbanding terbalik dengan derajat akuntabilitas (A) yang diterapkan. Kombinasi faktor-faktor tersebut menciptakan ketidakpastian regulasi dan risiko biaya informal yang tinggi bagi investor, yang pada akhirnya menjadi hambatan struktural terhadap arus masuk investasi (Tua &amp; Mahi, 2022). Di sinilah mekanisme pengawasan (monitoring mechanism) memainkan peran yang secara teori agensi bersifat krusial: Monitoring Center for Prevention (MCP) yang dikembangkan KPK merupakan instrumen pemantauan terstruktur berbasis bukti (evidence-based) yang mengukur kemajuan pencegahan korupsi pemerintah daerah di delapan area rentan korupsi, termasuk perizinan dan pelayanan publik, sehingga menempatkan MCP secara fungsional sebagai alat untuk mereduksi asimetri informasi antara agen dan prinsipal (Tua &amp; Mahi, 2022). Melalui mekanisme pengawasan ini, asimetri informasi antara pemerintah daerah dan investor secara teoritis dapat ditekan, sehingga meningkatkan kepercayaan dan kepastian usaha bagi pelaku investasi.</w:t>
      </w:r>
    </w:p>
    <w:p>
      <w:pPr>
        <w:spacing w:line="360" w:lineRule="auto"/>
        <w:ind w:firstLine="720"/>
        <w:jc w:val="both"/>
      </w:pPr>
      <w:r>
        <w:rPr>
          <w:rFonts w:ascii="Times New Roman" w:hAnsi="Times New Roman"/>
          <w:sz w:val="24"/>
        </w:rPr>
        <w:t>Sintesis kerangka teori agensi di atas memberikan pijakan logis yang koheren bagi perumusan hipotesis dalam penelitian ini. Apabila skor komponen-komponen MCP yang mencerminkan kualitas pengendalian perilaku oportunistik agen mengalami peningkatan, khususnya komponen perizinan (mcpizin) yang pada tahun 2024-2025 ditransformasi KPK menjadi indikator "Pelayanan Publik" yang lebih komprehensif, maka perubahan tersebut secara teori keagenan merepresentasikan penyempurnaan kontrak antara prinsipal dan agen melalui perluasan cakupan pengawasan (Tua &amp; Mahi, 2022). Penyempurnaan ini sejalan dengan pandangan bahwa pencapaian akuntabilitas dalam tata kelola publik mensyaratkan pemenuhan lima komponen relasi secara terpadu: delegasi, pembiayaan, penegakan, informasi kinerja, dan pemantauan (monitoring_), sebagaimana dikemukakan Camargo (2011) dalam Tua dan Mahi (2022). Dengan perluasan dimensi pengawasan dari orientasi semata perizinan menuju pelayanan publik yang menyeluruh, mekanisme MCP berpotensi mengurangi ruang gerak perilaku oportunistik agen lebih efektif, yang secara teoritis berkorelasi positif dengan meningkatnya kepercayaan investor (Tua &amp; Mahi, 2022).</w:t>
      </w:r>
    </w:p>
    <w:p>
      <w:pPr>
        <w:spacing w:line="360" w:lineRule="auto"/>
        <w:ind w:firstLine="720"/>
        <w:jc w:val="both"/>
      </w:pPr>
      <w:r>
        <w:rPr>
          <w:rFonts w:ascii="Times New Roman" w:hAnsi="Times New Roman"/>
          <w:sz w:val="24"/>
        </w:rPr>
        <w:t>Dalam penelitian ini, kerangka pencegahan korupsi yang dikembangkan Komisi Pemberantasan Korupsi (KPK) melalui Monitoring Center for Prevention (MCP) dipahami sebagai instrumen monitoring yang dirancang untuk menekan biaya keagenan pada pemerintah daerah. Skor MCP merepresentasikan kualitas mekanisme pencegahan korupsi yang diterapkan oleh pemerintah daerah selaku agent, sehingga semakin tinggi skor MCP, semakin kecil pula peluang penyalahgunaan wewenang yang merugikan kepentingan publik. Dalam perspektif ini, MCP menjadi sinyal kepada para pemangku kepentingan, termasuk investor baik domestik maupun asing, mengenai komitmen pemerintah daerah dalam menciptakan tata kelola yang akuntabel. Dengan demikian, berdasarkan kerangka teori agensi, penelitian ini merumuskan premis teoritis bahwa semakin efektif mekanisme MCP dalam mereduksi asimetri informasi dan perilaku oportunistik pemerintah kabupaten/kota Jawa Tengah selaku agen, maka semakin besar pula kepercayaan investor selaku prinsipal untuk merealisasikan investasi di wilayah tersebut.</w:t>
      </w:r>
    </w:p>
    <w:p>
      <w:pPr>
        <w:pStyle w:val="Heading2"/>
        <w:jc w:val="left"/>
      </w:pPr>
      <w:r>
        <w:rPr>
          <w:rFonts w:ascii="Times New Roman" w:hAnsi="Times New Roman"/>
          <w:sz w:val="24"/>
        </w:rPr>
        <w:t>2.1.2 Teori Kelembagaan</w:t>
      </w:r>
    </w:p>
    <w:p>
      <w:pPr>
        <w:spacing w:line="360" w:lineRule="auto"/>
        <w:ind w:firstLine="720"/>
        <w:jc w:val="both"/>
      </w:pPr>
      <w:r>
        <w:rPr>
          <w:rFonts w:ascii="Times New Roman" w:hAnsi="Times New Roman"/>
          <w:sz w:val="24"/>
        </w:rPr>
        <w:t>Teori Kelembagaan (Institutional Theory) yang dikembangkan oleh North (1990, 1991) mendefinisikan institusi sebagai the rules of the game in a society, yaitu seperangkat aturan formal maupun informal yang dirancang untuk membatasi dan mengarahkan interaksi ekonomi, politik, dan sosial. Aturan formal mencakup undang-undang, regulasi, kontrak, dan struktur organisasi pemerintahan, sedangkan aturan informal meliputi norma sosial, kebiasaan, dan kode etik yang dianut masyarakat. Tujuan utama keberadaan institusi adalah untuk mengurangi ketidakpastian dalam pertukaran ekonomi sehingga biaya transaksi dapat ditekan dan aktivitas produktif dapat berjalan secara efisien (North, 1990).</w:t>
      </w:r>
    </w:p>
    <w:p>
      <w:pPr>
        <w:spacing w:line="360" w:lineRule="auto"/>
        <w:ind w:firstLine="720"/>
        <w:jc w:val="both"/>
      </w:pPr>
      <w:r>
        <w:rPr>
          <w:rFonts w:ascii="Times New Roman" w:hAnsi="Times New Roman"/>
          <w:sz w:val="24"/>
        </w:rPr>
        <w:t>Kualitas institusi suatu negara atau daerah secara umum dapat dievaluasi melalui beberapa dimensi, yaitu supremasi hukum (rule of law), efektivitas pemerintahan, kontrol terhadap korupsi, akuntabilitas birokrasi, transparansi penyelenggaraan kebijakan publik, serta stabilitas politik (Peres dkk., 2018; Hayat, 2019). Institusi yang kuat memberikan jaminan hak kepemilikan (property rights), kepastian hukum, dan kredibilitas kebijakan, sementara institusi yang lemah ditandai dengan tingginya korupsi, lemahnya penegakan hukum, serta birokrasi yang tidak efisien.</w:t>
      </w:r>
    </w:p>
    <w:p>
      <w:pPr>
        <w:spacing w:line="360" w:lineRule="auto"/>
        <w:ind w:firstLine="720"/>
        <w:jc w:val="both"/>
      </w:pPr>
      <w:r>
        <w:rPr>
          <w:rFonts w:ascii="Times New Roman" w:hAnsi="Times New Roman"/>
          <w:sz w:val="24"/>
        </w:rPr>
        <w:t>Teori Kelembagaan relevan dengan penelitian ini karena keputusan investasi pada hakikatnya merupakan keputusan yang sangat sensitif terhadap kualitas institusi. Investor, baik domestik maupun asing, sebelum menanamkan modal di suatu daerah, akan mempertimbangkan stabilitas kebijakan, transparansi birokrasi, serta jaminan kepastian hukum sebagai variabel penentu (Almakkiyah, 2026). Praktik korupsi yang tinggi merupakan sinyal nyata bahwa institusi suatu daerah lemah, karena korupsi akan menambah biaya transaksi, meningkatkan ketidakpastian iklim usaha, serta menurunkan kualitas pelayanan publik yang menjadi prasyarat operasional investasi.</w:t>
      </w:r>
    </w:p>
    <w:p>
      <w:pPr>
        <w:spacing w:line="360" w:lineRule="auto"/>
        <w:ind w:firstLine="720"/>
        <w:jc w:val="both"/>
      </w:pPr>
      <w:r>
        <w:rPr>
          <w:rFonts w:ascii="Times New Roman" w:hAnsi="Times New Roman"/>
          <w:sz w:val="24"/>
        </w:rPr>
        <w:t>Dalam konteks Indonesia, relevansi teori ini diperkuat oleh inisiatif Komisi Pemberantasan Korupsi (KPK) yang mengembangkan instrumen Monitoring Center for Prevention (MCP) sebagai pengukur kualitas kelembagaan tata kelola di tingkat pemerintah daerah. MCP memetakan delapan area yang dianggap rawan korupsi, antara lain perencanaan dan penganggaran, pengadaan barang dan jasa, perizinan/pelayanan publik, pengawasan APIP, manajemen ASN, optimalisasi pajak daerah, dan manajemen aset. Skor MCP yang tinggi merupakan indikasi bahwa institusi pemerintah daerah telah memperbaiki aturan main tata kelolanya secara substansial, yang menurut North (1990) akan menurunkan biaya transaksi bagi pelaku ekonomi.</w:t>
      </w:r>
    </w:p>
    <w:p>
      <w:pPr>
        <w:spacing w:line="360" w:lineRule="auto"/>
        <w:ind w:firstLine="720"/>
        <w:jc w:val="both"/>
      </w:pPr>
      <w:r>
        <w:rPr>
          <w:rFonts w:ascii="Times New Roman" w:hAnsi="Times New Roman"/>
          <w:sz w:val="24"/>
        </w:rPr>
        <w:t>Bukti empiris yang mendukung relevansi teori ini cukup konsisten. Peres dkk. (2018) menemukan bahwa kualitas institusi berpengaruh positif signifikan terhadap arus Foreign Direct Investment (FDI) baik di negara maju maupun berkembang. Hayat (2019) menegaskan hubungan komplementer antara kualitas institusi, FDI, dan pertumbuhan ekonomi. Pada tingkat domestik Indonesia, Christianingrum (2023) menemukan bahwa skor Corruption Perception Index (CPI) yang rendah, sebagai indikasi institusi lemah, berpengaruh negatif signifikan terhadap arus investasi langsung. Yuwono et al. (2025) menggunakan pendekatan difference-in-difference dan menemukan bahwa provinsi dengan sistem tata kelola regulasi yang lemah mengalami penurunan pertumbuhan FDI sebesar 26-30 persen, yang secara langsung mengonfirmasi proposisi North (1990) bahwa kualitas institusi menentukan kinerja ekonomi suatu wilayah.</w:t>
      </w:r>
    </w:p>
    <w:p>
      <w:pPr>
        <w:spacing w:line="360" w:lineRule="auto"/>
        <w:ind w:firstLine="720"/>
        <w:jc w:val="both"/>
      </w:pPr>
      <w:r>
        <w:rPr>
          <w:rFonts w:ascii="Times New Roman" w:hAnsi="Times New Roman"/>
          <w:sz w:val="24"/>
        </w:rPr>
        <w:t>Penerapan Teori Kelembagaan pada penelitian ini menghasilkan tiga implikasi konseptual yang menjadi dasar pembentukan hipotesis. Pertama, Skor MCP yang dihasilkan KPK dapat dimaknai sebagai proksi langsung kualitas institusi pemerintah daerah yang bersifat evidence-based, sehingga lebih objektif dibandingkan ukuran berbasis persepsi seperti CPI. Komponen-komponen MCP merupakan operasionalisasi konkret dari "aturan main" yang menurut North (1991) menentukan biaya transaksi pelaku ekonomi.</w:t>
      </w:r>
    </w:p>
    <w:p>
      <w:pPr>
        <w:spacing w:line="360" w:lineRule="auto"/>
        <w:ind w:firstLine="720"/>
        <w:jc w:val="both"/>
      </w:pPr>
      <w:r>
        <w:rPr>
          <w:rFonts w:ascii="Times New Roman" w:hAnsi="Times New Roman"/>
          <w:sz w:val="24"/>
        </w:rPr>
        <w:t>Kedua, tidak semua komponen MCP berdampak setara terhadap keputusan investasi. Komponen yang menyentuh langsung interaksi pelaku usaha dengan birokrasi, khususnya MCP Perizinan/Pelayanan Publik, diprediksi memiliki responsivitas paling tinggi terhadap investasi, karena kelembagaan perizinan adalah titik kontak utama yang menentukan biaya, waktu, dan kepastian masuknya modal. Sebaliknya, komponen yang sifatnya internal pemerintahan, seperti penguatan APIP atau manajemen ASN, diprediksi berpengaruh tidak langsung dan dalam waktu yang lebih panjang. Selain itu, respons PMA dan PMDN terhadap kualitas institusi diprediksi berbeda, mengingat investor domestik berinteraksi lebih intensif dengan birokrasi daerah dibandingkan investor asing yang kewenangan perizinannya lebih banyak berada di tingkat pusat (Farhan et al., 2025).</w:t>
      </w:r>
    </w:p>
    <w:p>
      <w:pPr>
        <w:spacing w:line="360" w:lineRule="auto"/>
        <w:ind w:firstLine="720"/>
        <w:jc w:val="both"/>
      </w:pPr>
      <w:r>
        <w:rPr>
          <w:rFonts w:ascii="Times New Roman" w:hAnsi="Times New Roman"/>
          <w:sz w:val="24"/>
        </w:rPr>
        <w:t>Ketiga, perubahan kerangka indikator MCP dari "Perizinan" (2023) menjadi "Pelayanan Publik" (2024-2025) merupakan bentuk reformasi kelembagaan yang menurut Linda dkk. (2024) merupakan prioritas strategis pencegahan korupsi daerah. Dari perspektif Teori Kelembagaan, reformasi indikator ini berpotensi mengubah perilaku birokrasi serta persepsi pelaku usaha terhadap kredibilitas tata kelola sehingga relasi MCP-investasi dapat berbeda antara dua periode rezim indikator.</w:t>
      </w:r>
    </w:p>
    <w:p>
      <w:pPr>
        <w:spacing w:line="360" w:lineRule="auto"/>
        <w:ind w:firstLine="720"/>
        <w:jc w:val="both"/>
      </w:pPr>
      <w:r>
        <w:rPr>
          <w:rFonts w:ascii="Times New Roman" w:hAnsi="Times New Roman"/>
          <w:sz w:val="24"/>
        </w:rPr>
        <w:t>Berdasarkan uraian di atas, Teori Kelembagaan memberikan landasan teoretis bahwa peningkatan kualitas tata kelola pemerintah daerah, sebagaimana direpresentasikan oleh skor komponen MCP, akan menurunkan biaya transaksi institusional dan meningkatkan kepastian usaha sehingga mendorong realisasi investasi. Dengan demikian, hipotesis yang dibangun atas dasar Teori Kelembagaan dirumuskan sebagai berikut:</w:t>
      </w:r>
    </w:p>
    <w:p>
      <w:pPr>
        <w:pStyle w:val="ListBullet"/>
      </w:pPr>
      <w:r>
        <w:rPr>
          <w:rFonts w:ascii="Times New Roman" w:hAnsi="Times New Roman"/>
          <w:sz w:val="24"/>
        </w:rPr>
        <w:t>H1: Komponen MCP, khususnya MCP Perizinan/Pelayanan Publik, berpengaruh positif signifikan terhadap realisasi investasi di kabupaten/kota Provinsi Jawa Tengah periode 2023-2025.</w:t>
      </w:r>
    </w:p>
    <w:p>
      <w:pPr>
        <w:pStyle w:val="ListBullet"/>
      </w:pPr>
      <w:r>
        <w:rPr>
          <w:rFonts w:ascii="Times New Roman" w:hAnsi="Times New Roman"/>
          <w:sz w:val="24"/>
        </w:rPr>
        <w:t>H2: Reformasi kerangka indikator MCP dari "Perizinan" menjadi "Pelayanan Publik" pada 2024 memperkuat pengaruh komponen perizinan/pelayanan publik terhadap realisasi investasi.</w:t>
      </w:r>
    </w:p>
    <w:p>
      <w:pPr>
        <w:pStyle w:val="Heading2"/>
        <w:jc w:val="left"/>
      </w:pPr>
      <w:r>
        <w:rPr>
          <w:rFonts w:ascii="Times New Roman" w:hAnsi="Times New Roman"/>
          <w:sz w:val="24"/>
        </w:rPr>
        <w:t>2.1.3 Ekonomi Kelembagaan Baru dan Biaya Transaksi</w:t>
      </w:r>
    </w:p>
    <w:p>
      <w:pPr>
        <w:spacing w:line="360" w:lineRule="auto"/>
        <w:ind w:firstLine="720"/>
        <w:jc w:val="both"/>
      </w:pPr>
      <w:r>
        <w:rPr>
          <w:rFonts w:ascii="Times New Roman" w:hAnsi="Times New Roman"/>
          <w:sz w:val="24"/>
        </w:rPr>
        <w:t>Pendekatan ekonomi kelembagaan baru (new institutional economics) yang dikembangkan oleh North (1990, 1991) menyatakan bahwa institusi merupakan aturan main yang membentuk perilaku ekonomi dan menentukan kinerja ekonomi suatu wilayah. Institusi yang berkualitas mengurangi ketidakpastian, menciptakan ketertiban, dan menurunkan biaya transaksi. Williamson (2000) menambahkan bahwa biaya transaksi mencakup biaya pencarian informasi, biaya negosiasi, biaya kontrak, serta biaya penegakan kontrak. Apabila kualitas institusi rendah, pelaku usaha terpaksa menanggung biaya tambahan di luar biaya resmi, seperti suap, gratifikasi, atau biaya pelicin yang menggerus efisiensi usaha.</w:t>
      </w:r>
    </w:p>
    <w:p>
      <w:pPr>
        <w:spacing w:line="360" w:lineRule="auto"/>
        <w:ind w:firstLine="720"/>
        <w:jc w:val="both"/>
      </w:pPr>
      <w:r>
        <w:rPr>
          <w:rFonts w:ascii="Times New Roman" w:hAnsi="Times New Roman"/>
          <w:sz w:val="24"/>
        </w:rPr>
        <w:t>Dalam kerangka ini, pencegahan korupsi melalui MCP merupakan bagian dari upaya memperbaiki kualitas institusi pada tingkat pemerintahan daerah. Mengistu dan Adhikary (2011) menemukan bahwa investasi bersifat elastis terhadap biaya transaksi, sehingga aliran investasi cenderung mengalir ke wilayah dengan ekspektasi keberlangsungan usaha yang baik. Haptari et al. (2022) menemukan bahwa desentralisasi fiskal, yang diukur melalui revenue-sharing dan belanja infrastruktur pemerintah daerah, berpengaruh positif dan signifikan terhadap FDI di tingkat kabupaten/kota Indonesia, yang mengindikasikan bahwa kebijakan fiskal daerah yang berkualitas sebagai cerminan institusi yang baik mampu menarik investasi asing. Penelitian ini mendalilkan bahwa skor MCP yang tinggi pada komponen-komponen tertentu, terutama yang berkaitan langsung dengan interaksi pelaku usaha dengan birokrasi, akan menurunkan biaya transaksi dan meningkatkan daya tarik investasi.</w:t>
      </w:r>
    </w:p>
    <w:p>
      <w:pPr>
        <w:pStyle w:val="Heading2"/>
        <w:jc w:val="left"/>
      </w:pPr>
      <w:r>
        <w:rPr>
          <w:rFonts w:ascii="Times New Roman" w:hAnsi="Times New Roman"/>
          <w:sz w:val="24"/>
        </w:rPr>
        <w:t>2.1.4 Teori Permintaan Investasi (Theory of the Firm)</w:t>
      </w:r>
    </w:p>
    <w:p>
      <w:pPr>
        <w:spacing w:line="360" w:lineRule="auto"/>
        <w:ind w:firstLine="720"/>
        <w:jc w:val="both"/>
      </w:pPr>
      <w:r>
        <w:rPr>
          <w:rFonts w:ascii="Times New Roman" w:hAnsi="Times New Roman"/>
          <w:sz w:val="24"/>
        </w:rPr>
        <w:t>Pindyck dan Rubinfeld (2018) menjelaskan bahwa berdasarkan teori perusahaan, tujuan utama pelaku usaha adalah memaksimalkan keuntungan dengan meminimalkan biaya produksi. Dalam aktivitas investasi, perusahaan akan menentukan jumlah modal optimal yang dibutuhkan dengan mempertimbangkan biaya kapital dan biaya tenaga kerja. Williamson (2002) menegaskan bahwa teori perusahaan tidak dapat dipisahkan dari struktur tata kelola karena efisiensi perusahaan sangat ditentukan oleh kualitas lingkungan kelembagaan tempat perusahaan beroperasi.</w:t>
      </w:r>
    </w:p>
    <w:p>
      <w:pPr>
        <w:spacing w:line="360" w:lineRule="auto"/>
        <w:ind w:firstLine="720"/>
        <w:jc w:val="both"/>
      </w:pPr>
      <w:r>
        <w:rPr>
          <w:rFonts w:ascii="Times New Roman" w:hAnsi="Times New Roman"/>
          <w:sz w:val="24"/>
        </w:rPr>
        <w:t>Tua dan Mahi (2022) menurunkan model matematis hubungan antara pencegahan korupsi dan akumulasi investasi dengan memasukkan korupsi sebagai komponen biaya tidak resmi dalam fungsi produksi. Hasil derivasi mereka menunjukkan bahwa peningkatan indeks pencegahan korupsi berdampak positif terhadap akumulasi modal apabila korupsi dipersepsikan sebagai hambatan ekonomi (sand the wheel). Argumen ini menjadi landasan ekonomi mikro yang mendasari hipotesis penelitian ini, yaitu bahwa setiap komponen MCP berpotensi memengaruhi keputusan investasi melalui mekanisme penurunan biaya produksi dan kepastian usaha. Aswan et al. (2024) memperkuat argumen ini dengan menemukan bahwa investasi domestik yang beredar di tingkat provinsi berpengaruh signifikan terhadap keputusan kredit investasi bank daerah, yang mengindikasikan bahwa kualitas lingkungan investasi lokal berperan penting dalam dinamika permodalan daerah.</w:t>
      </w:r>
    </w:p>
    <w:p>
      <w:pPr>
        <w:pStyle w:val="Heading2"/>
        <w:jc w:val="left"/>
      </w:pPr>
      <w:r>
        <w:rPr>
          <w:rFonts w:ascii="Times New Roman" w:hAnsi="Times New Roman"/>
          <w:sz w:val="24"/>
        </w:rPr>
        <w:t>2.1.5 Hipotesis Grease the Wheel dan Sand the Wheel</w:t>
      </w:r>
    </w:p>
    <w:p>
      <w:pPr>
        <w:spacing w:line="360" w:lineRule="auto"/>
        <w:ind w:firstLine="720"/>
        <w:jc w:val="both"/>
      </w:pPr>
      <w:r>
        <w:rPr>
          <w:rFonts w:ascii="Times New Roman" w:hAnsi="Times New Roman"/>
          <w:sz w:val="24"/>
        </w:rPr>
        <w:t>Literatur ekonomi pembangunan mendokumentasikan dua pandangan mengenai hubungan korupsi dan investasi. Pandangan pertama, grease the wheel hypothesis, dikemukakan oleh Leff (1964) dan Huntington (2006) yang menyatakan bahwa korupsi dapat berfungsi sebagai pelumas birokrasi yang mempercepat pengurusan izin di lingkungan birokrasi yang berbelit-belit. Pandangan kedua, sand the wheel hypothesis, dipertahankan oleh Mauro (1995) dan Murphy et al. (1991) yang berargumen bahwa korupsi justru menambah ketidakpastian, menaikkan biaya, dan menurunkan insentif investasi.</w:t>
      </w:r>
    </w:p>
    <w:p>
      <w:pPr>
        <w:spacing w:line="360" w:lineRule="auto"/>
        <w:ind w:firstLine="720"/>
        <w:jc w:val="both"/>
      </w:pPr>
      <w:r>
        <w:rPr>
          <w:rFonts w:ascii="Times New Roman" w:hAnsi="Times New Roman"/>
          <w:sz w:val="24"/>
        </w:rPr>
        <w:t>Bukti empiris kontemporer di Indonesia cenderung mendukung sand the wheel hypothesis. Christianingrum (2023) menemukan bahwa indeks persepsi korupsi berpengaruh negatif signifikan terhadap aliran investasi asing langsung di Indonesia, yang mendukung hipotesis sand the wheel meskipun rekomendasi penelitiannya tetap menekankan pentingnya perbaikan kelembagaan. Alfada (2019) menemukan adanya threshold korupsi di Indonesia menggunakan model nonlinier, di mana efek destruktif korupsi terhadap pertumbuhan ekonomi semakin kuat pada provinsi dengan tingkat korupsi di atas ambang batas. Tua dan Mahi (2022) menemukan bahwa skor MCP berpengaruh positif terhadap akumulasi investasi swasta di kabupaten/kota Indonesia, yang menegaskan bahwa upaya pencegahan korupsi yang lebih kuat meningkatkan investasi. Pola ini mendasari pemikiran bahwa pencegahan korupsi yang terukur melalui komponen MCP akan mendorong realisasi investasi pada tingkat pemerintah daerah.</w:t>
      </w:r>
    </w:p>
    <w:p>
      <w:pPr>
        <w:pStyle w:val="Heading2"/>
        <w:jc w:val="left"/>
      </w:pPr>
      <w:r>
        <w:rPr>
          <w:rFonts w:ascii="Times New Roman" w:hAnsi="Times New Roman"/>
          <w:sz w:val="24"/>
        </w:rPr>
        <w:t>2.1.6 Teori Perubahan Struktural (Structural Break)</w:t>
      </w:r>
    </w:p>
    <w:p>
      <w:pPr>
        <w:spacing w:line="360" w:lineRule="auto"/>
        <w:ind w:firstLine="720"/>
        <w:jc w:val="both"/>
      </w:pPr>
      <w:r>
        <w:rPr>
          <w:rFonts w:ascii="Times New Roman" w:hAnsi="Times New Roman"/>
          <w:sz w:val="24"/>
        </w:rPr>
        <w:t>Perubahan struktural mengacu pada situasi di mana parameter suatu hubungan ekonometrik berubah sebagai akibat dari peristiwa tertentu, seperti perubahan kebijakan, reformasi regulasi, atau guncangan eksogen lainnya (Chow, 1960; Hansen, 2001). Dalam konteks ekonomi-regulasi, perubahan kerangka kebijakan yang signifikan dapat menggeser respons aktor ekonomi terhadap variabel kebijakan tersebut.</w:t>
      </w:r>
    </w:p>
    <w:p>
      <w:pPr>
        <w:spacing w:line="360" w:lineRule="auto"/>
        <w:ind w:firstLine="720"/>
        <w:jc w:val="both"/>
      </w:pPr>
      <w:r>
        <w:rPr>
          <w:rFonts w:ascii="Times New Roman" w:hAnsi="Times New Roman"/>
          <w:sz w:val="24"/>
        </w:rPr>
        <w:t>Pada tahun 2024, KPK melakukan perubahan label dan kerangka indikator pada area Perizinan dalam MCP menjadi Pelayanan Publik, yang memperluas cakupan dari urusan perizinan saja menjadi seluruh dimensi pelayanan publik termasuk standar pelayanan, sistem informasi, dan integrasi pelayanan. Perubahan kerangka ini berpotensi menggeser bagaimana skor pada area tersebut diterjemahkan oleh investor dalam pengambilan keputusan investasi. Yuwono et al. (2025) menggunakan pendekatan difference-in-difference dan menemukan bahwa perubahan kerangka regulasi pada tata kelola sub-nasional berdampak signifikan pada arus investasi, di mana provinsi dengan tata kelola regulasi lemah kehilangan 26-30 persen pertumbuhan FDI secara permanen. Almakkiyah (2026) juga mendokumentasikan adanya pola threshold consistency, di mana reformasi institusional baru memberikan dampak nyata setelah mencapai tingkat kematangan tertentu.</w:t>
      </w:r>
    </w:p>
    <w:p>
      <w:pPr>
        <w:spacing w:line="360" w:lineRule="auto"/>
        <w:ind w:firstLine="720"/>
        <w:jc w:val="both"/>
      </w:pPr>
      <w:r>
        <w:rPr>
          <w:rFonts w:ascii="Times New Roman" w:hAnsi="Times New Roman"/>
          <w:sz w:val="24"/>
        </w:rPr>
        <w:t>Berdasarkan teori dan bukti empiris tersebut, perubahan kerangka MCP pada tahun 2024 diasumsikan dapat menghasilkan koefisien pengaruh yang berbeda terhadap investasi dibandingkan periode sebelumnya. Pengujian structural break dilakukan menggunakan pendekatan interaction dummy untuk membedakan periode sebelum dan sesudah perubahan kerangka.</w:t>
      </w:r>
    </w:p>
    <w:p>
      <w:pPr>
        <w:pStyle w:val="Heading2"/>
        <w:jc w:val="left"/>
      </w:pPr>
      <w:r>
        <w:rPr>
          <w:rFonts w:ascii="Times New Roman" w:hAnsi="Times New Roman"/>
          <w:sz w:val="24"/>
        </w:rPr>
        <w:t>2.2 Konsep Variabel Penelitian</w:t>
      </w:r>
    </w:p>
    <w:p>
      <w:pPr>
        <w:pStyle w:val="Heading2"/>
        <w:jc w:val="left"/>
      </w:pPr>
      <w:r>
        <w:rPr>
          <w:rFonts w:ascii="Times New Roman" w:hAnsi="Times New Roman"/>
          <w:sz w:val="24"/>
        </w:rPr>
        <w:t>2.2.1 Investasi (Total, PMDN, dan PMA)</w:t>
      </w:r>
    </w:p>
    <w:p>
      <w:pPr>
        <w:spacing w:line="360" w:lineRule="auto"/>
        <w:ind w:firstLine="720"/>
        <w:jc w:val="both"/>
      </w:pPr>
      <w:r>
        <w:rPr>
          <w:rFonts w:ascii="Times New Roman" w:hAnsi="Times New Roman"/>
          <w:sz w:val="24"/>
        </w:rPr>
        <w:t>Investasi merupakan salah satu komponen utama dalam mendorong pertumbuhan ekonomi daerah karena berperan dalam meningkatkan kapasitas produksi, menciptakan lapangan kerja, dan memperluas aktivitas ekonomi. Berdasarkan Undang-Undang Nomor 25 Tahun 2007 tentang Penanaman Modal, investasi di Indonesia dibedakan menjadi dua jenis: Penanaman Modal Dalam Negeri (PMDN) dan Penanaman Modal Asing (PMA).</w:t>
      </w:r>
    </w:p>
    <w:p>
      <w:pPr>
        <w:spacing w:line="360" w:lineRule="auto"/>
        <w:ind w:firstLine="720"/>
        <w:jc w:val="both"/>
      </w:pPr>
      <w:r>
        <w:rPr>
          <w:rFonts w:ascii="Times New Roman" w:hAnsi="Times New Roman"/>
          <w:sz w:val="24"/>
        </w:rPr>
        <w:t>PMDN didefinisikan sebagai kegiatan menanam modal untuk melakukan usaha di wilayah Republik Indonesia yang dilakukan oleh penanam modal dalam negeri dengan menggunakan modal dalam negeri. PMDN memiliki posisi strategis dalam pembangunan ekonomi nasional karena tidak menimbulkan risiko capital flight sebagaimana investasi asing serta lebih responsif terhadap kondisi ekonomi domestik (Aswan et al., 2024). Hermawan (2025) menekankan pentingnya mendorong realisasi PMDN secara merata antarwilayah agar pembangunan tidak terkonsentrasi pada Pulau Jawa saja.</w:t>
      </w:r>
    </w:p>
    <w:p>
      <w:pPr>
        <w:spacing w:line="360" w:lineRule="auto"/>
        <w:ind w:firstLine="720"/>
        <w:jc w:val="both"/>
      </w:pPr>
      <w:r>
        <w:rPr>
          <w:rFonts w:ascii="Times New Roman" w:hAnsi="Times New Roman"/>
          <w:sz w:val="24"/>
        </w:rPr>
        <w:t>PMA didefinisikan sebagai kegiatan menanam modal untuk melakukan usaha di wilayah Republik Indonesia yang dilakukan oleh penanam modal asing, baik menggunakan modal asing sepenuhnya maupun yang berpatungan dengan penanam modal dalam negeri. PMA berperan penting dalam transfer teknologi, penciptaan lapangan kerja berkualitas tinggi, dan integrasi ekonomi nasional dengan rantai pasok global. Namun demikian, Farhan et al. (2025) mencatat bahwa kewenangan pemerintah daerah atas PMA bersifat terbatas, di mana daerah hanya berperan sebagai fasilitator dan pengawas yang mengikuti regulasi pemerintah pusat. Yuwono et al. (2025) membuktikan bahwa kualitas tata kelola regulasi di tingkat sub-nasional tetap berpengaruh signifikan terhadap pertumbuhan FDI meskipun kewenangan formal berada di pusat.</w:t>
      </w:r>
    </w:p>
    <w:p>
      <w:pPr>
        <w:spacing w:line="360" w:lineRule="auto"/>
        <w:ind w:firstLine="720"/>
        <w:jc w:val="both"/>
      </w:pPr>
      <w:r>
        <w:rPr>
          <w:rFonts w:ascii="Times New Roman" w:hAnsi="Times New Roman"/>
          <w:sz w:val="24"/>
        </w:rPr>
        <w:t>Dalam penelitian ini, realisasi investasi diukur melalui tiga variabel dependen untuk menangkap dinamika investasi secara komprehensif: (1) total investasi yang merupakan penjumlahan realisasi PMA dan PMDN; (2) realisasi PMDN secara terpisah; dan (3) realisasi PMA secara terpisah. Pemisahan ini didasarkan pada temuan Aswan et al. (2024) bahwa PMDN pada tingkat provinsi berpengaruh signifikan terhadap keputusan kredit investasi bank daerah sementara PMA tidak, yang mengindikasikan mekanisme transmisi yang berbeda antara kedua jenis investasi terhadap perekonomian lokal. Realisasi investasi diukur melalui nilai investasi yang telah direalisasikan dalam Rupiah, dengan sumber data utama dari Badan Koordinasi Penanaman Modal (BKPM) dan Dinas Penanaman Modal dan Pelayanan Terpadu Satu Pintu (DPMPTSP) provinsi.</w:t>
      </w:r>
    </w:p>
    <w:p>
      <w:pPr>
        <w:pStyle w:val="Heading2"/>
        <w:jc w:val="left"/>
      </w:pPr>
      <w:r>
        <w:rPr>
          <w:rFonts w:ascii="Times New Roman" w:hAnsi="Times New Roman"/>
          <w:sz w:val="24"/>
        </w:rPr>
        <w:t>2.2.2 Monitoring Center for Prevention (MCP)</w:t>
      </w:r>
    </w:p>
    <w:p>
      <w:pPr>
        <w:spacing w:line="360" w:lineRule="auto"/>
        <w:ind w:firstLine="720"/>
        <w:jc w:val="both"/>
      </w:pPr>
      <w:r>
        <w:rPr>
          <w:rFonts w:ascii="Times New Roman" w:hAnsi="Times New Roman"/>
          <w:sz w:val="24"/>
        </w:rPr>
        <w:t>Monitoring Center for Prevention (MCP) adalah instrumen yang dikembangkan oleh KPK untuk memantau, menilai, dan mendorong upaya pencegahan korupsi di lingkungan pemerintah daerah. MCP mengukur kemajuan pencegahan korupsi pada area-area tata kelola yang dinilai paling rentan terhadap praktik korupsi berdasarkan data penanganan perkara KPK selama bertahun-tahun (Tua &amp; Mahi, 2022). Skor MCP berkisar antara 0 hingga 100, di mana nilai yang semakin mendekati 100 menandakan kualitas pencegahan korupsi yang semakin baik.</w:t>
      </w:r>
    </w:p>
    <w:p>
      <w:pPr>
        <w:spacing w:line="360" w:lineRule="auto"/>
        <w:ind w:firstLine="720"/>
        <w:jc w:val="both"/>
      </w:pPr>
      <w:r>
        <w:rPr>
          <w:rFonts w:ascii="Times New Roman" w:hAnsi="Times New Roman"/>
          <w:sz w:val="24"/>
        </w:rPr>
        <w:t>Verifikasi atas pemenuhan indikator dan sub-indikator MCP dilakukan oleh tim KPK secara berbasis bukti (evidence-based) melalui pemeriksaan dokumen dan data yang diunggah pada aplikasi MCP. Pendekatan ini menjadikan MCP sebagai indikator yang lebih objektif dibandingkan indeks persepsi korupsi yang berbasis survei. Linda et al. (2024) menyimpulkan bahwa penajaman indikator MCP merupakan prioritas strategis dalam upaya pencegahan korupsi di tingkat daerah.</w:t>
      </w:r>
    </w:p>
    <w:p>
      <w:pPr>
        <w:pStyle w:val="Heading2"/>
        <w:jc w:val="left"/>
      </w:pPr>
      <w:r>
        <w:rPr>
          <w:rFonts w:ascii="Times New Roman" w:hAnsi="Times New Roman"/>
          <w:sz w:val="24"/>
        </w:rPr>
        <w:t>2.2.3 Tujuh Komponen MCP</w:t>
      </w:r>
    </w:p>
    <w:p>
      <w:pPr>
        <w:spacing w:line="360" w:lineRule="auto"/>
        <w:ind w:firstLine="720"/>
        <w:jc w:val="both"/>
      </w:pPr>
      <w:r>
        <w:rPr>
          <w:rFonts w:ascii="Times New Roman" w:hAnsi="Times New Roman"/>
          <w:sz w:val="24"/>
        </w:rPr>
        <w:t>Pada periode penelitian ini, MCP mencakup tujuh komponen tata kelola yang masing-masing memiliki indikator dan sub-indikator tersendiri, yaitu:</w:t>
      </w:r>
    </w:p>
    <w:p>
      <w:pPr>
        <w:pStyle w:val="ListBullet"/>
      </w:pPr>
      <w:r>
        <w:rPr>
          <w:rFonts w:ascii="Times New Roman" w:hAnsi="Times New Roman"/>
          <w:sz w:val="24"/>
        </w:rPr>
        <w:t>Perencanaan dan Penganggaran APBD (mcp_perang), mengukur kualitas proses penyusunan anggaran daerah agar tepat sasaran, transparan, dan partisipatif.</w:t>
      </w:r>
    </w:p>
    <w:p>
      <w:pPr>
        <w:pStyle w:val="ListBullet"/>
      </w:pPr>
      <w:r>
        <w:rPr>
          <w:rFonts w:ascii="Times New Roman" w:hAnsi="Times New Roman"/>
          <w:sz w:val="24"/>
        </w:rPr>
        <w:t>Pengadaan Barang dan Jasa (mcp_pbj), mengukur penerapan prinsip transparansi, kompetisi sehat, dan efisiensi dalam proses pengadaan publik.</w:t>
      </w:r>
    </w:p>
    <w:p>
      <w:pPr>
        <w:pStyle w:val="ListBullet"/>
      </w:pPr>
      <w:r>
        <w:rPr>
          <w:rFonts w:ascii="Times New Roman" w:hAnsi="Times New Roman"/>
          <w:sz w:val="24"/>
        </w:rPr>
        <w:t>Perizinan / Pelayanan Publik (mcp_izin), mengukur kualitas penyelenggaraan perizinan terpadu satu pintu dan sistem pelayanan publik. Pada tahun 2024, area ini direlabel menjadi Pelayanan Publik dengan cakupan yang lebih luas.</w:t>
      </w:r>
    </w:p>
    <w:p>
      <w:pPr>
        <w:pStyle w:val="ListBullet"/>
      </w:pPr>
      <w:r>
        <w:rPr>
          <w:rFonts w:ascii="Times New Roman" w:hAnsi="Times New Roman"/>
          <w:sz w:val="24"/>
        </w:rPr>
        <w:t>Pengawasan Aparat Pengawas Intern Pemerintah / APIP (mcp_apip), mengukur kapasitas dan independensi inspektorat daerah.</w:t>
      </w:r>
    </w:p>
    <w:p>
      <w:pPr>
        <w:pStyle w:val="ListBullet"/>
      </w:pPr>
      <w:r>
        <w:rPr>
          <w:rFonts w:ascii="Times New Roman" w:hAnsi="Times New Roman"/>
          <w:sz w:val="24"/>
        </w:rPr>
        <w:t>Manajemen Aparatur Sipil Negara (mcp_masn), mengukur penerapan prinsip merit dalam pengelolaan ASN, termasuk rekrutmen, mutasi, dan promosi.</w:t>
      </w:r>
    </w:p>
    <w:p>
      <w:pPr>
        <w:pStyle w:val="ListBullet"/>
      </w:pPr>
      <w:r>
        <w:rPr>
          <w:rFonts w:ascii="Times New Roman" w:hAnsi="Times New Roman"/>
          <w:sz w:val="24"/>
        </w:rPr>
        <w:t>Optimalisasi Pajak Daerah (mcp_opd), mengukur efektivitas sistem pemungutan dan administrasi pajak daerah.</w:t>
      </w:r>
    </w:p>
    <w:p>
      <w:pPr>
        <w:pStyle w:val="ListBullet"/>
      </w:pPr>
      <w:r>
        <w:rPr>
          <w:rFonts w:ascii="Times New Roman" w:hAnsi="Times New Roman"/>
          <w:sz w:val="24"/>
        </w:rPr>
        <w:t>Manajemen Aset Daerah (mcp_maset), mengukur tata kelola aset daerah yang tertib administratif dan tertib hukum.</w:t>
      </w:r>
    </w:p>
    <w:p>
      <w:pPr>
        <w:spacing w:line="360" w:lineRule="auto"/>
        <w:ind w:firstLine="720"/>
        <w:jc w:val="both"/>
      </w:pPr>
      <w:r>
        <w:rPr>
          <w:rFonts w:ascii="Times New Roman" w:hAnsi="Times New Roman"/>
          <w:sz w:val="24"/>
        </w:rPr>
        <w:t>Penelitian ini melakukan dekomposisi atas tujuh komponen MCP karena penelitian terdahulu (Tua &amp; Mahi, 2022; Almakkiyah, 2026) hanya menggunakan skor agregat sehingga belum dapat mengidentifikasi area tata kelola spesifik yang berkontribusi paling besar terhadap investasi.</w:t>
      </w:r>
    </w:p>
    <w:p>
      <w:pPr>
        <w:pStyle w:val="Heading2"/>
        <w:jc w:val="left"/>
      </w:pPr>
      <w:r>
        <w:rPr>
          <w:rFonts w:ascii="Times New Roman" w:hAnsi="Times New Roman"/>
          <w:sz w:val="24"/>
        </w:rPr>
        <w:t>2.2.4 Variabel Kontrol: Jumlah Penduduk</w:t>
      </w:r>
    </w:p>
    <w:p>
      <w:pPr>
        <w:spacing w:line="360" w:lineRule="auto"/>
        <w:ind w:firstLine="720"/>
        <w:jc w:val="both"/>
      </w:pPr>
      <w:r>
        <w:rPr>
          <w:rFonts w:ascii="Times New Roman" w:hAnsi="Times New Roman"/>
          <w:sz w:val="24"/>
        </w:rPr>
        <w:t>Penelitian ini menggunakan jumlah penduduk sebagai variabel kontrol untuk memperhitungkan ukuran pasar (market size) pada tingkat kabupaten/kota. Tua dan Mahi (2022) menemukan bahwa jumlah tenaga kerja sebagai proksi ukuran pasar berpengaruh positif signifikan terhadap akumulasi investasi swasta. Investor cenderung memilih daerah dengan potensi pasar yang besar karena menjamin permintaan agregat dan ketersediaan tenaga kerja. Variabel ini ditransformasi dalam bentuk logaritma natural untuk menyetarakan skala antarvariabel dan mengurangi heteroskedastisitas.</w:t>
      </w:r>
    </w:p>
    <w:p>
      <w:pPr>
        <w:pStyle w:val="Heading2"/>
        <w:jc w:val="left"/>
      </w:pPr>
      <w:r>
        <w:rPr>
          <w:rFonts w:ascii="Times New Roman" w:hAnsi="Times New Roman"/>
          <w:sz w:val="24"/>
        </w:rPr>
        <w:t>2.3 Penelitian Terdahulu</w:t>
      </w:r>
    </w:p>
    <w:p>
      <w:pPr>
        <w:spacing w:line="360" w:lineRule="auto"/>
        <w:ind w:firstLine="720"/>
        <w:jc w:val="both"/>
      </w:pPr>
      <w:r>
        <w:rPr>
          <w:rFonts w:ascii="Times New Roman" w:hAnsi="Times New Roman"/>
          <w:sz w:val="24"/>
        </w:rPr>
        <w:t>Penelitian terdahulu yang menjadi referensi antara lain:</w:t>
      </w:r>
    </w:p>
    <w:tbl>
      <w:tblPr>
        <w:tblStyle w:val="TableGrid"/>
        <w:tblW w:type="auto" w:w="0"/>
        <w:tblLook w:firstColumn="1" w:firstRow="1" w:lastColumn="0" w:lastRow="0" w:noHBand="0" w:noVBand="1" w:val="04A0"/>
      </w:tblPr>
      <w:tblGrid>
        <w:gridCol w:w="1378"/>
        <w:gridCol w:w="1378"/>
        <w:gridCol w:w="1378"/>
        <w:gridCol w:w="1378"/>
        <w:gridCol w:w="1378"/>
        <w:gridCol w:w="1378"/>
      </w:tblGrid>
      <w:tr>
        <w:tc>
          <w:tcPr>
            <w:tcW w:type="dxa" w:w="1378"/>
          </w:tcPr>
          <w:p>
            <w:r>
              <w:rPr>
                <w:rFonts w:ascii="Times New Roman" w:hAnsi="Times New Roman"/>
                <w:sz w:val="20"/>
              </w:rPr>
              <w:t>No</w:t>
            </w:r>
          </w:p>
        </w:tc>
        <w:tc>
          <w:tcPr>
            <w:tcW w:type="dxa" w:w="1378"/>
          </w:tcPr>
          <w:p>
            <w:r>
              <w:rPr>
                <w:rFonts w:ascii="Times New Roman" w:hAnsi="Times New Roman"/>
                <w:sz w:val="20"/>
              </w:rPr>
              <w:t>Peneliti (Tahun)</w:t>
            </w:r>
          </w:p>
        </w:tc>
        <w:tc>
          <w:tcPr>
            <w:tcW w:type="dxa" w:w="1378"/>
          </w:tcPr>
          <w:p>
            <w:r>
              <w:rPr>
                <w:rFonts w:ascii="Times New Roman" w:hAnsi="Times New Roman"/>
                <w:sz w:val="20"/>
              </w:rPr>
              <w:t>Judul Penelitian</w:t>
            </w:r>
          </w:p>
        </w:tc>
        <w:tc>
          <w:tcPr>
            <w:tcW w:type="dxa" w:w="1378"/>
          </w:tcPr>
          <w:p>
            <w:r>
              <w:rPr>
                <w:rFonts w:ascii="Times New Roman" w:hAnsi="Times New Roman"/>
                <w:sz w:val="20"/>
              </w:rPr>
              <w:t>Variabel &amp; Metode</w:t>
            </w:r>
          </w:p>
        </w:tc>
        <w:tc>
          <w:tcPr>
            <w:tcW w:type="dxa" w:w="1378"/>
          </w:tcPr>
          <w:p>
            <w:r>
              <w:rPr>
                <w:rFonts w:ascii="Times New Roman" w:hAnsi="Times New Roman"/>
                <w:sz w:val="20"/>
              </w:rPr>
              <w:t>Hasil Penelitian</w:t>
            </w:r>
          </w:p>
        </w:tc>
        <w:tc>
          <w:tcPr>
            <w:tcW w:type="dxa" w:w="1378"/>
          </w:tcPr>
          <w:p>
            <w:r>
              <w:rPr>
                <w:rFonts w:ascii="Times New Roman" w:hAnsi="Times New Roman"/>
                <w:sz w:val="20"/>
              </w:rPr>
              <w:t>Persamaan dan Perbedaan</w:t>
            </w:r>
          </w:p>
        </w:tc>
      </w:tr>
      <w:tr>
        <w:tc>
          <w:tcPr>
            <w:tcW w:type="dxa" w:w="1378"/>
          </w:tcPr>
          <w:p>
            <w:r>
              <w:rPr>
                <w:rFonts w:ascii="Times New Roman" w:hAnsi="Times New Roman"/>
                <w:sz w:val="20"/>
              </w:rPr>
              <w:t>1</w:t>
            </w:r>
          </w:p>
        </w:tc>
        <w:tc>
          <w:tcPr>
            <w:tcW w:type="dxa" w:w="1378"/>
          </w:tcPr>
          <w:p>
            <w:r>
              <w:rPr>
                <w:rFonts w:ascii="Times New Roman" w:hAnsi="Times New Roman"/>
                <w:sz w:val="20"/>
              </w:rPr>
              <w:t>Tua, M. &amp; Mahi, B.R. (2022)</w:t>
            </w:r>
          </w:p>
        </w:tc>
        <w:tc>
          <w:tcPr>
            <w:tcW w:type="dxa" w:w="1378"/>
          </w:tcPr>
          <w:p>
            <w:r>
              <w:rPr>
                <w:rFonts w:ascii="Times New Roman" w:hAnsi="Times New Roman"/>
                <w:sz w:val="20"/>
              </w:rPr>
              <w:t>Analysis of the Effect of Corruption Prevention on Private Investment at the District/City Level in Indonesia</w:t>
            </w:r>
          </w:p>
        </w:tc>
        <w:tc>
          <w:tcPr>
            <w:tcW w:type="dxa" w:w="1378"/>
          </w:tcPr>
          <w:p>
            <w:r>
              <w:rPr>
                <w:rFonts w:ascii="Times New Roman" w:hAnsi="Times New Roman"/>
                <w:sz w:val="20"/>
              </w:rPr>
              <w:t>Variabel: Y = Ln Investasi Akumulasi (PMA+PMDN); X = Skor MCP agregat; Kontrol = Ln PDRB per kapita, Ln tenaga kerja, Ln Rata-rata Lama Sekolah. Metode: OLS Cross-Section dengan estimator White Robust pada 507 kab/kota Indonesia periode 2018-2020.</w:t>
            </w:r>
          </w:p>
        </w:tc>
        <w:tc>
          <w:tcPr>
            <w:tcW w:type="dxa" w:w="1378"/>
          </w:tcPr>
          <w:p>
            <w:r>
              <w:rPr>
                <w:rFonts w:ascii="Times New Roman" w:hAnsi="Times New Roman"/>
                <w:sz w:val="20"/>
              </w:rPr>
              <w:t>Skor MCP berpengaruh positif dan signifikan terhadap akumulasi investasi swasta di kab/kota Indonesia (koefisien = 0,0397; p = 0,015; Adj R2 = 0,4548). PDRB, tenaga kerja, dan tingkat pendidikan juga berpengaruh positif signifikan.</w:t>
            </w:r>
          </w:p>
        </w:tc>
        <w:tc>
          <w:tcPr>
            <w:tcW w:type="dxa" w:w="1378"/>
          </w:tcPr>
          <w:p>
            <w:r>
              <w:rPr>
                <w:rFonts w:ascii="Times New Roman" w:hAnsi="Times New Roman"/>
                <w:sz w:val="20"/>
              </w:rPr>
              <w:t>Persamaan: menggunakan Skor MCP-KPK sebagai variabel utama dan investasi sebagai variabel terikat di tingkat kabupaten/kota. Perbedaan: penelitian terdahulu menggunakan MCP agregat dan investasi gabungan (PMA+PMDN), sedangkan penelitian ini melakukan dekomposisi atas tujuh komponen MCP serta memisahkan analisis untuk total investasi, PMDN, dan PMA di Provinsi Jawa Tengah periode 2023-2025.</w:t>
            </w:r>
          </w:p>
        </w:tc>
      </w:tr>
      <w:tr>
        <w:tc>
          <w:tcPr>
            <w:tcW w:type="dxa" w:w="1378"/>
          </w:tcPr>
          <w:p>
            <w:r>
              <w:rPr>
                <w:rFonts w:ascii="Times New Roman" w:hAnsi="Times New Roman"/>
                <w:sz w:val="20"/>
              </w:rPr>
              <w:t>2</w:t>
            </w:r>
          </w:p>
        </w:tc>
        <w:tc>
          <w:tcPr>
            <w:tcW w:type="dxa" w:w="1378"/>
          </w:tcPr>
          <w:p>
            <w:r>
              <w:rPr>
                <w:rFonts w:ascii="Times New Roman" w:hAnsi="Times New Roman"/>
                <w:sz w:val="20"/>
              </w:rPr>
              <w:t>Almakkiyah, M. (2026)</w:t>
            </w:r>
          </w:p>
        </w:tc>
        <w:tc>
          <w:tcPr>
            <w:tcW w:type="dxa" w:w="1378"/>
          </w:tcPr>
          <w:p>
            <w:r>
              <w:rPr>
                <w:rFonts w:ascii="Times New Roman" w:hAnsi="Times New Roman"/>
                <w:sz w:val="20"/>
              </w:rPr>
              <w:t>Corruption Prevention Efforts Against Investment: Empirical Evidence in West Nusa Tenggara Province</w:t>
            </w:r>
          </w:p>
        </w:tc>
        <w:tc>
          <w:tcPr>
            <w:tcW w:type="dxa" w:w="1378"/>
          </w:tcPr>
          <w:p>
            <w:r>
              <w:rPr>
                <w:rFonts w:ascii="Times New Roman" w:hAnsi="Times New Roman"/>
                <w:sz w:val="20"/>
              </w:rPr>
              <w:t>Variabel: Y = Investasi (rasio TI/PDRB); X = Skor MCP (AKOR), AKOR2, log penduduk (AGLO), Rata-rata Lama Sekolah (HCAP), Tingkat Partisipasi Angkatan Kerja (PAK). Metode: Random Effect Model pada panel 10 kab/kota Provinsi NTB periode 2019-2024 (60 observasi).</w:t>
            </w:r>
          </w:p>
        </w:tc>
        <w:tc>
          <w:tcPr>
            <w:tcW w:type="dxa" w:w="1378"/>
          </w:tcPr>
          <w:p>
            <w:r>
              <w:rPr>
                <w:rFonts w:ascii="Times New Roman" w:hAnsi="Times New Roman"/>
                <w:sz w:val="20"/>
              </w:rPr>
              <w:t>MCP secara linier belum signifikan, namun bentuk kuadratiknya berpengaruh positif sangat signifikan terhadap investasi (Adj R2 = 0,909). Hubungan bersifat nonlinier dengan pola threshold consistency - pencegahan korupsi memerlukan konsistensi sebelum berdampak pada investasi.</w:t>
            </w:r>
          </w:p>
        </w:tc>
        <w:tc>
          <w:tcPr>
            <w:tcW w:type="dxa" w:w="1378"/>
          </w:tcPr>
          <w:p>
            <w:r>
              <w:rPr>
                <w:rFonts w:ascii="Times New Roman" w:hAnsi="Times New Roman"/>
                <w:sz w:val="20"/>
              </w:rPr>
              <w:t>Persamaan: menguji pengaruh MCP terhadap investasi pada level kabupaten/kota dengan pendekatan panel data. Perbedaan: penelitian terdahulu menangkap nonlinearitas melalui bentuk kuadratik pada Provinsi NTB (10 kab/kota), sedangkan penelitian ini menangkap perubahan rezim melalui dummy structural break tahun 2024 di Jawa Tengah (35 kab/kota) serta memisahkan analisis PMDN dan PMA.</w:t>
            </w:r>
          </w:p>
        </w:tc>
      </w:tr>
      <w:tr>
        <w:tc>
          <w:tcPr>
            <w:tcW w:type="dxa" w:w="1378"/>
          </w:tcPr>
          <w:p>
            <w:r>
              <w:rPr>
                <w:rFonts w:ascii="Times New Roman" w:hAnsi="Times New Roman"/>
                <w:sz w:val="20"/>
              </w:rPr>
              <w:t>3</w:t>
            </w:r>
          </w:p>
        </w:tc>
        <w:tc>
          <w:tcPr>
            <w:tcW w:type="dxa" w:w="1378"/>
          </w:tcPr>
          <w:p>
            <w:r>
              <w:rPr>
                <w:rFonts w:ascii="Times New Roman" w:hAnsi="Times New Roman"/>
                <w:sz w:val="20"/>
              </w:rPr>
              <w:t>Linda, D.A., Winoto, J., &amp; Suprehatin (2024)</w:t>
            </w:r>
          </w:p>
        </w:tc>
        <w:tc>
          <w:tcPr>
            <w:tcW w:type="dxa" w:w="1378"/>
          </w:tcPr>
          <w:p>
            <w:r>
              <w:rPr>
                <w:rFonts w:ascii="Times New Roman" w:hAnsi="Times New Roman"/>
                <w:sz w:val="20"/>
              </w:rPr>
              <w:t>Strategi Pencegahan Korupsi untuk Menurunkan Tingkat Korupsi Daerah</w:t>
            </w:r>
          </w:p>
        </w:tc>
        <w:tc>
          <w:tcPr>
            <w:tcW w:type="dxa" w:w="1378"/>
          </w:tcPr>
          <w:p>
            <w:r>
              <w:rPr>
                <w:rFonts w:ascii="Times New Roman" w:hAnsi="Times New Roman"/>
                <w:sz w:val="20"/>
              </w:rPr>
              <w:t>Variabel: delapan area MCP (Perencanaan &amp; Penganggaran, PBJ, Perizinan, APIP, Manajemen ASN, Optimalisasi PAD, Manajemen Aset, Dana Desa). Metode: Internal-External Matrix, SWOT, dan Quantitative Strategic Planning Matrix (QSPM) pada 22 pemerintah daerah.</w:t>
            </w:r>
          </w:p>
        </w:tc>
        <w:tc>
          <w:tcPr>
            <w:tcW w:type="dxa" w:w="1378"/>
          </w:tcPr>
          <w:p>
            <w:r>
              <w:rPr>
                <w:rFonts w:ascii="Times New Roman" w:hAnsi="Times New Roman"/>
                <w:sz w:val="20"/>
              </w:rPr>
              <w:t>Faktor kekuatan utama adalah komitmen kepala daerah dan perangkat daerah; kelemahan utama adalah pengawasan APIP. Sistem pencegahan korupsi berada pada kuadran V (hold and maintain). Prioritas strategis utama adalah penajaman indikator MCP.</w:t>
            </w:r>
          </w:p>
        </w:tc>
        <w:tc>
          <w:tcPr>
            <w:tcW w:type="dxa" w:w="1378"/>
          </w:tcPr>
          <w:p>
            <w:r>
              <w:rPr>
                <w:rFonts w:ascii="Times New Roman" w:hAnsi="Times New Roman"/>
                <w:sz w:val="20"/>
              </w:rPr>
              <w:t>Persamaan: sama-sama membahas delapan area MCP sebagai instrumen pencegahan korupsi daerah. Perbedaan: penelitian terdahulu bersifat strategis-deskriptif berbasis survei persepsi, sedangkan penelitian ini menguji secara kuantitatif dampak masing-masing komponen MCP terhadap realisasi investasi dengan model regresi panel.</w:t>
            </w:r>
          </w:p>
        </w:tc>
      </w:tr>
      <w:tr>
        <w:tc>
          <w:tcPr>
            <w:tcW w:type="dxa" w:w="1378"/>
          </w:tcPr>
          <w:p>
            <w:r>
              <w:rPr>
                <w:rFonts w:ascii="Times New Roman" w:hAnsi="Times New Roman"/>
                <w:sz w:val="20"/>
              </w:rPr>
              <w:t>4</w:t>
            </w:r>
          </w:p>
        </w:tc>
        <w:tc>
          <w:tcPr>
            <w:tcW w:type="dxa" w:w="1378"/>
          </w:tcPr>
          <w:p>
            <w:r>
              <w:rPr>
                <w:rFonts w:ascii="Times New Roman" w:hAnsi="Times New Roman"/>
                <w:sz w:val="20"/>
              </w:rPr>
              <w:t>Yuwono, T., Wiryawan, B.A. &amp; Yuzuru, S. (2025)</w:t>
            </w:r>
          </w:p>
        </w:tc>
        <w:tc>
          <w:tcPr>
            <w:tcW w:type="dxa" w:w="1378"/>
          </w:tcPr>
          <w:p>
            <w:r>
              <w:rPr>
                <w:rFonts w:ascii="Times New Roman" w:hAnsi="Times New Roman"/>
                <w:sz w:val="20"/>
              </w:rPr>
              <w:t>The Effect of Regulatory Governance System on Investment Growth in Decentralized Indonesia</w:t>
            </w:r>
          </w:p>
        </w:tc>
        <w:tc>
          <w:tcPr>
            <w:tcW w:type="dxa" w:w="1378"/>
          </w:tcPr>
          <w:p>
            <w:r>
              <w:rPr>
                <w:rFonts w:ascii="Times New Roman" w:hAnsi="Times New Roman"/>
                <w:sz w:val="20"/>
              </w:rPr>
              <w:t>Variabel: Y = pertumbuhan FDI tingkat provinsi; X = kualitas tata kelola regulasi (proksi: jumlah regulasi daerah bermasalah); Treatment = berlakunya UU Pajak Daerah 2009. Metode: Difference-in-Difference (DID) dan Event-Study Estimator pada data 33 provinsi Indonesia periode 2005-2017.</w:t>
            </w:r>
          </w:p>
        </w:tc>
        <w:tc>
          <w:tcPr>
            <w:tcW w:type="dxa" w:w="1378"/>
          </w:tcPr>
          <w:p>
            <w:r>
              <w:rPr>
                <w:rFonts w:ascii="Times New Roman" w:hAnsi="Times New Roman"/>
                <w:sz w:val="20"/>
              </w:rPr>
              <w:t>Provinsi dengan sistem tata kelola regulasi yang lemah mengalami penurunan pertumbuhan FDI jangka panjang sebesar 26-30% dibandingkan kelompok kontrol. Dampak negatif lebih kuat pada provinsi non-Jawa dan provinsi dengan sumber daya alam terbatas.</w:t>
            </w:r>
          </w:p>
        </w:tc>
        <w:tc>
          <w:tcPr>
            <w:tcW w:type="dxa" w:w="1378"/>
          </w:tcPr>
          <w:p>
            <w:r>
              <w:rPr>
                <w:rFonts w:ascii="Times New Roman" w:hAnsi="Times New Roman"/>
                <w:sz w:val="20"/>
              </w:rPr>
              <w:t>Persamaan: mengkaji pengaruh kualitas tata kelola pemerintah daerah terhadap investasi di tingkat sub-nasional dengan pendekatan panel data. Perbedaan: penelitian terdahulu menggunakan DID pada level provinsi dengan proksi regulasi bermasalah dan variabel terikat FDI, sedangkan penelitian ini menggunakan skor MCP per komponen pada level kabupaten/kota dengan tiga variabel terikat (total, PMDN, PMA).</w:t>
            </w:r>
          </w:p>
        </w:tc>
      </w:tr>
      <w:tr>
        <w:tc>
          <w:tcPr>
            <w:tcW w:type="dxa" w:w="1378"/>
          </w:tcPr>
          <w:p>
            <w:r>
              <w:rPr>
                <w:rFonts w:ascii="Times New Roman" w:hAnsi="Times New Roman"/>
                <w:sz w:val="20"/>
              </w:rPr>
              <w:t>5</w:t>
            </w:r>
          </w:p>
        </w:tc>
        <w:tc>
          <w:tcPr>
            <w:tcW w:type="dxa" w:w="1378"/>
          </w:tcPr>
          <w:p>
            <w:r>
              <w:rPr>
                <w:rFonts w:ascii="Times New Roman" w:hAnsi="Times New Roman"/>
                <w:sz w:val="20"/>
              </w:rPr>
              <w:t>Aswan, A., Sabbar, S.D., Bashir, S. &amp; Dewi, A.R.S. (2024)</w:t>
            </w:r>
          </w:p>
        </w:tc>
        <w:tc>
          <w:tcPr>
            <w:tcW w:type="dxa" w:w="1378"/>
          </w:tcPr>
          <w:p>
            <w:r>
              <w:rPr>
                <w:rFonts w:ascii="Times New Roman" w:hAnsi="Times New Roman"/>
                <w:sz w:val="20"/>
              </w:rPr>
              <w:t>Linking Regional Investments and Revenues at the Provincial Level to Investment Loan Decisions by Local Government Banks in Indonesia</w:t>
            </w:r>
          </w:p>
        </w:tc>
        <w:tc>
          <w:tcPr>
            <w:tcW w:type="dxa" w:w="1378"/>
          </w:tcPr>
          <w:p>
            <w:r>
              <w:rPr>
                <w:rFonts w:ascii="Times New Roman" w:hAnsi="Times New Roman"/>
                <w:sz w:val="20"/>
              </w:rPr>
              <w:t>Variabel: Y = keputusan kredit investasi bank pemerintah daerah; X = PMDN tingkat provinsi, PMA tingkat provinsi, pendapatan asli daerah, DAU, DAK, pajak daerah, retribusi. Metode: OLS dan regresi linier berganda pada panel 16 bank daerah luar Jawa di 21 provinsi periode 2013-2021 (144 observasi).</w:t>
            </w:r>
          </w:p>
        </w:tc>
        <w:tc>
          <w:tcPr>
            <w:tcW w:type="dxa" w:w="1378"/>
          </w:tcPr>
          <w:p>
            <w:r>
              <w:rPr>
                <w:rFonts w:ascii="Times New Roman" w:hAnsi="Times New Roman"/>
                <w:sz w:val="20"/>
              </w:rPr>
              <w:t>PMDN pada tingkat provinsi berpengaruh signifikan terhadap keputusan kredit investasi bank daerah, sementara PMA tidak berpengaruh, yang mengindikasikan bahwa investasi domestik memberikan dampak lebih langsung terhadap perekonomian lokal. DAU dan DAK berpengaruh negatif.</w:t>
            </w:r>
          </w:p>
        </w:tc>
        <w:tc>
          <w:tcPr>
            <w:tcW w:type="dxa" w:w="1378"/>
          </w:tcPr>
          <w:p>
            <w:r>
              <w:rPr>
                <w:rFonts w:ascii="Times New Roman" w:hAnsi="Times New Roman"/>
                <w:sz w:val="20"/>
              </w:rPr>
              <w:t>Persamaan: membedakan pengaruh PMDN dan PMA terhadap variabel ekonomi daerah dengan pendekatan data panel. Perbedaan: penelitian terdahulu menempatkan keputusan kredit bank sebagai variabel terikat pada level provinsi, sedangkan penelitian ini menempatkan realisasi investasi sebagai variabel terikat dan mengukur pengaruh tata kelola (MCP) pada level kabupaten/kota.</w:t>
            </w:r>
          </w:p>
        </w:tc>
      </w:tr>
      <w:tr>
        <w:tc>
          <w:tcPr>
            <w:tcW w:type="dxa" w:w="1378"/>
          </w:tcPr>
          <w:p>
            <w:r>
              <w:rPr>
                <w:rFonts w:ascii="Times New Roman" w:hAnsi="Times New Roman"/>
                <w:sz w:val="20"/>
              </w:rPr>
              <w:t>6</w:t>
            </w:r>
          </w:p>
        </w:tc>
        <w:tc>
          <w:tcPr>
            <w:tcW w:type="dxa" w:w="1378"/>
          </w:tcPr>
          <w:p>
            <w:r>
              <w:rPr>
                <w:rFonts w:ascii="Times New Roman" w:hAnsi="Times New Roman"/>
                <w:sz w:val="20"/>
              </w:rPr>
              <w:t>Alfada, A. (2019)</w:t>
            </w:r>
          </w:p>
        </w:tc>
        <w:tc>
          <w:tcPr>
            <w:tcW w:type="dxa" w:w="1378"/>
          </w:tcPr>
          <w:p>
            <w:r>
              <w:rPr>
                <w:rFonts w:ascii="Times New Roman" w:hAnsi="Times New Roman"/>
                <w:sz w:val="20"/>
              </w:rPr>
              <w:t>The Destructive Effect of Corruption on Economic Growth in Indonesia: A Threshold Model</w:t>
            </w:r>
          </w:p>
        </w:tc>
        <w:tc>
          <w:tcPr>
            <w:tcW w:type="dxa" w:w="1378"/>
          </w:tcPr>
          <w:p>
            <w:r>
              <w:rPr>
                <w:rFonts w:ascii="Times New Roman" w:hAnsi="Times New Roman"/>
                <w:sz w:val="20"/>
              </w:rPr>
              <w:t>Variabel: Y = pertumbuhan ekonomi provinsi; X = jumlah kasus korupsi KPK, belanja konsumsi pemerintah, belanja investasi pemerintah. Metode: Threshold model (Hansen, 2000) dan Instrumental Variable 2SLS pada panel 19 provinsi Indonesia periode 2004-2015.</w:t>
            </w:r>
          </w:p>
        </w:tc>
        <w:tc>
          <w:tcPr>
            <w:tcW w:type="dxa" w:w="1378"/>
          </w:tcPr>
          <w:p>
            <w:r>
              <w:rPr>
                <w:rFonts w:ascii="Times New Roman" w:hAnsi="Times New Roman"/>
                <w:sz w:val="20"/>
              </w:rPr>
              <w:t>Terdapat efek threshold di mana korupsi bersifat destruktif pada semua level, namun efek negatifnya semakin kuat pada provinsi dengan tingkat korupsi di atas ambang batas (1,765 poin). Hubungan korupsi-pertumbuhan bersifat nonlinier.</w:t>
            </w:r>
          </w:p>
        </w:tc>
        <w:tc>
          <w:tcPr>
            <w:tcW w:type="dxa" w:w="1378"/>
          </w:tcPr>
          <w:p>
            <w:r>
              <w:rPr>
                <w:rFonts w:ascii="Times New Roman" w:hAnsi="Times New Roman"/>
                <w:sz w:val="20"/>
              </w:rPr>
              <w:t>Persamaan: sama-sama mengkaji dampak korupsi terhadap kinerja ekonomi di Indonesia dengan pendekatan panel data dan mempertimbangkan hubungan nonlinier. Perbedaan: penelitian terdahulu menggunakan jumlah kasus korupsi dan pertumbuhan ekonomi pada level provinsi, sedangkan penelitian ini menggunakan skor MCP (pencegahan korupsi) dan realisasi investasi pada level kabupaten/kota.</w:t>
            </w:r>
          </w:p>
        </w:tc>
      </w:tr>
      <w:tr>
        <w:tc>
          <w:tcPr>
            <w:tcW w:type="dxa" w:w="1378"/>
          </w:tcPr>
          <w:p>
            <w:r>
              <w:rPr>
                <w:rFonts w:ascii="Times New Roman" w:hAnsi="Times New Roman"/>
                <w:sz w:val="20"/>
              </w:rPr>
              <w:t>7</w:t>
            </w:r>
          </w:p>
        </w:tc>
        <w:tc>
          <w:tcPr>
            <w:tcW w:type="dxa" w:w="1378"/>
          </w:tcPr>
          <w:p>
            <w:r>
              <w:rPr>
                <w:rFonts w:ascii="Times New Roman" w:hAnsi="Times New Roman"/>
                <w:sz w:val="20"/>
              </w:rPr>
              <w:t>Haptari, V.D., Soedaryono, B., Sofilda, E. &amp; Siallagan, W.A. (2022)</w:t>
            </w:r>
          </w:p>
        </w:tc>
        <w:tc>
          <w:tcPr>
            <w:tcW w:type="dxa" w:w="1378"/>
          </w:tcPr>
          <w:p>
            <w:r>
              <w:rPr>
                <w:rFonts w:ascii="Times New Roman" w:hAnsi="Times New Roman"/>
                <w:sz w:val="20"/>
              </w:rPr>
              <w:t>Impact of Fiscal Decentralization Policy on Foreign Direct Investment in Indonesia</w:t>
            </w:r>
          </w:p>
        </w:tc>
        <w:tc>
          <w:tcPr>
            <w:tcW w:type="dxa" w:w="1378"/>
          </w:tcPr>
          <w:p>
            <w:r>
              <w:rPr>
                <w:rFonts w:ascii="Times New Roman" w:hAnsi="Times New Roman"/>
                <w:sz w:val="20"/>
              </w:rPr>
              <w:t>Variabel: Y = FDI tingkat kabupaten/kota; X = desentralisasi fiskal (revenue-sharing, belanja jalan/air/listrik), aspek ekonomi (kemandirian fiskal, PDRB, SDA), aspek bisnis (keterbukaan ekspor, BUMD, IPM). Metode: Structural Equation Modeling (SEM-AMOS) pada 514 kab/kota Indonesia periode 2016-2020.</w:t>
            </w:r>
          </w:p>
        </w:tc>
        <w:tc>
          <w:tcPr>
            <w:tcW w:type="dxa" w:w="1378"/>
          </w:tcPr>
          <w:p>
            <w:r>
              <w:rPr>
                <w:rFonts w:ascii="Times New Roman" w:hAnsi="Times New Roman"/>
                <w:sz w:val="20"/>
              </w:rPr>
              <w:t>Desentralisasi fiskal melalui revenue-sharing dan belanja infrastruktur (jalan, air, listrik) berpengaruh positif dan signifikan terhadap FDI. Aspek bisnis (ekspor, BUMD, IPM) juga berpengaruh positif. Rekomendasi: perbaikan tata kelola dan kualitas belanja produktif.</w:t>
            </w:r>
          </w:p>
        </w:tc>
        <w:tc>
          <w:tcPr>
            <w:tcW w:type="dxa" w:w="1378"/>
          </w:tcPr>
          <w:p>
            <w:r>
              <w:rPr>
                <w:rFonts w:ascii="Times New Roman" w:hAnsi="Times New Roman"/>
                <w:sz w:val="20"/>
              </w:rPr>
              <w:t>Persamaan: menganalisis determinan FDI pada level kabupaten/kota Indonesia menggunakan data panel. Perbedaan: penelitian terdahulu berfokus pada desentralisasi fiskal dan aspek ekonomi makro sebagai determinan FDI, sedangkan penelitian ini berfokus pada komponen tata kelola pencegahan korupsi (MCP) sebagai determinan investasi total, PMDN, dan PMA.</w:t>
            </w:r>
          </w:p>
        </w:tc>
      </w:tr>
    </w:tbl>
    <w:p/>
    <w:p>
      <w:pPr>
        <w:pStyle w:val="Heading2"/>
        <w:jc w:val="left"/>
      </w:pPr>
      <w:r>
        <w:rPr>
          <w:rFonts w:ascii="Times New Roman" w:hAnsi="Times New Roman"/>
          <w:sz w:val="24"/>
        </w:rPr>
        <w:t>2.4 Kerangka Pemikiran</w:t>
      </w:r>
    </w:p>
    <w:p>
      <w:pPr>
        <w:spacing w:line="360" w:lineRule="auto"/>
        <w:ind w:firstLine="720"/>
        <w:jc w:val="both"/>
      </w:pPr>
      <w:r>
        <w:rPr>
          <w:rFonts w:ascii="Times New Roman" w:hAnsi="Times New Roman"/>
          <w:sz w:val="24"/>
        </w:rPr>
        <w:t>Berdasarkan tinjauan pustaka, kerangka teori, dan penelitian terdahulu yang telah diuraikan, kerangka pemikiran penelitian ini dibangun atas dasar logika bahwa kualitas tata kelola pencegahan korupsi pemerintah daerah yang diukur melalui komponen-komponen MCP berpengaruh terhadap realisasi investasi. Variabel independen berupa tujuh komponen MCP (mcpperang, mcpizin, mcppbj, mcpapip, mcpmasn, mcpopd, mcp_maset) diprediksi berpengaruh positif terhadap variabel dependen berupa realisasi investasi (total, PMDN, PMA) setelah dikontrol oleh jumlah penduduk. Selain itu, perubahan kerangka indikator MCP pada tahun 2024 diprediksi menghasilkan perbedaan koefisien pengaruh antara periode 2023 dan 2024-2025.</w:t>
      </w:r>
    </w:p>
    <w:p>
      <w:pPr>
        <w:pStyle w:val="Heading2"/>
        <w:jc w:val="left"/>
      </w:pPr>
      <w:r>
        <w:rPr>
          <w:rFonts w:ascii="Times New Roman" w:hAnsi="Times New Roman"/>
          <w:sz w:val="24"/>
        </w:rPr>
        <w:t>BAB III</w:t>
      </w:r>
    </w:p>
    <w:p>
      <w:pPr>
        <w:pStyle w:val="Heading2"/>
        <w:jc w:val="left"/>
      </w:pPr>
      <w:r>
        <w:rPr>
          <w:rFonts w:ascii="Times New Roman" w:hAnsi="Times New Roman"/>
          <w:sz w:val="24"/>
        </w:rPr>
        <w:t>METODE PENELITIAN</w:t>
      </w:r>
    </w:p>
    <w:p>
      <w:pPr>
        <w:pStyle w:val="Heading2"/>
        <w:jc w:val="left"/>
      </w:pPr>
      <w:r>
        <w:rPr>
          <w:rFonts w:ascii="Times New Roman" w:hAnsi="Times New Roman"/>
          <w:sz w:val="24"/>
        </w:rPr>
        <w:t>3.1 Jenis dan Pendekatan Penelitian</w:t>
      </w:r>
    </w:p>
    <w:p>
      <w:pPr>
        <w:spacing w:line="360" w:lineRule="auto"/>
        <w:ind w:firstLine="720"/>
        <w:jc w:val="both"/>
      </w:pPr>
      <w:r>
        <w:rPr>
          <w:rFonts w:ascii="Times New Roman" w:hAnsi="Times New Roman"/>
          <w:sz w:val="24"/>
        </w:rPr>
        <w:t>Penelitian ini menggunakan pendekatan kuantitatif dengan metode regresi data panel. Pendekatan kuantitatif dipilih karena penelitian ini berfokus pada pengujian hubungan antarvariabel secara empiris menggunakan data numerik dan analisis statistik. Metode regresi data panel digunakan karena data penelitian mencakup gabungan dimensi cross-section (35 kabupaten/kota) dan time series (3 tahun, 2023-2025), sehingga memungkinkan analisis variasi antardaerah dan antarwaktu secara simultan.</w:t>
      </w:r>
    </w:p>
    <w:p>
      <w:pPr>
        <w:pStyle w:val="Heading2"/>
        <w:jc w:val="left"/>
      </w:pPr>
      <w:r>
        <w:rPr>
          <w:rFonts w:ascii="Times New Roman" w:hAnsi="Times New Roman"/>
          <w:sz w:val="24"/>
        </w:rPr>
        <w:t>3.2 Lokasi dan Waktu Penelitian</w:t>
      </w:r>
    </w:p>
    <w:p>
      <w:pPr>
        <w:spacing w:line="360" w:lineRule="auto"/>
        <w:ind w:firstLine="720"/>
        <w:jc w:val="both"/>
      </w:pPr>
      <w:r>
        <w:rPr>
          <w:rFonts w:ascii="Times New Roman" w:hAnsi="Times New Roman"/>
          <w:sz w:val="24"/>
        </w:rPr>
        <w:t>Penelitian dilaksanakan pada seluruh kabupaten/kota di Provinsi Jawa Tengah yang berjumlah 35 unit, terdiri atas 29 kabupaten dan 6 kota (Semarang, Surakarta, Salatiga, Pekalongan, Tegal, Magelang). Periode pengamatan adalah tahun 2023-2025 (tiga tahun) dengan pertimbangan bahwa pada periode tersebut KPK menggunakan kerangka indikator MCP berbasis risiko yang relatif konsisten secara konseptual, meskipun terdapat revisi label sub-area pada 2024.</w:t>
      </w:r>
    </w:p>
    <w:p>
      <w:pPr>
        <w:pStyle w:val="Heading2"/>
        <w:jc w:val="left"/>
      </w:pPr>
      <w:r>
        <w:rPr>
          <w:rFonts w:ascii="Times New Roman" w:hAnsi="Times New Roman"/>
          <w:sz w:val="24"/>
        </w:rPr>
        <w:t>3.3 Populasi dan Sampel</w:t>
      </w:r>
    </w:p>
    <w:p>
      <w:pPr>
        <w:spacing w:line="360" w:lineRule="auto"/>
        <w:ind w:firstLine="720"/>
        <w:jc w:val="both"/>
      </w:pPr>
      <w:r>
        <w:rPr>
          <w:rFonts w:ascii="Times New Roman" w:hAnsi="Times New Roman"/>
          <w:sz w:val="24"/>
        </w:rPr>
        <w:t>Populasi penelitian adalah seluruh kabupaten/kota di Provinsi Jawa Tengah. Penelitian ini menggunakan teknik sensus (sampel jenuh) dengan mengambil seluruh anggota populasi sebagai sampel, yaitu 35 kabupaten/kota. Dengan periode pengamatan 3 tahun, total observasi yang digunakan adalah 105 (35 x 3) dengan struktur balanced panel.</w:t>
      </w:r>
    </w:p>
    <w:p>
      <w:pPr>
        <w:pStyle w:val="Heading2"/>
        <w:jc w:val="left"/>
      </w:pPr>
      <w:r>
        <w:rPr>
          <w:rFonts w:ascii="Times New Roman" w:hAnsi="Times New Roman"/>
          <w:sz w:val="24"/>
        </w:rPr>
        <w:t>3.4 Jenis dan Sumber Data</w:t>
      </w:r>
    </w:p>
    <w:p>
      <w:pPr>
        <w:spacing w:line="360" w:lineRule="auto"/>
        <w:ind w:firstLine="720"/>
        <w:jc w:val="both"/>
      </w:pPr>
      <w:r>
        <w:rPr>
          <w:rFonts w:ascii="Times New Roman" w:hAnsi="Times New Roman"/>
          <w:sz w:val="24"/>
        </w:rPr>
        <w:t>Jenis data yang digunakan adalah data sekunder yang diperoleh dari publikasi resmi lembaga-lembaga terkait. Pengumpulan data dilakukan melalui studi dokumentasi dengan menghimpun, mencatat, dan mengkaji dokumen serta publikasi resmi yang relevan. Sumber data dirinci pada Tabel 3.1.</w:t>
      </w:r>
    </w:p>
    <w:p>
      <w:r>
        <w:rPr>
          <w:rFonts w:ascii="Times New Roman" w:hAnsi="Times New Roman"/>
          <w:i/>
          <w:sz w:val="22"/>
        </w:rPr>
        <w:t>Tabel 3.1 Sumber Data Penelitian</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sz w:val="20"/>
              </w:rPr>
              <w:t>No</w:t>
            </w:r>
          </w:p>
        </w:tc>
        <w:tc>
          <w:tcPr>
            <w:tcW w:type="dxa" w:w="2757"/>
          </w:tcPr>
          <w:p>
            <w:r>
              <w:rPr>
                <w:rFonts w:ascii="Times New Roman" w:hAnsi="Times New Roman"/>
                <w:sz w:val="20"/>
              </w:rPr>
              <w:t>Variabel</w:t>
            </w:r>
          </w:p>
        </w:tc>
        <w:tc>
          <w:tcPr>
            <w:tcW w:type="dxa" w:w="2757"/>
          </w:tcPr>
          <w:p>
            <w:r>
              <w:rPr>
                <w:rFonts w:ascii="Times New Roman" w:hAnsi="Times New Roman"/>
                <w:sz w:val="20"/>
              </w:rPr>
              <w:t>Sumber Data</w:t>
            </w:r>
          </w:p>
        </w:tc>
      </w:tr>
      <w:tr>
        <w:tc>
          <w:tcPr>
            <w:tcW w:type="dxa" w:w="2757"/>
          </w:tcPr>
          <w:p>
            <w:r>
              <w:rPr>
                <w:rFonts w:ascii="Times New Roman" w:hAnsi="Times New Roman"/>
                <w:sz w:val="20"/>
              </w:rPr>
              <w:t>1</w:t>
            </w:r>
          </w:p>
        </w:tc>
        <w:tc>
          <w:tcPr>
            <w:tcW w:type="dxa" w:w="2757"/>
          </w:tcPr>
          <w:p>
            <w:r>
              <w:rPr>
                <w:rFonts w:ascii="Times New Roman" w:hAnsi="Times New Roman"/>
                <w:sz w:val="20"/>
              </w:rPr>
              <w:t>Nilai Realisasi Investasi Total (PMA+PMDN)</w:t>
            </w:r>
          </w:p>
        </w:tc>
        <w:tc>
          <w:tcPr>
            <w:tcW w:type="dxa" w:w="2757"/>
          </w:tcPr>
          <w:p>
            <w:r>
              <w:rPr>
                <w:rFonts w:ascii="Times New Roman" w:hAnsi="Times New Roman"/>
                <w:sz w:val="20"/>
              </w:rPr>
              <w:t>BPS Jawa Tengah / DPMPTSP Provinsi Jawa Tengah</w:t>
            </w:r>
          </w:p>
        </w:tc>
      </w:tr>
      <w:tr>
        <w:tc>
          <w:tcPr>
            <w:tcW w:type="dxa" w:w="2757"/>
          </w:tcPr>
          <w:p>
            <w:r>
              <w:rPr>
                <w:rFonts w:ascii="Times New Roman" w:hAnsi="Times New Roman"/>
                <w:sz w:val="20"/>
              </w:rPr>
              <w:t>2</w:t>
            </w:r>
          </w:p>
        </w:tc>
        <w:tc>
          <w:tcPr>
            <w:tcW w:type="dxa" w:w="2757"/>
          </w:tcPr>
          <w:p>
            <w:r>
              <w:rPr>
                <w:rFonts w:ascii="Times New Roman" w:hAnsi="Times New Roman"/>
                <w:sz w:val="20"/>
              </w:rPr>
              <w:t>Nilai Realisasi Investasi PMDN</w:t>
            </w:r>
          </w:p>
        </w:tc>
        <w:tc>
          <w:tcPr>
            <w:tcW w:type="dxa" w:w="2757"/>
          </w:tcPr>
          <w:p>
            <w:r>
              <w:rPr>
                <w:rFonts w:ascii="Times New Roman" w:hAnsi="Times New Roman"/>
                <w:sz w:val="20"/>
              </w:rPr>
              <w:t>BPS Jawa Tengah / DPMPTSP Provinsi Jawa Tengah</w:t>
            </w:r>
          </w:p>
        </w:tc>
      </w:tr>
      <w:tr>
        <w:tc>
          <w:tcPr>
            <w:tcW w:type="dxa" w:w="2757"/>
          </w:tcPr>
          <w:p>
            <w:r>
              <w:rPr>
                <w:rFonts w:ascii="Times New Roman" w:hAnsi="Times New Roman"/>
                <w:sz w:val="20"/>
              </w:rPr>
              <w:t>3</w:t>
            </w:r>
          </w:p>
        </w:tc>
        <w:tc>
          <w:tcPr>
            <w:tcW w:type="dxa" w:w="2757"/>
          </w:tcPr>
          <w:p>
            <w:r>
              <w:rPr>
                <w:rFonts w:ascii="Times New Roman" w:hAnsi="Times New Roman"/>
                <w:sz w:val="20"/>
              </w:rPr>
              <w:t>Nilai Realisasi Investasi PMA</w:t>
            </w:r>
          </w:p>
        </w:tc>
        <w:tc>
          <w:tcPr>
            <w:tcW w:type="dxa" w:w="2757"/>
          </w:tcPr>
          <w:p>
            <w:r>
              <w:rPr>
                <w:rFonts w:ascii="Times New Roman" w:hAnsi="Times New Roman"/>
                <w:sz w:val="20"/>
              </w:rPr>
              <w:t>BPS Jawa Tengah / DPMPTSP Provinsi Jawa Tengah</w:t>
            </w:r>
          </w:p>
        </w:tc>
      </w:tr>
      <w:tr>
        <w:tc>
          <w:tcPr>
            <w:tcW w:type="dxa" w:w="2757"/>
          </w:tcPr>
          <w:p>
            <w:r>
              <w:rPr>
                <w:rFonts w:ascii="Times New Roman" w:hAnsi="Times New Roman"/>
                <w:sz w:val="20"/>
              </w:rPr>
              <w:t>4</w:t>
            </w:r>
          </w:p>
        </w:tc>
        <w:tc>
          <w:tcPr>
            <w:tcW w:type="dxa" w:w="2757"/>
          </w:tcPr>
          <w:p>
            <w:r>
              <w:rPr>
                <w:rFonts w:ascii="Times New Roman" w:hAnsi="Times New Roman"/>
                <w:sz w:val="20"/>
              </w:rPr>
              <w:t>Skor MCP per sub-area</w:t>
            </w:r>
          </w:p>
        </w:tc>
        <w:tc>
          <w:tcPr>
            <w:tcW w:type="dxa" w:w="2757"/>
          </w:tcPr>
          <w:p>
            <w:r>
              <w:rPr>
                <w:rFonts w:ascii="Times New Roman" w:hAnsi="Times New Roman"/>
                <w:sz w:val="20"/>
              </w:rPr>
              <w:t>Komisi Pemberantasan Korupsi (KPK) - Dashboard MCP</w:t>
            </w:r>
          </w:p>
        </w:tc>
      </w:tr>
      <w:tr>
        <w:tc>
          <w:tcPr>
            <w:tcW w:type="dxa" w:w="2757"/>
          </w:tcPr>
          <w:p>
            <w:r>
              <w:rPr>
                <w:rFonts w:ascii="Times New Roman" w:hAnsi="Times New Roman"/>
                <w:sz w:val="20"/>
              </w:rPr>
              <w:t>5</w:t>
            </w:r>
          </w:p>
        </w:tc>
        <w:tc>
          <w:tcPr>
            <w:tcW w:type="dxa" w:w="2757"/>
          </w:tcPr>
          <w:p>
            <w:r>
              <w:rPr>
                <w:rFonts w:ascii="Times New Roman" w:hAnsi="Times New Roman"/>
                <w:sz w:val="20"/>
              </w:rPr>
              <w:t>Jumlah Penduduk</w:t>
            </w:r>
          </w:p>
        </w:tc>
        <w:tc>
          <w:tcPr>
            <w:tcW w:type="dxa" w:w="2757"/>
          </w:tcPr>
          <w:p>
            <w:r>
              <w:rPr>
                <w:rFonts w:ascii="Times New Roman" w:hAnsi="Times New Roman"/>
                <w:sz w:val="20"/>
              </w:rPr>
              <w:t>Badan Pusat Statistik (BPS) Jawa Tengah</w:t>
            </w:r>
          </w:p>
        </w:tc>
      </w:tr>
    </w:tbl>
    <w:p/>
    <w:p>
      <w:pPr>
        <w:pStyle w:val="Heading2"/>
        <w:jc w:val="left"/>
      </w:pPr>
      <w:r>
        <w:rPr>
          <w:rFonts w:ascii="Times New Roman" w:hAnsi="Times New Roman"/>
          <w:sz w:val="24"/>
        </w:rPr>
        <w:t>3.5 Definisi Operasional Variabel</w:t>
      </w:r>
    </w:p>
    <w:p>
      <w:pPr>
        <w:spacing w:line="360" w:lineRule="auto"/>
        <w:ind w:firstLine="720"/>
        <w:jc w:val="both"/>
      </w:pPr>
      <w:r>
        <w:rPr>
          <w:rFonts w:ascii="Times New Roman" w:hAnsi="Times New Roman"/>
          <w:sz w:val="24"/>
        </w:rPr>
        <w:t>Variabel-variabel yang digunakan dalam penelitian ini didefinisikan secara operasional sebagaimana disajikan dalam Tabel 3.2.</w:t>
      </w:r>
    </w:p>
    <w:p>
      <w:r>
        <w:rPr>
          <w:rFonts w:ascii="Times New Roman" w:hAnsi="Times New Roman"/>
          <w:i/>
          <w:sz w:val="22"/>
        </w:rPr>
        <w:t>Tabel 3.2 Definisi Operasional Variabel</w:t>
      </w:r>
    </w:p>
    <w:tbl>
      <w:tblPr>
        <w:tblStyle w:val="TableGrid"/>
        <w:tblW w:type="auto" w:w="0"/>
        <w:tblLook w:firstColumn="1" w:firstRow="1" w:lastColumn="0" w:lastRow="0" w:noHBand="0" w:noVBand="1" w:val="04A0"/>
      </w:tblPr>
      <w:tblGrid>
        <w:gridCol w:w="1654"/>
        <w:gridCol w:w="1654"/>
        <w:gridCol w:w="1654"/>
        <w:gridCol w:w="1654"/>
        <w:gridCol w:w="1654"/>
      </w:tblGrid>
      <w:tr>
        <w:tc>
          <w:tcPr>
            <w:tcW w:type="dxa" w:w="1654"/>
          </w:tcPr>
          <w:p>
            <w:r>
              <w:rPr>
                <w:rFonts w:ascii="Times New Roman" w:hAnsi="Times New Roman"/>
                <w:sz w:val="20"/>
              </w:rPr>
              <w:t>Variabel</w:t>
            </w:r>
          </w:p>
        </w:tc>
        <w:tc>
          <w:tcPr>
            <w:tcW w:type="dxa" w:w="1654"/>
          </w:tcPr>
          <w:p>
            <w:r>
              <w:rPr>
                <w:rFonts w:ascii="Times New Roman" w:hAnsi="Times New Roman"/>
                <w:sz w:val="20"/>
              </w:rPr>
              <w:t>Simbol</w:t>
            </w:r>
          </w:p>
        </w:tc>
        <w:tc>
          <w:tcPr>
            <w:tcW w:type="dxa" w:w="1654"/>
          </w:tcPr>
          <w:p>
            <w:r>
              <w:rPr>
                <w:rFonts w:ascii="Times New Roman" w:hAnsi="Times New Roman"/>
                <w:sz w:val="20"/>
              </w:rPr>
              <w:t>Definisi Operasional</w:t>
            </w:r>
          </w:p>
        </w:tc>
        <w:tc>
          <w:tcPr>
            <w:tcW w:type="dxa" w:w="1654"/>
          </w:tcPr>
          <w:p>
            <w:r>
              <w:rPr>
                <w:rFonts w:ascii="Times New Roman" w:hAnsi="Times New Roman"/>
                <w:sz w:val="20"/>
              </w:rPr>
              <w:t>Indikator/Rumus</w:t>
            </w:r>
          </w:p>
        </w:tc>
        <w:tc>
          <w:tcPr>
            <w:tcW w:type="dxa" w:w="1654"/>
          </w:tcPr>
          <w:p>
            <w:r>
              <w:rPr>
                <w:rFonts w:ascii="Times New Roman" w:hAnsi="Times New Roman"/>
                <w:sz w:val="20"/>
              </w:rPr>
              <w:t>Satuan</w:t>
            </w:r>
          </w:p>
        </w:tc>
      </w:tr>
      <w:tr>
        <w:tc>
          <w:tcPr>
            <w:tcW w:type="dxa" w:w="1654"/>
          </w:tcPr>
          <w:p>
            <w:r>
              <w:rPr>
                <w:rFonts w:ascii="Times New Roman" w:hAnsi="Times New Roman"/>
                <w:sz w:val="20"/>
              </w:rPr>
              <w:t>Total Investasi</w:t>
            </w:r>
          </w:p>
        </w:tc>
        <w:tc>
          <w:tcPr>
            <w:tcW w:type="dxa" w:w="1654"/>
          </w:tcPr>
          <w:p>
            <w:r>
              <w:rPr>
                <w:rFonts w:ascii="Times New Roman" w:hAnsi="Times New Roman"/>
                <w:sz w:val="20"/>
              </w:rPr>
              <w:t>TOTAL_INVEST</w:t>
            </w:r>
          </w:p>
        </w:tc>
        <w:tc>
          <w:tcPr>
            <w:tcW w:type="dxa" w:w="1654"/>
          </w:tcPr>
          <w:p>
            <w:r>
              <w:rPr>
                <w:rFonts w:ascii="Times New Roman" w:hAnsi="Times New Roman"/>
                <w:sz w:val="20"/>
              </w:rPr>
              <w:t>Nilai realisasi investasi total (PMA+PMDN) kab/kota per tahun</w:t>
            </w:r>
          </w:p>
        </w:tc>
        <w:tc>
          <w:tcPr>
            <w:tcW w:type="dxa" w:w="1654"/>
          </w:tcPr>
          <w:p>
            <w:r>
              <w:rPr>
                <w:rFonts w:ascii="Times New Roman" w:hAnsi="Times New Roman"/>
                <w:sz w:val="20"/>
              </w:rPr>
              <w:t>log(TOTAL_INVEST + 1)</w:t>
            </w:r>
          </w:p>
        </w:tc>
        <w:tc>
          <w:tcPr>
            <w:tcW w:type="dxa" w:w="1654"/>
          </w:tcPr>
          <w:p>
            <w:r>
              <w:rPr>
                <w:rFonts w:ascii="Times New Roman" w:hAnsi="Times New Roman"/>
                <w:sz w:val="20"/>
              </w:rPr>
              <w:t>log Rupiah</w:t>
            </w:r>
          </w:p>
        </w:tc>
      </w:tr>
      <w:tr>
        <w:tc>
          <w:tcPr>
            <w:tcW w:type="dxa" w:w="1654"/>
          </w:tcPr>
          <w:p>
            <w:r>
              <w:rPr>
                <w:rFonts w:ascii="Times New Roman" w:hAnsi="Times New Roman"/>
                <w:sz w:val="20"/>
              </w:rPr>
              <w:t>Investasi PMDN</w:t>
            </w:r>
          </w:p>
        </w:tc>
        <w:tc>
          <w:tcPr>
            <w:tcW w:type="dxa" w:w="1654"/>
          </w:tcPr>
          <w:p>
            <w:r>
              <w:rPr>
                <w:rFonts w:ascii="Times New Roman" w:hAnsi="Times New Roman"/>
                <w:sz w:val="20"/>
              </w:rPr>
              <w:t>INVEST_PMDN</w:t>
            </w:r>
          </w:p>
        </w:tc>
        <w:tc>
          <w:tcPr>
            <w:tcW w:type="dxa" w:w="1654"/>
          </w:tcPr>
          <w:p>
            <w:r>
              <w:rPr>
                <w:rFonts w:ascii="Times New Roman" w:hAnsi="Times New Roman"/>
                <w:sz w:val="20"/>
              </w:rPr>
              <w:t>Nilai realisasi Penanaman Modal Dalam Negeri kab/kota per tahun</w:t>
            </w:r>
          </w:p>
        </w:tc>
        <w:tc>
          <w:tcPr>
            <w:tcW w:type="dxa" w:w="1654"/>
          </w:tcPr>
          <w:p>
            <w:r>
              <w:rPr>
                <w:rFonts w:ascii="Times New Roman" w:hAnsi="Times New Roman"/>
                <w:sz w:val="20"/>
              </w:rPr>
              <w:t>log(INVEST_PMDN + 1)</w:t>
            </w:r>
          </w:p>
        </w:tc>
        <w:tc>
          <w:tcPr>
            <w:tcW w:type="dxa" w:w="1654"/>
          </w:tcPr>
          <w:p>
            <w:r>
              <w:rPr>
                <w:rFonts w:ascii="Times New Roman" w:hAnsi="Times New Roman"/>
                <w:sz w:val="20"/>
              </w:rPr>
              <w:t>log Rupiah</w:t>
            </w:r>
          </w:p>
        </w:tc>
      </w:tr>
      <w:tr>
        <w:tc>
          <w:tcPr>
            <w:tcW w:type="dxa" w:w="1654"/>
          </w:tcPr>
          <w:p>
            <w:r>
              <w:rPr>
                <w:rFonts w:ascii="Times New Roman" w:hAnsi="Times New Roman"/>
                <w:sz w:val="20"/>
              </w:rPr>
              <w:t>Investasi PMA</w:t>
            </w:r>
          </w:p>
        </w:tc>
        <w:tc>
          <w:tcPr>
            <w:tcW w:type="dxa" w:w="1654"/>
          </w:tcPr>
          <w:p>
            <w:r>
              <w:rPr>
                <w:rFonts w:ascii="Times New Roman" w:hAnsi="Times New Roman"/>
                <w:sz w:val="20"/>
              </w:rPr>
              <w:t>INVEST_PMA</w:t>
            </w:r>
          </w:p>
        </w:tc>
        <w:tc>
          <w:tcPr>
            <w:tcW w:type="dxa" w:w="1654"/>
          </w:tcPr>
          <w:p>
            <w:r>
              <w:rPr>
                <w:rFonts w:ascii="Times New Roman" w:hAnsi="Times New Roman"/>
                <w:sz w:val="20"/>
              </w:rPr>
              <w:t>Nilai realisasi Penanaman Modal Asing kab/kota per tahun</w:t>
            </w:r>
          </w:p>
        </w:tc>
        <w:tc>
          <w:tcPr>
            <w:tcW w:type="dxa" w:w="1654"/>
          </w:tcPr>
          <w:p>
            <w:r>
              <w:rPr>
                <w:rFonts w:ascii="Times New Roman" w:hAnsi="Times New Roman"/>
                <w:sz w:val="20"/>
              </w:rPr>
              <w:t>log(INVEST_PMA + 1)</w:t>
            </w:r>
          </w:p>
        </w:tc>
        <w:tc>
          <w:tcPr>
            <w:tcW w:type="dxa" w:w="1654"/>
          </w:tcPr>
          <w:p>
            <w:r>
              <w:rPr>
                <w:rFonts w:ascii="Times New Roman" w:hAnsi="Times New Roman"/>
                <w:sz w:val="20"/>
              </w:rPr>
              <w:t>log Rupiah</w:t>
            </w:r>
          </w:p>
        </w:tc>
      </w:tr>
      <w:tr>
        <w:tc>
          <w:tcPr>
            <w:tcW w:type="dxa" w:w="1654"/>
          </w:tcPr>
          <w:p>
            <w:r>
              <w:rPr>
                <w:rFonts w:ascii="Times New Roman" w:hAnsi="Times New Roman"/>
                <w:sz w:val="20"/>
              </w:rPr>
              <w:t>MCP Perencanaan-Penganggaran</w:t>
            </w:r>
          </w:p>
        </w:tc>
        <w:tc>
          <w:tcPr>
            <w:tcW w:type="dxa" w:w="1654"/>
          </w:tcPr>
          <w:p>
            <w:r>
              <w:rPr>
                <w:rFonts w:ascii="Times New Roman" w:hAnsi="Times New Roman"/>
                <w:sz w:val="20"/>
              </w:rPr>
              <w:t>MCP_PERANG</w:t>
            </w:r>
          </w:p>
        </w:tc>
        <w:tc>
          <w:tcPr>
            <w:tcW w:type="dxa" w:w="1654"/>
          </w:tcPr>
          <w:p>
            <w:r>
              <w:rPr>
                <w:rFonts w:ascii="Times New Roman" w:hAnsi="Times New Roman"/>
                <w:sz w:val="20"/>
              </w:rPr>
              <w:t>Skor pencegahan korupsi sub-area Perencanaan &amp; Penganggaran APBD</w:t>
            </w:r>
          </w:p>
        </w:tc>
        <w:tc>
          <w:tcPr>
            <w:tcW w:type="dxa" w:w="1654"/>
          </w:tcPr>
          <w:p>
            <w:r>
              <w:rPr>
                <w:rFonts w:ascii="Times New Roman" w:hAnsi="Times New Roman"/>
                <w:sz w:val="20"/>
              </w:rPr>
              <w:t>Skor MCP KPK</w:t>
            </w:r>
          </w:p>
        </w:tc>
        <w:tc>
          <w:tcPr>
            <w:tcW w:type="dxa" w:w="1654"/>
          </w:tcPr>
          <w:p>
            <w:r>
              <w:rPr>
                <w:rFonts w:ascii="Times New Roman" w:hAnsi="Times New Roman"/>
                <w:sz w:val="20"/>
              </w:rPr>
              <w:t>Indeks 0-100</w:t>
            </w:r>
          </w:p>
        </w:tc>
      </w:tr>
      <w:tr>
        <w:tc>
          <w:tcPr>
            <w:tcW w:type="dxa" w:w="1654"/>
          </w:tcPr>
          <w:p>
            <w:r>
              <w:rPr>
                <w:rFonts w:ascii="Times New Roman" w:hAnsi="Times New Roman"/>
                <w:sz w:val="20"/>
              </w:rPr>
              <w:t>MCP Perizinan/Pelayanan Publik</w:t>
            </w:r>
          </w:p>
        </w:tc>
        <w:tc>
          <w:tcPr>
            <w:tcW w:type="dxa" w:w="1654"/>
          </w:tcPr>
          <w:p>
            <w:r>
              <w:rPr>
                <w:rFonts w:ascii="Times New Roman" w:hAnsi="Times New Roman"/>
                <w:sz w:val="20"/>
              </w:rPr>
              <w:t>MCP_IZIN</w:t>
            </w:r>
          </w:p>
        </w:tc>
        <w:tc>
          <w:tcPr>
            <w:tcW w:type="dxa" w:w="1654"/>
          </w:tcPr>
          <w:p>
            <w:r>
              <w:rPr>
                <w:rFonts w:ascii="Times New Roman" w:hAnsi="Times New Roman"/>
                <w:sz w:val="20"/>
              </w:rPr>
              <w:t>Skor pencegahan korupsi sub-area pelayanan perizinan/publik</w:t>
            </w:r>
          </w:p>
        </w:tc>
        <w:tc>
          <w:tcPr>
            <w:tcW w:type="dxa" w:w="1654"/>
          </w:tcPr>
          <w:p>
            <w:r>
              <w:rPr>
                <w:rFonts w:ascii="Times New Roman" w:hAnsi="Times New Roman"/>
                <w:sz w:val="20"/>
              </w:rPr>
              <w:t>Skor MCP KPK</w:t>
            </w:r>
          </w:p>
        </w:tc>
        <w:tc>
          <w:tcPr>
            <w:tcW w:type="dxa" w:w="1654"/>
          </w:tcPr>
          <w:p>
            <w:r>
              <w:rPr>
                <w:rFonts w:ascii="Times New Roman" w:hAnsi="Times New Roman"/>
                <w:sz w:val="20"/>
              </w:rPr>
              <w:t>Indeks 0-100</w:t>
            </w:r>
          </w:p>
        </w:tc>
      </w:tr>
      <w:tr>
        <w:tc>
          <w:tcPr>
            <w:tcW w:type="dxa" w:w="1654"/>
          </w:tcPr>
          <w:p>
            <w:r>
              <w:rPr>
                <w:rFonts w:ascii="Times New Roman" w:hAnsi="Times New Roman"/>
                <w:sz w:val="20"/>
              </w:rPr>
              <w:t>MCP Pengadaan</w:t>
            </w:r>
          </w:p>
        </w:tc>
        <w:tc>
          <w:tcPr>
            <w:tcW w:type="dxa" w:w="1654"/>
          </w:tcPr>
          <w:p>
            <w:r>
              <w:rPr>
                <w:rFonts w:ascii="Times New Roman" w:hAnsi="Times New Roman"/>
                <w:sz w:val="20"/>
              </w:rPr>
              <w:t>MCP_PBJ</w:t>
            </w:r>
          </w:p>
        </w:tc>
        <w:tc>
          <w:tcPr>
            <w:tcW w:type="dxa" w:w="1654"/>
          </w:tcPr>
          <w:p>
            <w:r>
              <w:rPr>
                <w:rFonts w:ascii="Times New Roman" w:hAnsi="Times New Roman"/>
                <w:sz w:val="20"/>
              </w:rPr>
              <w:t>Skor pencegahan korupsi sub-area Pengadaan Barang &amp; Jasa</w:t>
            </w:r>
          </w:p>
        </w:tc>
        <w:tc>
          <w:tcPr>
            <w:tcW w:type="dxa" w:w="1654"/>
          </w:tcPr>
          <w:p>
            <w:r>
              <w:rPr>
                <w:rFonts w:ascii="Times New Roman" w:hAnsi="Times New Roman"/>
                <w:sz w:val="20"/>
              </w:rPr>
              <w:t>Skor MCP KPK</w:t>
            </w:r>
          </w:p>
        </w:tc>
        <w:tc>
          <w:tcPr>
            <w:tcW w:type="dxa" w:w="1654"/>
          </w:tcPr>
          <w:p>
            <w:r>
              <w:rPr>
                <w:rFonts w:ascii="Times New Roman" w:hAnsi="Times New Roman"/>
                <w:sz w:val="20"/>
              </w:rPr>
              <w:t>Indeks 0-100</w:t>
            </w:r>
          </w:p>
        </w:tc>
      </w:tr>
      <w:tr>
        <w:tc>
          <w:tcPr>
            <w:tcW w:type="dxa" w:w="1654"/>
          </w:tcPr>
          <w:p>
            <w:r>
              <w:rPr>
                <w:rFonts w:ascii="Times New Roman" w:hAnsi="Times New Roman"/>
                <w:sz w:val="20"/>
              </w:rPr>
              <w:t>MCP APIP</w:t>
            </w:r>
          </w:p>
        </w:tc>
        <w:tc>
          <w:tcPr>
            <w:tcW w:type="dxa" w:w="1654"/>
          </w:tcPr>
          <w:p>
            <w:r>
              <w:rPr>
                <w:rFonts w:ascii="Times New Roman" w:hAnsi="Times New Roman"/>
                <w:sz w:val="20"/>
              </w:rPr>
              <w:t>MCP_APIP</w:t>
            </w:r>
          </w:p>
        </w:tc>
        <w:tc>
          <w:tcPr>
            <w:tcW w:type="dxa" w:w="1654"/>
          </w:tcPr>
          <w:p>
            <w:r>
              <w:rPr>
                <w:rFonts w:ascii="Times New Roman" w:hAnsi="Times New Roman"/>
                <w:sz w:val="20"/>
              </w:rPr>
              <w:t>Skor pencegahan korupsi sub-area Pengawasan APIP</w:t>
            </w:r>
          </w:p>
        </w:tc>
        <w:tc>
          <w:tcPr>
            <w:tcW w:type="dxa" w:w="1654"/>
          </w:tcPr>
          <w:p>
            <w:r>
              <w:rPr>
                <w:rFonts w:ascii="Times New Roman" w:hAnsi="Times New Roman"/>
                <w:sz w:val="20"/>
              </w:rPr>
              <w:t>Skor MCP KPK</w:t>
            </w:r>
          </w:p>
        </w:tc>
        <w:tc>
          <w:tcPr>
            <w:tcW w:type="dxa" w:w="1654"/>
          </w:tcPr>
          <w:p>
            <w:r>
              <w:rPr>
                <w:rFonts w:ascii="Times New Roman" w:hAnsi="Times New Roman"/>
                <w:sz w:val="20"/>
              </w:rPr>
              <w:t>Indeks 0-100</w:t>
            </w:r>
          </w:p>
        </w:tc>
      </w:tr>
      <w:tr>
        <w:tc>
          <w:tcPr>
            <w:tcW w:type="dxa" w:w="1654"/>
          </w:tcPr>
          <w:p>
            <w:r>
              <w:rPr>
                <w:rFonts w:ascii="Times New Roman" w:hAnsi="Times New Roman"/>
                <w:sz w:val="20"/>
              </w:rPr>
              <w:t>MCP Manajemen ASN</w:t>
            </w:r>
          </w:p>
        </w:tc>
        <w:tc>
          <w:tcPr>
            <w:tcW w:type="dxa" w:w="1654"/>
          </w:tcPr>
          <w:p>
            <w:r>
              <w:rPr>
                <w:rFonts w:ascii="Times New Roman" w:hAnsi="Times New Roman"/>
                <w:sz w:val="20"/>
              </w:rPr>
              <w:t>MCP_MASN</w:t>
            </w:r>
          </w:p>
        </w:tc>
        <w:tc>
          <w:tcPr>
            <w:tcW w:type="dxa" w:w="1654"/>
          </w:tcPr>
          <w:p>
            <w:r>
              <w:rPr>
                <w:rFonts w:ascii="Times New Roman" w:hAnsi="Times New Roman"/>
                <w:sz w:val="20"/>
              </w:rPr>
              <w:t>Skor pencegahan korupsi sub-area Manajemen ASN</w:t>
            </w:r>
          </w:p>
        </w:tc>
        <w:tc>
          <w:tcPr>
            <w:tcW w:type="dxa" w:w="1654"/>
          </w:tcPr>
          <w:p>
            <w:r>
              <w:rPr>
                <w:rFonts w:ascii="Times New Roman" w:hAnsi="Times New Roman"/>
                <w:sz w:val="20"/>
              </w:rPr>
              <w:t>Skor MCP KPK</w:t>
            </w:r>
          </w:p>
        </w:tc>
        <w:tc>
          <w:tcPr>
            <w:tcW w:type="dxa" w:w="1654"/>
          </w:tcPr>
          <w:p>
            <w:r>
              <w:rPr>
                <w:rFonts w:ascii="Times New Roman" w:hAnsi="Times New Roman"/>
                <w:sz w:val="20"/>
              </w:rPr>
              <w:t>Indeks 0-100</w:t>
            </w:r>
          </w:p>
        </w:tc>
      </w:tr>
      <w:tr>
        <w:tc>
          <w:tcPr>
            <w:tcW w:type="dxa" w:w="1654"/>
          </w:tcPr>
          <w:p>
            <w:r>
              <w:rPr>
                <w:rFonts w:ascii="Times New Roman" w:hAnsi="Times New Roman"/>
                <w:sz w:val="20"/>
              </w:rPr>
              <w:t>MCP Optimalisasi Pajak</w:t>
            </w:r>
          </w:p>
        </w:tc>
        <w:tc>
          <w:tcPr>
            <w:tcW w:type="dxa" w:w="1654"/>
          </w:tcPr>
          <w:p>
            <w:r>
              <w:rPr>
                <w:rFonts w:ascii="Times New Roman" w:hAnsi="Times New Roman"/>
                <w:sz w:val="20"/>
              </w:rPr>
              <w:t>MCP_OPD</w:t>
            </w:r>
          </w:p>
        </w:tc>
        <w:tc>
          <w:tcPr>
            <w:tcW w:type="dxa" w:w="1654"/>
          </w:tcPr>
          <w:p>
            <w:r>
              <w:rPr>
                <w:rFonts w:ascii="Times New Roman" w:hAnsi="Times New Roman"/>
                <w:sz w:val="20"/>
              </w:rPr>
              <w:t>Skor pencegahan korupsi sub-area Optimalisasi Pajak Daerah</w:t>
            </w:r>
          </w:p>
        </w:tc>
        <w:tc>
          <w:tcPr>
            <w:tcW w:type="dxa" w:w="1654"/>
          </w:tcPr>
          <w:p>
            <w:r>
              <w:rPr>
                <w:rFonts w:ascii="Times New Roman" w:hAnsi="Times New Roman"/>
                <w:sz w:val="20"/>
              </w:rPr>
              <w:t>Skor MCP KPK</w:t>
            </w:r>
          </w:p>
        </w:tc>
        <w:tc>
          <w:tcPr>
            <w:tcW w:type="dxa" w:w="1654"/>
          </w:tcPr>
          <w:p>
            <w:r>
              <w:rPr>
                <w:rFonts w:ascii="Times New Roman" w:hAnsi="Times New Roman"/>
                <w:sz w:val="20"/>
              </w:rPr>
              <w:t>Indeks 0-100</w:t>
            </w:r>
          </w:p>
        </w:tc>
      </w:tr>
      <w:tr>
        <w:tc>
          <w:tcPr>
            <w:tcW w:type="dxa" w:w="1654"/>
          </w:tcPr>
          <w:p>
            <w:r>
              <w:rPr>
                <w:rFonts w:ascii="Times New Roman" w:hAnsi="Times New Roman"/>
                <w:sz w:val="20"/>
              </w:rPr>
              <w:t>MCP Manajemen Aset</w:t>
            </w:r>
          </w:p>
        </w:tc>
        <w:tc>
          <w:tcPr>
            <w:tcW w:type="dxa" w:w="1654"/>
          </w:tcPr>
          <w:p>
            <w:r>
              <w:rPr>
                <w:rFonts w:ascii="Times New Roman" w:hAnsi="Times New Roman"/>
                <w:sz w:val="20"/>
              </w:rPr>
              <w:t>MCP_MASET</w:t>
            </w:r>
          </w:p>
        </w:tc>
        <w:tc>
          <w:tcPr>
            <w:tcW w:type="dxa" w:w="1654"/>
          </w:tcPr>
          <w:p>
            <w:r>
              <w:rPr>
                <w:rFonts w:ascii="Times New Roman" w:hAnsi="Times New Roman"/>
                <w:sz w:val="20"/>
              </w:rPr>
              <w:t>Skor pencegahan korupsi sub-area Manajemen Aset</w:t>
            </w:r>
          </w:p>
        </w:tc>
        <w:tc>
          <w:tcPr>
            <w:tcW w:type="dxa" w:w="1654"/>
          </w:tcPr>
          <w:p>
            <w:r>
              <w:rPr>
                <w:rFonts w:ascii="Times New Roman" w:hAnsi="Times New Roman"/>
                <w:sz w:val="20"/>
              </w:rPr>
              <w:t>Skor MCP KPK</w:t>
            </w:r>
          </w:p>
        </w:tc>
        <w:tc>
          <w:tcPr>
            <w:tcW w:type="dxa" w:w="1654"/>
          </w:tcPr>
          <w:p>
            <w:r>
              <w:rPr>
                <w:rFonts w:ascii="Times New Roman" w:hAnsi="Times New Roman"/>
                <w:sz w:val="20"/>
              </w:rPr>
              <w:t>Indeks 0-100</w:t>
            </w:r>
          </w:p>
        </w:tc>
      </w:tr>
      <w:tr>
        <w:tc>
          <w:tcPr>
            <w:tcW w:type="dxa" w:w="1654"/>
          </w:tcPr>
          <w:p>
            <w:r>
              <w:rPr>
                <w:rFonts w:ascii="Times New Roman" w:hAnsi="Times New Roman"/>
                <w:sz w:val="20"/>
              </w:rPr>
              <w:t>Jumlah Penduduk</w:t>
            </w:r>
          </w:p>
        </w:tc>
        <w:tc>
          <w:tcPr>
            <w:tcW w:type="dxa" w:w="1654"/>
          </w:tcPr>
          <w:p>
            <w:r>
              <w:rPr>
                <w:rFonts w:ascii="Times New Roman" w:hAnsi="Times New Roman"/>
                <w:sz w:val="20"/>
              </w:rPr>
              <w:t>PENDUDUK</w:t>
            </w:r>
          </w:p>
        </w:tc>
        <w:tc>
          <w:tcPr>
            <w:tcW w:type="dxa" w:w="1654"/>
          </w:tcPr>
          <w:p>
            <w:r>
              <w:rPr>
                <w:rFonts w:ascii="Times New Roman" w:hAnsi="Times New Roman"/>
                <w:sz w:val="20"/>
              </w:rPr>
              <w:t>Jumlah penduduk kab/kota per tahun</w:t>
            </w:r>
          </w:p>
        </w:tc>
        <w:tc>
          <w:tcPr>
            <w:tcW w:type="dxa" w:w="1654"/>
          </w:tcPr>
          <w:p>
            <w:r>
              <w:rPr>
                <w:rFonts w:ascii="Times New Roman" w:hAnsi="Times New Roman"/>
                <w:sz w:val="20"/>
              </w:rPr>
              <w:t>log(PENDUDUK)</w:t>
            </w:r>
          </w:p>
        </w:tc>
        <w:tc>
          <w:tcPr>
            <w:tcW w:type="dxa" w:w="1654"/>
          </w:tcPr>
          <w:p>
            <w:r>
              <w:rPr>
                <w:rFonts w:ascii="Times New Roman" w:hAnsi="Times New Roman"/>
                <w:sz w:val="20"/>
              </w:rPr>
              <w:t>log Jiwa</w:t>
            </w:r>
          </w:p>
        </w:tc>
      </w:tr>
      <w:tr>
        <w:tc>
          <w:tcPr>
            <w:tcW w:type="dxa" w:w="1654"/>
          </w:tcPr>
          <w:p>
            <w:r>
              <w:rPr>
                <w:rFonts w:ascii="Times New Roman" w:hAnsi="Times New Roman"/>
                <w:sz w:val="20"/>
              </w:rPr>
              <w:t>Dummy Periode</w:t>
            </w:r>
          </w:p>
        </w:tc>
        <w:tc>
          <w:tcPr>
            <w:tcW w:type="dxa" w:w="1654"/>
          </w:tcPr>
          <w:p>
            <w:r>
              <w:rPr>
                <w:rFonts w:ascii="Times New Roman" w:hAnsi="Times New Roman"/>
                <w:sz w:val="20"/>
              </w:rPr>
              <w:t>D_POST2024</w:t>
            </w:r>
          </w:p>
        </w:tc>
        <w:tc>
          <w:tcPr>
            <w:tcW w:type="dxa" w:w="1654"/>
          </w:tcPr>
          <w:p>
            <w:r>
              <w:rPr>
                <w:rFonts w:ascii="Times New Roman" w:hAnsi="Times New Roman"/>
                <w:sz w:val="20"/>
              </w:rPr>
              <w:t>Dummy untuk periode setelah perubahan label MCP</w:t>
            </w:r>
          </w:p>
        </w:tc>
        <w:tc>
          <w:tcPr>
            <w:tcW w:type="dxa" w:w="1654"/>
          </w:tcPr>
          <w:p>
            <w:r>
              <w:rPr>
                <w:rFonts w:ascii="Times New Roman" w:hAnsi="Times New Roman"/>
                <w:sz w:val="20"/>
              </w:rPr>
              <w:t>1 jika tahun &gt;= 2024; 0 jika tahun = 2023</w:t>
            </w:r>
          </w:p>
        </w:tc>
        <w:tc>
          <w:tcPr>
            <w:tcW w:type="dxa" w:w="1654"/>
          </w:tcPr>
          <w:p>
            <w:r>
              <w:rPr>
                <w:rFonts w:ascii="Times New Roman" w:hAnsi="Times New Roman"/>
                <w:sz w:val="20"/>
              </w:rPr>
              <w:t>0/1</w:t>
            </w:r>
          </w:p>
        </w:tc>
      </w:tr>
    </w:tbl>
    <w:p/>
    <w:p>
      <w:r>
        <w:rPr>
          <w:rFonts w:ascii="Times New Roman" w:hAnsi="Times New Roman"/>
          <w:i/>
          <w:sz w:val="22"/>
        </w:rPr>
        <w:t>Catatan: Variabel TOTALINVEST, INVESTPMDN, INVEST_PMA, dan PENDUDUK ditransformasi logaritma natural untuk mengatasi distribusi yang skewed dan menstandardisasi skala koefisien. Penambahan +1 pada log(variabel investasi + 1) mengantisipasi nilai investasi nol.</w:t>
      </w:r>
    </w:p>
    <w:p>
      <w:pPr>
        <w:pStyle w:val="Heading2"/>
        <w:jc w:val="left"/>
      </w:pPr>
      <w:r>
        <w:rPr>
          <w:rFonts w:ascii="Times New Roman" w:hAnsi="Times New Roman"/>
          <w:sz w:val="24"/>
        </w:rPr>
        <w:t>3.6 Model Penelitian</w:t>
      </w:r>
    </w:p>
    <w:p>
      <w:pPr>
        <w:spacing w:line="360" w:lineRule="auto"/>
        <w:ind w:firstLine="720"/>
        <w:jc w:val="both"/>
      </w:pPr>
      <w:r>
        <w:rPr>
          <w:rFonts w:ascii="Times New Roman" w:hAnsi="Times New Roman"/>
          <w:sz w:val="24"/>
        </w:rPr>
        <w:t>Penelitian ini menggunakan empat spesifikasi model regresi data panel yang dirumuskan sebagai berikut:</w:t>
      </w:r>
    </w:p>
    <w:p>
      <w:pPr>
        <w:pStyle w:val="Heading2"/>
        <w:jc w:val="left"/>
      </w:pPr>
      <w:r>
        <w:rPr>
          <w:rFonts w:ascii="Times New Roman" w:hAnsi="Times New Roman"/>
          <w:sz w:val="24"/>
        </w:rPr>
        <w:t>Model 1: Model Baseline/Umum (Total Investasi)</w:t>
      </w:r>
    </w:p>
    <w:p>
      <w:pPr>
        <w:spacing w:line="360" w:lineRule="auto"/>
        <w:ind w:firstLine="720"/>
        <w:jc w:val="both"/>
      </w:pPr>
      <w:r>
        <w:rPr>
          <w:rFonts w:ascii="Times New Roman" w:hAnsi="Times New Roman"/>
          <w:sz w:val="24"/>
        </w:rPr>
        <w:t>Model 1 menguji pengaruh seluruh komponen MCP secara bersamaan terhadap total investasi (PMA+PMDN) untuk mengidentifikasi sub-area yang paling dominan.</w:t>
      </w:r>
    </w:p>
    <w:p>
      <w:pPr>
        <w:spacing w:line="360" w:lineRule="auto"/>
        <w:ind w:firstLine="720"/>
        <w:jc w:val="both"/>
      </w:pPr>
      <w:r>
        <w:rPr>
          <w:rFonts w:ascii="Times New Roman" w:hAnsi="Times New Roman"/>
          <w:sz w:val="24"/>
        </w:rPr>
        <w:t>log(TOTALINVESTit + 1) = alpha + beta1MCPPERANGit + beta2MCPIZINit + beta3MCPPBJit + beta4MCPAPIPit + beta5MCPMASNit + beta6MCPOPDit + beta7MCPMASETit + gammalog(PENDUDUKit) + epsilonit_ ...(3.1)</w:t>
      </w:r>
    </w:p>
    <w:p>
      <w:pPr>
        <w:pStyle w:val="Heading2"/>
        <w:jc w:val="left"/>
      </w:pPr>
      <w:r>
        <w:rPr>
          <w:rFonts w:ascii="Times New Roman" w:hAnsi="Times New Roman"/>
          <w:sz w:val="24"/>
        </w:rPr>
        <w:t>Model 2: Uji Structural Break (Perubahan Label MCP)</w:t>
      </w:r>
    </w:p>
    <w:p>
      <w:pPr>
        <w:spacing w:line="360" w:lineRule="auto"/>
        <w:ind w:firstLine="720"/>
        <w:jc w:val="both"/>
      </w:pPr>
      <w:r>
        <w:rPr>
          <w:rFonts w:ascii="Times New Roman" w:hAnsi="Times New Roman"/>
          <w:sz w:val="24"/>
        </w:rPr>
        <w:t>Model 2 menguji apakah perubahan kerangka indikator MCP dari "Perizinan" (2023) menjadi "Pelayanan Publik" (2024-2025) menghasilkan pengaruh yang berbeda terhadap total investasi. Pengujian dilakukan melalui interaction dummy.</w:t>
      </w:r>
    </w:p>
    <w:p>
      <w:pPr>
        <w:spacing w:line="360" w:lineRule="auto"/>
        <w:ind w:firstLine="720"/>
        <w:jc w:val="both"/>
      </w:pPr>
      <w:r>
        <w:rPr>
          <w:rFonts w:ascii="Times New Roman" w:hAnsi="Times New Roman"/>
          <w:sz w:val="24"/>
        </w:rPr>
        <w:t>log(TOTALINVESTit + 1) = alpha + beta1MCPIZINit + beta2DPOST2024t + beta3(MCPIZINit x DPOST2024t) + gammalog(PENDUDUKit) + epsilonit ...(3.2)</w:t>
      </w:r>
    </w:p>
    <w:p>
      <w:pPr>
        <w:pStyle w:val="Heading2"/>
        <w:jc w:val="left"/>
      </w:pPr>
      <w:r>
        <w:rPr>
          <w:rFonts w:ascii="Times New Roman" w:hAnsi="Times New Roman"/>
          <w:sz w:val="24"/>
        </w:rPr>
        <w:t>Model 3: PMDN (Dekomposisi Komponen)</w:t>
      </w:r>
    </w:p>
    <w:p>
      <w:pPr>
        <w:spacing w:line="360" w:lineRule="auto"/>
        <w:ind w:firstLine="720"/>
        <w:jc w:val="both"/>
      </w:pPr>
      <w:r>
        <w:rPr>
          <w:rFonts w:ascii="Times New Roman" w:hAnsi="Times New Roman"/>
          <w:sz w:val="24"/>
        </w:rPr>
        <w:t>Model 3 menguji pengaruh seluruh komponen MCP secara bersamaan terhadap realisasi PMDN untuk mengidentifikasi komponen yang paling berpengaruh terhadap investasi domestik.</w:t>
      </w:r>
    </w:p>
    <w:p>
      <w:pPr>
        <w:spacing w:line="360" w:lineRule="auto"/>
        <w:ind w:firstLine="720"/>
        <w:jc w:val="both"/>
      </w:pPr>
      <w:r>
        <w:rPr>
          <w:rFonts w:ascii="Times New Roman" w:hAnsi="Times New Roman"/>
          <w:sz w:val="24"/>
        </w:rPr>
        <w:t>log(INVESTPMDNit + 1) = alpha + beta1MCPPERANGit + beta2MCPIZINit + beta3MCPPBJit + beta4MCPAPIPit + beta5MCPMASNit + beta6MCPOPDit + beta7MCPMASETit + gammalog(PENDUDUKit) + epsilonit_ ...(3.3)</w:t>
      </w:r>
    </w:p>
    <w:p>
      <w:pPr>
        <w:pStyle w:val="Heading2"/>
        <w:jc w:val="left"/>
      </w:pPr>
      <w:r>
        <w:rPr>
          <w:rFonts w:ascii="Times New Roman" w:hAnsi="Times New Roman"/>
          <w:sz w:val="24"/>
        </w:rPr>
        <w:t>Model 4: PMA (Dekomposisi Komponen)</w:t>
      </w:r>
    </w:p>
    <w:p>
      <w:pPr>
        <w:spacing w:line="360" w:lineRule="auto"/>
        <w:ind w:firstLine="720"/>
        <w:jc w:val="both"/>
      </w:pPr>
      <w:r>
        <w:rPr>
          <w:rFonts w:ascii="Times New Roman" w:hAnsi="Times New Roman"/>
          <w:sz w:val="24"/>
        </w:rPr>
        <w:t>Model 4 menguji pengaruh seluruh komponen MCP secara bersamaan terhadap realisasi PMA untuk mengidentifikasi komponen yang paling berpengaruh terhadap investasi asing dan membandingkan pola responsnya dengan PMDN.</w:t>
      </w:r>
    </w:p>
    <w:p>
      <w:pPr>
        <w:spacing w:line="360" w:lineRule="auto"/>
        <w:ind w:firstLine="720"/>
        <w:jc w:val="both"/>
      </w:pPr>
      <w:r>
        <w:rPr>
          <w:rFonts w:ascii="Times New Roman" w:hAnsi="Times New Roman"/>
          <w:sz w:val="24"/>
        </w:rPr>
        <w:t>log(INVESTPMAit + 1) = alpha + beta1MCPPERANGit + beta2MCPIZINit + beta3MCPPBJit + beta4MCPAPIPit + beta5MCPMASNit + beta6MCPOPDit + beta7MCPMASETit + gammalog(PENDUDUKit) + epsilonit_ ...(3.4)</w:t>
      </w:r>
    </w:p>
    <w:p>
      <w:r>
        <w:rPr>
          <w:rFonts w:ascii="Times New Roman" w:hAnsi="Times New Roman"/>
          <w:i/>
          <w:sz w:val="22"/>
        </w:rPr>
        <w:t>Keterangan: i = kabupaten/kota (1, 2, ..., 35); t = tahun (2023, 2024, 2025); alpha = konstanta; betaj = koefisien variabel utama; gamma = koefisien variabel kontrol; epsilonit = error term.</w:t>
      </w:r>
    </w:p>
    <w:p>
      <w:pPr>
        <w:pStyle w:val="Heading2"/>
        <w:jc w:val="left"/>
      </w:pPr>
      <w:r>
        <w:rPr>
          <w:rFonts w:ascii="Times New Roman" w:hAnsi="Times New Roman"/>
          <w:sz w:val="24"/>
        </w:rPr>
        <w:t>3.7 Teknik Analisis Data</w:t>
      </w:r>
    </w:p>
    <w:p>
      <w:pPr>
        <w:pStyle w:val="Heading2"/>
        <w:jc w:val="left"/>
      </w:pPr>
      <w:r>
        <w:rPr>
          <w:rFonts w:ascii="Times New Roman" w:hAnsi="Times New Roman"/>
          <w:sz w:val="24"/>
        </w:rPr>
        <w:t>3.7.1 Analisis Statistik Deskriptif</w:t>
      </w:r>
    </w:p>
    <w:p>
      <w:pPr>
        <w:spacing w:line="360" w:lineRule="auto"/>
        <w:ind w:firstLine="720"/>
        <w:jc w:val="both"/>
      </w:pPr>
      <w:r>
        <w:rPr>
          <w:rFonts w:ascii="Times New Roman" w:hAnsi="Times New Roman"/>
          <w:sz w:val="24"/>
        </w:rPr>
        <w:t>Statistik deskriptif digunakan untuk menggambarkan karakteristik data masing-masing variabel, meliputi nilai rata-rata, median, nilai maksimum, nilai minimum, dan standar deviasi. Analisis ini bertujuan memberikan gambaran awal mengenai pola dan sebaran data sebelum dilakukan analisis regresi.</w:t>
      </w:r>
    </w:p>
    <w:p>
      <w:pPr>
        <w:pStyle w:val="Heading2"/>
        <w:jc w:val="left"/>
      </w:pPr>
      <w:r>
        <w:rPr>
          <w:rFonts w:ascii="Times New Roman" w:hAnsi="Times New Roman"/>
          <w:sz w:val="24"/>
        </w:rPr>
        <w:t>3.7.2 Pemilihan Model Regresi Panel</w:t>
      </w:r>
    </w:p>
    <w:p>
      <w:pPr>
        <w:spacing w:line="360" w:lineRule="auto"/>
        <w:ind w:firstLine="720"/>
        <w:jc w:val="both"/>
      </w:pPr>
      <w:r>
        <w:rPr>
          <w:rFonts w:ascii="Times New Roman" w:hAnsi="Times New Roman"/>
          <w:sz w:val="24"/>
        </w:rPr>
        <w:t>Pemilihan antara Common Effect Model (CEM), Fixed Effect Model (FEM), dan Random Effect Model (REM) dilakukan melalui tiga pengujian formal:</w:t>
      </w:r>
    </w:p>
    <w:p>
      <w:pPr>
        <w:pStyle w:val="ListBullet"/>
      </w:pPr>
      <w:r>
        <w:rPr>
          <w:rFonts w:ascii="Times New Roman" w:hAnsi="Times New Roman"/>
          <w:sz w:val="24"/>
        </w:rPr>
        <w:t>Uji Chow: Membandingkan CEM vs FEM. Hipotesis null: CEM lebih tepat. Jika probabilitas &lt; 0,05, FEM dipilih.</w:t>
      </w:r>
    </w:p>
    <w:p>
      <w:pPr>
        <w:pStyle w:val="ListBullet"/>
      </w:pPr>
      <w:r>
        <w:rPr>
          <w:rFonts w:ascii="Times New Roman" w:hAnsi="Times New Roman"/>
          <w:sz w:val="24"/>
        </w:rPr>
        <w:t>Uji Hausman: Membandingkan FEM vs REM. Hipotesis null: REM konsisten. Jika probabilitas &lt; 0,05, FEM dipilih; jika &gt;= 0,05, REM dipilih.</w:t>
      </w:r>
    </w:p>
    <w:p>
      <w:pPr>
        <w:pStyle w:val="ListBullet"/>
      </w:pPr>
      <w:r>
        <w:rPr>
          <w:rFonts w:ascii="Times New Roman" w:hAnsi="Times New Roman"/>
          <w:sz w:val="24"/>
        </w:rPr>
        <w:t>Uji Lagrange Multiplier (LM) Breusch-Pagan: Membandingkan CEM vs REM. Hipotesis null: tidak ada random effect. Jika probabilitas &gt;= 0,05, CEM dipilih; jika &lt; 0,05, REM dipilih.</w:t>
      </w:r>
    </w:p>
    <w:p>
      <w:pPr>
        <w:pStyle w:val="Heading2"/>
        <w:jc w:val="left"/>
      </w:pPr>
      <w:r>
        <w:rPr>
          <w:rFonts w:ascii="Times New Roman" w:hAnsi="Times New Roman"/>
          <w:sz w:val="24"/>
        </w:rPr>
        <w:t>3.7.3 Uji Asumsi Klasik</w:t>
      </w:r>
    </w:p>
    <w:p>
      <w:pPr>
        <w:spacing w:line="360" w:lineRule="auto"/>
        <w:ind w:firstLine="720"/>
        <w:jc w:val="both"/>
      </w:pPr>
      <w:r>
        <w:rPr>
          <w:rFonts w:ascii="Times New Roman" w:hAnsi="Times New Roman"/>
          <w:sz w:val="24"/>
        </w:rPr>
        <w:t>Uji asumsi klasik dilakukan untuk memastikan validitas estimasi, meliputi:</w:t>
      </w:r>
    </w:p>
    <w:p>
      <w:pPr>
        <w:pStyle w:val="ListBullet"/>
      </w:pPr>
      <w:r>
        <w:rPr>
          <w:rFonts w:ascii="Times New Roman" w:hAnsi="Times New Roman"/>
          <w:sz w:val="24"/>
        </w:rPr>
        <w:t>Uji Normalitas: menggunakan Jarque-Bera Test. Residual diharapkan terdistribusi normal.</w:t>
      </w:r>
    </w:p>
    <w:p>
      <w:pPr>
        <w:pStyle w:val="ListBullet"/>
      </w:pPr>
      <w:r>
        <w:rPr>
          <w:rFonts w:ascii="Times New Roman" w:hAnsi="Times New Roman"/>
          <w:sz w:val="24"/>
        </w:rPr>
        <w:t>Uji Multikolinearitas: menggunakan Variance Inflation Factor (VIF). VIF &lt; 10 menunjukkan tidak ada multikolinearitas serius.</w:t>
      </w:r>
    </w:p>
    <w:p>
      <w:pPr>
        <w:pStyle w:val="ListBullet"/>
      </w:pPr>
      <w:r>
        <w:rPr>
          <w:rFonts w:ascii="Times New Roman" w:hAnsi="Times New Roman"/>
          <w:sz w:val="24"/>
        </w:rPr>
        <w:t>Uji Heteroskedastisitas: menggunakan Breusch-Pagan Test atau White Test.</w:t>
      </w:r>
    </w:p>
    <w:p>
      <w:pPr>
        <w:pStyle w:val="ListBullet"/>
      </w:pPr>
      <w:r>
        <w:rPr>
          <w:rFonts w:ascii="Times New Roman" w:hAnsi="Times New Roman"/>
          <w:sz w:val="24"/>
        </w:rPr>
        <w:t>Uji Autokorelasi: menggunakan Durbin-Watson Statistic. Nilai DW mendekati 2 menunjukkan tidak ada autokorelasi.</w:t>
      </w:r>
    </w:p>
    <w:p>
      <w:pPr>
        <w:pStyle w:val="Heading2"/>
        <w:jc w:val="left"/>
      </w:pPr>
      <w:r>
        <w:rPr>
          <w:rFonts w:ascii="Times New Roman" w:hAnsi="Times New Roman"/>
          <w:sz w:val="24"/>
        </w:rPr>
        <w:t>3.7.4 Pengujian Hipotesis</w:t>
      </w:r>
    </w:p>
    <w:p>
      <w:pPr>
        <w:spacing w:line="360" w:lineRule="auto"/>
        <w:ind w:firstLine="720"/>
        <w:jc w:val="both"/>
      </w:pPr>
      <w:r>
        <w:rPr>
          <w:rFonts w:ascii="Times New Roman" w:hAnsi="Times New Roman"/>
          <w:sz w:val="24"/>
        </w:rPr>
        <w:t>Pengujian hipotesis dilakukan melalui tiga uji statistik:</w:t>
      </w:r>
    </w:p>
    <w:p>
      <w:pPr>
        <w:pStyle w:val="ListBullet"/>
      </w:pPr>
      <w:r>
        <w:rPr>
          <w:rFonts w:ascii="Times New Roman" w:hAnsi="Times New Roman"/>
          <w:sz w:val="24"/>
        </w:rPr>
        <w:t>Uji t (Parsial): menguji signifikansi individual koefisien regresi pada taraf nyata alpha = 5% dan alpha = 10%.</w:t>
      </w:r>
    </w:p>
    <w:p>
      <w:pPr>
        <w:pStyle w:val="ListBullet"/>
      </w:pPr>
      <w:r>
        <w:rPr>
          <w:rFonts w:ascii="Times New Roman" w:hAnsi="Times New Roman"/>
          <w:sz w:val="24"/>
        </w:rPr>
        <w:t>Uji F (Simultan): menguji signifikansi seluruh variabel independen secara bersamaan terhadap variabel dependen.</w:t>
      </w:r>
    </w:p>
    <w:p>
      <w:pPr>
        <w:pStyle w:val="ListBullet"/>
      </w:pPr>
      <w:r>
        <w:rPr>
          <w:rFonts w:ascii="Times New Roman" w:hAnsi="Times New Roman"/>
          <w:sz w:val="24"/>
        </w:rPr>
        <w:t>Koefisien Determinasi (R2 dan Adjusted R2): mengukur proporsi variasi variabel dependen yang dijelaskan oleh model.</w:t>
      </w:r>
    </w:p>
    <w:p>
      <w:pPr>
        <w:pStyle w:val="Heading2"/>
        <w:jc w:val="left"/>
      </w:pPr>
      <w:r>
        <w:rPr>
          <w:rFonts w:ascii="Times New Roman" w:hAnsi="Times New Roman"/>
          <w:sz w:val="24"/>
        </w:rPr>
        <w:t>3.7.5 Robust Standard Error</w:t>
      </w:r>
    </w:p>
    <w:p>
      <w:pPr>
        <w:spacing w:line="360" w:lineRule="auto"/>
        <w:ind w:firstLine="720"/>
        <w:jc w:val="both"/>
      </w:pPr>
      <w:r>
        <w:rPr>
          <w:rFonts w:ascii="Times New Roman" w:hAnsi="Times New Roman"/>
          <w:sz w:val="24"/>
        </w:rPr>
        <w:t>Estimasi dilakukan dengan White cross-section robust standard error untuk mengantisipasi heteroskedastisitas dan autokorelasi antar-unit. Untuk menguji ketahanan hasil, dilakukan estimasi pembanding dengan dan tanpa robust SE. Mengingat keterbatasan periode (T=3) yang dapat menyebabkan reduced rank pada robust SE, hasil OLS standar tetap dilaporkan sebagai model utama dengan justifikasi statistik Durbin-Watson yang menunjukkan tidak adanya autokorelasi residual.</w:t>
      </w:r>
    </w:p>
    <w:p>
      <w:pPr>
        <w:pStyle w:val="Heading2"/>
        <w:jc w:val="left"/>
      </w:pPr>
      <w:r>
        <w:rPr>
          <w:rFonts w:ascii="Times New Roman" w:hAnsi="Times New Roman"/>
          <w:sz w:val="24"/>
        </w:rPr>
        <w:t>3.7.6 Software Analisis</w:t>
      </w:r>
    </w:p>
    <w:p>
      <w:pPr>
        <w:spacing w:line="360" w:lineRule="auto"/>
        <w:ind w:firstLine="720"/>
        <w:jc w:val="both"/>
      </w:pPr>
      <w:r>
        <w:rPr>
          <w:rFonts w:ascii="Times New Roman" w:hAnsi="Times New Roman"/>
          <w:sz w:val="24"/>
        </w:rPr>
        <w:t>Analisis data dilakukan menggunakan software EViews 12 untuk estimasi regresi data panel, uji pemilihan model, uji asumsi klasik, dan pengujian hipotesis.</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