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DEKOMPOSISI KOMPONEN MONITORING CENTER FOR PREVENTION (MCP) TERHADAP INVESTASI PENANAMAN MODAL DALAM NEGERI: STUDI EMPIRIS DI PROVINSI JAWA TENGAH PERIODE 2023-2025</w:t>
      </w:r>
    </w:p>
    <w:p/>
    <w:p>
      <w:pPr>
        <w:jc w:val="center"/>
      </w:pPr>
      <w:r>
        <w:rPr>
          <w:rFonts w:ascii="Times New Roman" w:hAnsi="Times New Roman"/>
          <w:b/>
          <w:sz w:val="26"/>
        </w:rPr>
        <w:t>PROPOSAL/SKRIPSI</w:t>
      </w:r>
    </w:p>
    <w:p/>
    <w:p/>
    <w:p>
      <w:pPr>
        <w:spacing w:line="360" w:lineRule="auto" w:before="240" w:after="240"/>
        <w:jc w:val="center"/>
      </w:pPr>
      <w:r>
        <w:rPr>
          <w:rFonts w:ascii="Times New Roman" w:hAnsi="Times New Roman"/>
          <w:b/>
          <w:sz w:val="28"/>
        </w:rPr>
        <w:t>ABSTRAK</w:t>
      </w:r>
    </w:p>
    <w:p>
      <w:pPr>
        <w:spacing w:line="360" w:lineRule="auto"/>
        <w:ind w:firstLine="720"/>
        <w:jc w:val="both"/>
      </w:pPr>
      <w:r>
        <w:rPr>
          <w:rFonts w:ascii="Times New Roman" w:hAnsi="Times New Roman"/>
          <w:sz w:val="22"/>
        </w:rPr>
        <w:t>Investasi merupakan komponen strategis dalam mendorong pertumbuhan ekonomi daerah, sementara kualitas tata kelola pemerintahan menjadi salah satu determinan keputusan investor. Penelitian terdahulu (Munajah, 2026; Maruli &amp; Mahi, 2022) menggunakan skor Monitoring Center for Prevention (MCP) secara agregat sehingga belum dapat mengidentifikasi komponen pencegahan korupsi yang sebenarnya menjadi penggerak hubungan dengan investasi. Penelitian ini melakukan dekomposisi MCP menjadi tujuh sub-area untuk menganalisis pengaruh masing-masing komponen terhadap investasi Penanaman Modal Dalam Negeri (PMDN) di 35 kabupaten/kota Provinsi Jawa Tengah periode 2023-2025 (N=105 observasi balanced). Common Effect Model (CEM/Pooled OLS) dipilih sebagai model regresi data panel berdasarkan Uji Hausman (Prob=0,3117) dan Uji Lagrange Multiplier Breusch-Pagan (Prob=0,8016). Lima spesifikasi model diestimasi termasuk uji structural break terkait perubahan label sub-area MCP. Hasil menunjukkan bahwa dari tujuh komponen MCP yang diuji, hanya MCP Perizinan/Pelayanan Publik yang berpengaruh positif signifikan terhadap investasi PMDN (β=0,0216; p=0,054), dan pengaruh ini semakin kuat (β=0,054) setelah kerangka indikator KPK direvisi menjadi 'Pelayanan Publik' yang lebih komprehensif pada 2024-2025. Variabel temuan BPK tidak terbukti memoderasi hubungan MCP-investasi, sementara faktor demografi (jumlah penduduk) konsisten signifikan di seluruh model. Penelitian ini memberikan kontribusi metodologis berupa dekomposisi MCP per sub-area dan kerangka dual governance MCP-BPK yang belum pernah diuji di literatur sebelumnya. Implikasi kebijakan menunjukkan pemerintah daerah perlu memprioritaskan reformasi Pelayanan Terpadu Satu Pintu (PTSP) dan kualitas pelayanan publik komprehensif sebagai strategi peningkatan investasi.</w:t>
      </w:r>
    </w:p>
    <w:p/>
    <w:p>
      <w:pPr>
        <w:jc w:val="both"/>
      </w:pPr>
      <w:r>
        <w:rPr>
          <w:b/>
          <w:i/>
          <w:sz w:val="22"/>
        </w:rPr>
        <w:t xml:space="preserve">Kata Kunci: </w:t>
      </w:r>
      <w:r>
        <w:rPr>
          <w:i/>
          <w:sz w:val="22"/>
        </w:rPr>
        <w:t>Investasi PMDN, Monitoring Center for Prevention, Pencegahan Korupsi, Pelayanan Publik, Temuan BPK, Data Panel Jawa Tengah</w:t>
      </w:r>
    </w:p>
    <w:p>
      <w:r>
        <w:br w:type="page"/>
      </w:r>
    </w:p>
    <w:p>
      <w:pPr>
        <w:spacing w:line="360" w:lineRule="auto" w:before="240" w:after="240"/>
        <w:jc w:val="center"/>
      </w:pPr>
      <w:r>
        <w:rPr>
          <w:rFonts w:ascii="Times New Roman" w:hAnsi="Times New Roman"/>
          <w:b/>
          <w:sz w:val="28"/>
        </w:rPr>
        <w:t>BAB I</w:t>
      </w:r>
    </w:p>
    <w:p>
      <w:pPr>
        <w:spacing w:line="360" w:lineRule="auto" w:before="240" w:after="240"/>
        <w:jc w:val="center"/>
      </w:pPr>
      <w:r>
        <w:rPr>
          <w:rFonts w:ascii="Times New Roman" w:hAnsi="Times New Roman"/>
          <w:b/>
          <w:sz w:val="28"/>
        </w:rPr>
        <w:t>PENDAHULUAN</w:t>
      </w:r>
    </w:p>
    <w:p>
      <w:pPr>
        <w:spacing w:line="360" w:lineRule="auto" w:before="240" w:after="240"/>
      </w:pPr>
      <w:r>
        <w:rPr>
          <w:rFonts w:ascii="Times New Roman" w:hAnsi="Times New Roman"/>
          <w:b/>
          <w:sz w:val="26"/>
        </w:rPr>
        <w:t>1.1 Latar Belakang</w:t>
      </w:r>
    </w:p>
    <w:p>
      <w:pPr>
        <w:spacing w:line="360" w:lineRule="auto" w:after="120"/>
        <w:ind w:firstLine="720"/>
        <w:jc w:val="both"/>
      </w:pPr>
      <w:r>
        <w:rPr>
          <w:rFonts w:ascii="Times New Roman" w:hAnsi="Times New Roman"/>
          <w:b w:val="0"/>
          <w:i w:val="0"/>
          <w:sz w:val="24"/>
        </w:rPr>
        <w:t>Investasi merupakan salah satu komponen strategis dalam mendorong pertumbuhan ekonomi daerah karena berperan dalam meningkatkan kapasitas produksi, menciptakan lapangan kerja, serta memperluas aktivitas ekonomi (Almakkiyah, 2026). Daerah dengan arus investasi tinggi cenderung memiliki kemampuan pembangunan yang lebih besar dibandingkan daerah dengan investasi rendah. Oleh karena itu, baik pemerintah pusat maupun daerah terus berupaya menciptakan iklim investasi yang kondusif melalui berbagai kebijakan struktural dan institusional, termasuk peningkatan kualitas tata kelola pemerintahan.</w:t>
      </w:r>
    </w:p>
    <w:p>
      <w:pPr>
        <w:spacing w:line="360" w:lineRule="auto" w:after="120"/>
        <w:ind w:firstLine="720"/>
        <w:jc w:val="both"/>
      </w:pPr>
      <w:r>
        <w:rPr>
          <w:rFonts w:ascii="Times New Roman" w:hAnsi="Times New Roman"/>
          <w:b w:val="0"/>
          <w:i w:val="0"/>
          <w:sz w:val="24"/>
        </w:rPr>
        <w:t>Salah satu faktor yang mempengaruhi keputusan investasi adalah kualitas tata kelola pemerintahan, termasuk upaya pencegahan dan pengendalian korupsi. Teori kelembagaan (North, 1991) menyatakan bahwa investor mempertimbangkan stabilitas kebijakan, transparansi birokrasi, serta jaminan kepastian hukum sebelum memutuskan masuk ke suatu daerah. Praktik korupsi yang tinggi dapat menambah biaya transaksi, meningkatkan ketidakpastian, serta menurunkan kualitas pelayanan publik sehingga menghambat investasi (Mauro, 1995). Sebaliknya, upaya pencegahan korupsi di sektor publik dapat memperkuat kepercayaan investor dan meningkatkan iklim usaha yang lebih sehat.</w:t>
      </w:r>
    </w:p>
    <w:p>
      <w:pPr>
        <w:spacing w:line="360" w:lineRule="auto" w:after="120"/>
        <w:ind w:firstLine="720"/>
        <w:jc w:val="both"/>
      </w:pPr>
      <w:r>
        <w:rPr>
          <w:rFonts w:ascii="Times New Roman" w:hAnsi="Times New Roman"/>
          <w:b w:val="0"/>
          <w:i w:val="0"/>
          <w:sz w:val="24"/>
        </w:rPr>
        <w:t>Di Indonesia, Komisi Pemberantasan Korupsi (KPK) mengembangkan instrumen Monitoring Center for Prevention (MCP) untuk menilai upaya pencegahan korupsi di pemerintah daerah. MCP terdiri dari delapan area tata kelola yang dianggap rawan korupsi: Perencanaan dan Penganggaran APBD, Pengadaan Barang dan Jasa, Pelayanan Terpadu Satu Pintu/Perizinan, Pengawasan APIP, Manajemen ASN, Optimalisasi Pajak Daerah, Manajemen Aset, dan Manajemen Dana Desa. Skor MCP berkisar 0-100, dengan skor mendekati 100 menunjukkan kualitas pencegahan korupsi yang lebih baik (Tua &amp; Mahi, 2022).</w:t>
      </w:r>
    </w:p>
    <w:p>
      <w:pPr>
        <w:spacing w:line="360" w:lineRule="auto" w:after="120"/>
        <w:ind w:firstLine="720"/>
        <w:jc w:val="both"/>
      </w:pPr>
      <w:r>
        <w:rPr>
          <w:rFonts w:ascii="Times New Roman" w:hAnsi="Times New Roman"/>
          <w:b w:val="0"/>
          <w:i w:val="0"/>
          <w:sz w:val="24"/>
        </w:rPr>
        <w:t>Provinsi Jawa Tengah merupakan salah satu provinsi dengan capaian skor MCP tertinggi di Indonesia, namun realisasi investasi PMDN antar 35 kabupaten/kota di provinsi ini menunjukkan variasi yang signifikan. Beberapa daerah seperti Kota Semarang, Kabupaten Cilacap, dan Kabupaten Kendal memiliki nilai investasi PMDN yang sangat besar, sementara kabupaten lainnya memiliki realisasi yang relatif rendah. Variasi ini menimbulkan pertanyaan mengenai sejauh mana kualitas tata kelola yang diukur melalui MCP berkontribusi terhadap perbedaan kemampuan daerah dalam menarik investasi PMDN.</w:t>
      </w:r>
    </w:p>
    <w:p>
      <w:pPr>
        <w:spacing w:line="360" w:lineRule="auto" w:after="120"/>
        <w:ind w:firstLine="720"/>
        <w:jc w:val="both"/>
      </w:pPr>
      <w:r>
        <w:rPr>
          <w:rFonts w:ascii="Times New Roman" w:hAnsi="Times New Roman"/>
          <w:b w:val="0"/>
          <w:i w:val="0"/>
          <w:sz w:val="24"/>
        </w:rPr>
        <w:t>Penelitian terdahulu mengenai pengaruh MCP terhadap investasi telah dilakukan dalam berbagai konteks. Tua dan Mahi (2022) menggunakan data 507 kabupaten/kota di Indonesia periode 2018-2020 dan menemukan bahwa MCP berpengaruh positif signifikan terhadap investasi swasta. Almakkiyah (2026) menggunakan data 10 kabupaten/kota di Provinsi Nusa Tenggara Barat periode 2019-2024 dan menemukan hubungan nonlinier (threshold consistency) antara MCP dengan investasi. Namun demikian, kedua penelitian tersebut menggunakan skor MCP secara agregat sehingga belum dapat mengidentifikasi sub-area mana dari delapan area MCP yang sebenarnya menjadi penggerak utama hubungan MCP-investasi.</w:t>
      </w:r>
    </w:p>
    <w:p>
      <w:pPr>
        <w:spacing w:line="360" w:lineRule="auto" w:after="120"/>
        <w:ind w:firstLine="720"/>
        <w:jc w:val="both"/>
      </w:pPr>
      <w:r>
        <w:rPr>
          <w:rFonts w:ascii="Times New Roman" w:hAnsi="Times New Roman"/>
          <w:b w:val="0"/>
          <w:i w:val="0"/>
          <w:sz w:val="24"/>
        </w:rPr>
        <w:t>Penggunaan skor MCP agregat memiliki keterbatasan substantif karena berasumsi bahwa seluruh sub-area memiliki kontribusi yang setara terhadap keputusan investor. Padahal, secara teoretis dan empiris, investor swasta cenderung lebih sensitif terhadap aspek pelayanan publik yang langsung berinteraksi dengan kegiatan usahanya, seperti perizinan, dibandingkan dengan aspek tata kelola internal pemerintah daerah seperti manajemen ASN atau pengawasan APIP (Klitgaard, 1988; Camargo, 2011). Oleh karena itu, dekomposisi MCP per sub-area menjadi penting untuk mengidentifikasi prioritas reformasi tata kelola yang lebih tepat sasaran.</w:t>
      </w:r>
    </w:p>
    <w:p>
      <w:pPr>
        <w:spacing w:line="360" w:lineRule="auto" w:after="120"/>
        <w:ind w:firstLine="720"/>
        <w:jc w:val="both"/>
      </w:pPr>
      <w:r>
        <w:rPr>
          <w:rFonts w:ascii="Times New Roman" w:hAnsi="Times New Roman"/>
          <w:b w:val="0"/>
          <w:i w:val="0"/>
          <w:sz w:val="24"/>
        </w:rPr>
        <w:t>Selain MCP sebagai instrumen pengawasan internal, pemerintah daerah juga diawasi oleh Badan Pemeriksa Keuangan (BPK) melalui audit eksternal yang menghasilkan temuan-temuan terkait Sistem Pengendalian Intern (SPI) dan kepatuhan terhadap peraturan perundang-undangan. Temuan BPK dapat dipandang sebagai indikator tata kelola yang bersifat ex-post, melengkapi MCP yang lebih bersifat ex-ante. Interaksi antara dua instrumen pengawasan ini—internal (MCP) dan eksternal (BPK)—membentuk apa yang dapat disebut sebagai dual governance framework, namun belum banyak diteliti secara empiris.</w:t>
      </w:r>
    </w:p>
    <w:p>
      <w:pPr>
        <w:spacing w:line="360" w:lineRule="auto" w:after="120"/>
        <w:ind w:firstLine="720"/>
        <w:jc w:val="both"/>
      </w:pPr>
      <w:r>
        <w:rPr>
          <w:rFonts w:ascii="Times New Roman" w:hAnsi="Times New Roman"/>
          <w:b w:val="0"/>
          <w:i w:val="0"/>
          <w:sz w:val="24"/>
        </w:rPr>
        <w:t>Selain itu, KPK melakukan revisi kerangka indikator MCP dari label "Perizinan" pada 2023 menjadi "Pelayanan Publik" pada 2024-2025, dengan penambahan sub-indikator Standar Pelayanan, Survei Kepuasan Masyarakat, dan Layanan Publik Berintegritas. Perubahan ini memberi peluang untuk menguji apakah penyempurnaan kerangka indikator tata kelola memberi dampak yang berbeda terhadap respon investor.</w:t>
      </w:r>
    </w:p>
    <w:p>
      <w:pPr>
        <w:spacing w:line="360" w:lineRule="auto" w:after="120"/>
        <w:ind w:firstLine="720"/>
        <w:jc w:val="both"/>
      </w:pPr>
      <w:r>
        <w:rPr>
          <w:rFonts w:ascii="Times New Roman" w:hAnsi="Times New Roman"/>
          <w:b w:val="0"/>
          <w:i w:val="0"/>
          <w:sz w:val="24"/>
        </w:rPr>
        <w:t>Berdasarkan latar belakang tersebut, penelitian ini bertujuan menganalisis pengaruh komponen MCP terhadap investasi PMDN di Provinsi Jawa Tengah dengan pendekatan dekomposisi per sub-area, mempertimbangkan moderasi temuan BPK, dan menguji konsistensi temuan terhadap perubahan kerangka indikator. Penelitian ini diharapkan memberikan kontribusi baik secara metodologis (dekomposisi MCP, dual governance framework) maupun praktis (rekomendasi prioritas reformasi tata kelola untuk pemerintah daerah).</w:t>
      </w:r>
    </w:p>
    <w:p>
      <w:pPr>
        <w:spacing w:line="360" w:lineRule="auto" w:before="240" w:after="240"/>
      </w:pPr>
      <w:r>
        <w:rPr>
          <w:rFonts w:ascii="Times New Roman" w:hAnsi="Times New Roman"/>
          <w:b/>
          <w:sz w:val="26"/>
        </w:rPr>
        <w:t>1.2 Rumusan Masalah</w:t>
      </w:r>
    </w:p>
    <w:p>
      <w:pPr>
        <w:spacing w:line="360" w:lineRule="auto" w:after="120"/>
        <w:jc w:val="both"/>
      </w:pPr>
      <w:r>
        <w:rPr>
          <w:rFonts w:ascii="Times New Roman" w:hAnsi="Times New Roman"/>
          <w:b w:val="0"/>
          <w:i w:val="0"/>
          <w:sz w:val="24"/>
        </w:rPr>
        <w:t>Berdasarkan latar belakang yang telah diuraikan, rumusan masalah penelitian ini adalah:</w:t>
      </w:r>
    </w:p>
    <w:p>
      <w:pPr>
        <w:spacing w:line="360" w:lineRule="auto"/>
        <w:ind w:left="720" w:hanging="340"/>
        <w:jc w:val="both"/>
      </w:pPr>
      <w:r>
        <w:rPr>
          <w:rFonts w:ascii="Times New Roman" w:hAnsi="Times New Roman"/>
          <w:sz w:val="24"/>
        </w:rPr>
        <w:t>1.   Komponen Monitoring Center for Prevention (MCP) manakah yang berpengaruh signifikan terhadap nilai investasi Penanaman Modal Dalam Negeri (PMDN) di kabupaten/kota Provinsi Jawa Tengah periode 2023-2025?</w:t>
      </w:r>
    </w:p>
    <w:p>
      <w:pPr>
        <w:spacing w:line="360" w:lineRule="auto"/>
        <w:ind w:left="720" w:hanging="340"/>
        <w:jc w:val="both"/>
      </w:pPr>
      <w:r>
        <w:rPr>
          <w:rFonts w:ascii="Times New Roman" w:hAnsi="Times New Roman"/>
          <w:sz w:val="24"/>
        </w:rPr>
        <w:t>2.   Apakah jumlah temuan Badan Pemeriksa Keuangan (BPK) memoderasi hubungan antara komponen MCP dan investasi PMDN di kabupaten/kota Provinsi Jawa Tengah?</w:t>
      </w:r>
    </w:p>
    <w:p>
      <w:pPr>
        <w:spacing w:line="360" w:lineRule="auto"/>
        <w:ind w:left="720" w:hanging="340"/>
        <w:jc w:val="both"/>
      </w:pPr>
      <w:r>
        <w:rPr>
          <w:rFonts w:ascii="Times New Roman" w:hAnsi="Times New Roman"/>
          <w:sz w:val="24"/>
        </w:rPr>
        <w:t>3.   Apakah perubahan kerangka indikator MCP dari "Perizinan" (2023) menjadi "Pelayanan Publik" (2024-2025) menghasilkan pengaruh yang berbeda terhadap investasi PMDN?</w:t>
      </w:r>
    </w:p>
    <w:p>
      <w:pPr>
        <w:spacing w:line="360" w:lineRule="auto" w:before="240" w:after="240"/>
      </w:pPr>
      <w:r>
        <w:rPr>
          <w:rFonts w:ascii="Times New Roman" w:hAnsi="Times New Roman"/>
          <w:b/>
          <w:sz w:val="26"/>
        </w:rPr>
        <w:t>1.3 Tujuan Penelitian</w:t>
      </w:r>
    </w:p>
    <w:p>
      <w:pPr>
        <w:spacing w:line="360" w:lineRule="auto" w:after="120"/>
        <w:jc w:val="both"/>
      </w:pPr>
      <w:r>
        <w:rPr>
          <w:rFonts w:ascii="Times New Roman" w:hAnsi="Times New Roman"/>
          <w:b w:val="0"/>
          <w:i w:val="0"/>
          <w:sz w:val="24"/>
        </w:rPr>
        <w:t>Sesuai dengan rumusan masalah, tujuan penelitian ini adalah:</w:t>
      </w:r>
    </w:p>
    <w:p>
      <w:pPr>
        <w:spacing w:line="360" w:lineRule="auto"/>
        <w:ind w:left="720" w:hanging="340"/>
        <w:jc w:val="both"/>
      </w:pPr>
      <w:r>
        <w:rPr>
          <w:rFonts w:ascii="Times New Roman" w:hAnsi="Times New Roman"/>
          <w:sz w:val="24"/>
        </w:rPr>
        <w:t>1.   Mengidentifikasi komponen MCP yang berpengaruh signifikan terhadap nilai investasi PMDN di kabupaten/kota Provinsi Jawa Tengah periode 2023-2025.</w:t>
      </w:r>
    </w:p>
    <w:p>
      <w:pPr>
        <w:spacing w:line="360" w:lineRule="auto"/>
        <w:ind w:left="720" w:hanging="340"/>
        <w:jc w:val="both"/>
      </w:pPr>
      <w:r>
        <w:rPr>
          <w:rFonts w:ascii="Times New Roman" w:hAnsi="Times New Roman"/>
          <w:sz w:val="24"/>
        </w:rPr>
        <w:t>2.   Menganalisis peran jumlah temuan BPK sebagai variabel moderasi dalam hubungan antara komponen MCP dan investasi PMDN.</w:t>
      </w:r>
    </w:p>
    <w:p>
      <w:pPr>
        <w:spacing w:line="360" w:lineRule="auto"/>
        <w:ind w:left="720" w:hanging="340"/>
        <w:jc w:val="both"/>
      </w:pPr>
      <w:r>
        <w:rPr>
          <w:rFonts w:ascii="Times New Roman" w:hAnsi="Times New Roman"/>
          <w:sz w:val="24"/>
        </w:rPr>
        <w:t>3.   Menguji konsistensi pengaruh komponen MCP terhadap investasi PMDN sebelum dan sesudah perubahan kerangka indikator dari "Perizinan" menjadi "Pelayanan Publik".</w:t>
      </w:r>
    </w:p>
    <w:p>
      <w:pPr>
        <w:spacing w:line="360" w:lineRule="auto" w:before="240" w:after="240"/>
      </w:pPr>
      <w:r>
        <w:rPr>
          <w:rFonts w:ascii="Times New Roman" w:hAnsi="Times New Roman"/>
          <w:b/>
          <w:sz w:val="26"/>
        </w:rPr>
        <w:t>1.4 Manfaat Penelitian</w:t>
      </w:r>
    </w:p>
    <w:p>
      <w:pPr>
        <w:spacing w:line="360" w:lineRule="auto" w:before="240" w:after="240"/>
      </w:pPr>
      <w:r>
        <w:rPr>
          <w:rFonts w:ascii="Times New Roman" w:hAnsi="Times New Roman"/>
          <w:b/>
          <w:sz w:val="24"/>
        </w:rPr>
        <w:t>1.4.1 Manfaat Teoretis</w:t>
      </w:r>
    </w:p>
    <w:p>
      <w:pPr>
        <w:spacing w:line="360" w:lineRule="auto"/>
        <w:ind w:left="720" w:hanging="340"/>
        <w:jc w:val="both"/>
      </w:pPr>
      <w:r>
        <w:rPr>
          <w:rFonts w:ascii="Times New Roman" w:hAnsi="Times New Roman"/>
          <w:sz w:val="24"/>
        </w:rPr>
        <w:t>1.   Memberikan kontribusi metodologis berupa pendekatan dekomposisi MCP per sub-area, sebagai alternatif penggunaan skor agregat yang dominan di literatur sebelumnya.</w:t>
      </w:r>
    </w:p>
    <w:p>
      <w:pPr>
        <w:spacing w:line="360" w:lineRule="auto"/>
        <w:ind w:left="720" w:hanging="340"/>
        <w:jc w:val="both"/>
      </w:pPr>
      <w:r>
        <w:rPr>
          <w:rFonts w:ascii="Times New Roman" w:hAnsi="Times New Roman"/>
          <w:sz w:val="24"/>
        </w:rPr>
        <w:t>2.   Memperkenalkan kerangka dual governance MCP-BPK sebagai mekanisme pengawasan internal-eksternal yang saling melengkapi dalam mempengaruhi investasi.</w:t>
      </w:r>
    </w:p>
    <w:p>
      <w:pPr>
        <w:spacing w:line="360" w:lineRule="auto"/>
        <w:ind w:left="720" w:hanging="340"/>
        <w:jc w:val="both"/>
      </w:pPr>
      <w:r>
        <w:rPr>
          <w:rFonts w:ascii="Times New Roman" w:hAnsi="Times New Roman"/>
          <w:sz w:val="24"/>
        </w:rPr>
        <w:t>3.   Memperkaya literatur empiris tentang pengaruh tata kelola pemerintahan terhadap investasi di tingkat sub-nasional, khususnya pada level kabupaten/kota.</w:t>
      </w:r>
    </w:p>
    <w:p>
      <w:pPr>
        <w:spacing w:line="360" w:lineRule="auto" w:before="240" w:after="240"/>
      </w:pPr>
      <w:r>
        <w:rPr>
          <w:rFonts w:ascii="Times New Roman" w:hAnsi="Times New Roman"/>
          <w:b/>
          <w:sz w:val="24"/>
        </w:rPr>
        <w:t>1.4.2 Manfaat Praktis</w:t>
      </w:r>
    </w:p>
    <w:p>
      <w:pPr>
        <w:spacing w:line="360" w:lineRule="auto"/>
        <w:ind w:left="720" w:hanging="340"/>
        <w:jc w:val="both"/>
      </w:pPr>
      <w:r>
        <w:rPr>
          <w:rFonts w:ascii="Times New Roman" w:hAnsi="Times New Roman"/>
          <w:sz w:val="24"/>
        </w:rPr>
        <w:t>1.   Memberikan rekomendasi kebijakan kepada pemerintah daerah Jawa Tengah mengenai prioritas reformasi tata kelola yang paling efektif dalam mendorong investasi PMDN.</w:t>
      </w:r>
    </w:p>
    <w:p>
      <w:pPr>
        <w:spacing w:line="360" w:lineRule="auto"/>
        <w:ind w:left="720" w:hanging="340"/>
        <w:jc w:val="both"/>
      </w:pPr>
      <w:r>
        <w:rPr>
          <w:rFonts w:ascii="Times New Roman" w:hAnsi="Times New Roman"/>
          <w:sz w:val="24"/>
        </w:rPr>
        <w:t>2.   Membantu KPK dalam mengevaluasi efektivitas kerangka indikator MCP, khususnya dampak revisi indikator pada periode 2024-2025.</w:t>
      </w:r>
    </w:p>
    <w:p>
      <w:pPr>
        <w:spacing w:line="360" w:lineRule="auto"/>
        <w:ind w:left="720" w:hanging="340"/>
        <w:jc w:val="both"/>
      </w:pPr>
      <w:r>
        <w:rPr>
          <w:rFonts w:ascii="Times New Roman" w:hAnsi="Times New Roman"/>
          <w:sz w:val="24"/>
        </w:rPr>
        <w:t>3.   Memberikan informasi kepada calon investor mengenai kondisi tata kelola pelayanan publik di Jawa Tengah sebagai bahan pertimbangan keputusan investasi.</w:t>
      </w:r>
    </w:p>
    <w:p>
      <w:pPr>
        <w:spacing w:line="360" w:lineRule="auto" w:before="240" w:after="240"/>
      </w:pPr>
      <w:r>
        <w:rPr>
          <w:rFonts w:ascii="Times New Roman" w:hAnsi="Times New Roman"/>
          <w:b/>
          <w:sz w:val="26"/>
        </w:rPr>
        <w:t>1.5 Sistematika Penulisan</w:t>
      </w:r>
    </w:p>
    <w:p>
      <w:pPr>
        <w:spacing w:line="360" w:lineRule="auto" w:after="120"/>
        <w:jc w:val="both"/>
      </w:pPr>
      <w:r>
        <w:rPr>
          <w:rFonts w:ascii="Times New Roman" w:hAnsi="Times New Roman"/>
          <w:b w:val="0"/>
          <w:i w:val="0"/>
          <w:sz w:val="24"/>
        </w:rPr>
        <w:t>Penelitian ini disusun dalam lima bab dengan rincian sebagai berikut:</w:t>
      </w:r>
    </w:p>
    <w:p>
      <w:pPr>
        <w:spacing w:line="360" w:lineRule="auto"/>
        <w:ind w:left="720" w:hanging="340"/>
        <w:jc w:val="both"/>
      </w:pPr>
      <w:r>
        <w:rPr>
          <w:rFonts w:ascii="Times New Roman" w:hAnsi="Times New Roman"/>
          <w:b/>
          <w:sz w:val="24"/>
        </w:rPr>
        <w:t>BAB I PENDAHULUAN</w:t>
      </w:r>
      <w:r>
        <w:rPr>
          <w:rFonts w:ascii="Times New Roman" w:hAnsi="Times New Roman"/>
          <w:sz w:val="24"/>
        </w:rPr>
        <w:t>, menjelaskan latar belakang penelitian, rumusan masalah, tujuan, manfaat, dan sistematika penulisan.</w:t>
      </w:r>
    </w:p>
    <w:p>
      <w:pPr>
        <w:spacing w:line="360" w:lineRule="auto"/>
        <w:ind w:left="720" w:hanging="340"/>
        <w:jc w:val="both"/>
      </w:pPr>
      <w:r>
        <w:rPr>
          <w:rFonts w:ascii="Times New Roman" w:hAnsi="Times New Roman"/>
          <w:b/>
          <w:sz w:val="24"/>
        </w:rPr>
        <w:t>BAB II TINJAUAN PUSTAKA</w:t>
      </w:r>
      <w:r>
        <w:rPr>
          <w:rFonts w:ascii="Times New Roman" w:hAnsi="Times New Roman"/>
          <w:sz w:val="24"/>
        </w:rPr>
        <w:t>, menguraikan landasan teori (teori biaya transaksi, teori kelembagaan, teori agen-prinsipal), telaah penelitian terdahulu, kerangka konseptual, dan hipotesis penelitian.</w:t>
      </w:r>
    </w:p>
    <w:p>
      <w:pPr>
        <w:spacing w:line="360" w:lineRule="auto"/>
        <w:ind w:left="720" w:hanging="340"/>
        <w:jc w:val="both"/>
      </w:pPr>
      <w:r>
        <w:rPr>
          <w:rFonts w:ascii="Times New Roman" w:hAnsi="Times New Roman"/>
          <w:b/>
          <w:sz w:val="24"/>
        </w:rPr>
        <w:t>BAB III METODE PENELITIAN</w:t>
      </w:r>
      <w:r>
        <w:rPr>
          <w:rFonts w:ascii="Times New Roman" w:hAnsi="Times New Roman"/>
          <w:sz w:val="24"/>
        </w:rPr>
        <w:t>, memaparkan jenis dan pendekatan penelitian, populasi dan sampel, jenis dan sumber data, definisi operasional variabel, model regresi, serta teknik analisis data.</w:t>
      </w:r>
    </w:p>
    <w:p>
      <w:pPr>
        <w:spacing w:line="360" w:lineRule="auto"/>
        <w:ind w:left="720" w:hanging="340"/>
        <w:jc w:val="both"/>
      </w:pPr>
      <w:r>
        <w:rPr>
          <w:rFonts w:ascii="Times New Roman" w:hAnsi="Times New Roman"/>
          <w:b/>
          <w:sz w:val="24"/>
        </w:rPr>
        <w:t>BAB IV HASIL DAN PEMBAHASAN</w:t>
      </w:r>
      <w:r>
        <w:rPr>
          <w:rFonts w:ascii="Times New Roman" w:hAnsi="Times New Roman"/>
          <w:sz w:val="24"/>
        </w:rPr>
        <w:t>, menyajikan statistik deskriptif, hasil pemilihan model panel, hasil estimasi regresi, uji robustness, serta pembahasan temuan dikaitkan dengan teori dan literatur.</w:t>
      </w:r>
    </w:p>
    <w:p>
      <w:pPr>
        <w:spacing w:line="360" w:lineRule="auto"/>
        <w:ind w:left="720" w:hanging="340"/>
        <w:jc w:val="both"/>
      </w:pPr>
      <w:r>
        <w:rPr>
          <w:rFonts w:ascii="Times New Roman" w:hAnsi="Times New Roman"/>
          <w:b/>
          <w:sz w:val="24"/>
        </w:rPr>
        <w:t>BAB V PENUTUP</w:t>
      </w:r>
      <w:r>
        <w:rPr>
          <w:rFonts w:ascii="Times New Roman" w:hAnsi="Times New Roman"/>
          <w:sz w:val="24"/>
        </w:rPr>
        <w:t>, berisi kesimpulan, implikasi kebijakan, keterbatasan penelitian, dan saran untuk penelitian selanjutnya.</w:t>
      </w:r>
    </w:p>
    <w:p>
      <w:r>
        <w:br w:type="page"/>
      </w:r>
    </w:p>
    <w:p>
      <w:pPr>
        <w:spacing w:line="360" w:lineRule="auto" w:before="240" w:after="240"/>
        <w:jc w:val="center"/>
      </w:pPr>
      <w:r>
        <w:rPr>
          <w:rFonts w:ascii="Times New Roman" w:hAnsi="Times New Roman"/>
          <w:b/>
          <w:sz w:val="28"/>
        </w:rPr>
        <w:t>BAB II</w:t>
      </w:r>
    </w:p>
    <w:p>
      <w:pPr>
        <w:spacing w:line="360" w:lineRule="auto" w:before="240" w:after="240"/>
        <w:jc w:val="center"/>
      </w:pPr>
      <w:r>
        <w:rPr>
          <w:rFonts w:ascii="Times New Roman" w:hAnsi="Times New Roman"/>
          <w:b/>
          <w:sz w:val="28"/>
        </w:rPr>
        <w:t>TINJAUAN PUSTAKA</w:t>
      </w:r>
    </w:p>
    <w:p>
      <w:pPr>
        <w:spacing w:line="360" w:lineRule="auto" w:before="240" w:after="240"/>
      </w:pPr>
      <w:r>
        <w:rPr>
          <w:rFonts w:ascii="Times New Roman" w:hAnsi="Times New Roman"/>
          <w:b/>
          <w:sz w:val="26"/>
        </w:rPr>
        <w:t>2.1 Landasan Teori</w:t>
      </w:r>
    </w:p>
    <w:p>
      <w:pPr>
        <w:spacing w:line="360" w:lineRule="auto" w:before="240" w:after="240"/>
      </w:pPr>
      <w:r>
        <w:rPr>
          <w:rFonts w:ascii="Times New Roman" w:hAnsi="Times New Roman"/>
          <w:b/>
          <w:sz w:val="24"/>
        </w:rPr>
        <w:t>2.1.1 Teori Biaya Transaksi</w:t>
      </w:r>
    </w:p>
    <w:p>
      <w:pPr>
        <w:spacing w:line="360" w:lineRule="auto" w:after="120"/>
        <w:ind w:firstLine="720"/>
        <w:jc w:val="both"/>
      </w:pPr>
      <w:r>
        <w:rPr>
          <w:rFonts w:ascii="Times New Roman" w:hAnsi="Times New Roman"/>
          <w:b w:val="0"/>
          <w:i w:val="0"/>
          <w:sz w:val="24"/>
        </w:rPr>
        <w:t>Teori biaya transaksi (Coase, 1937; Williamson, 2002) menyatakan bahwa kegiatan ekonomi tidak hanya melibatkan biaya produksi (production cost) tetapi juga biaya transaksi (transaction cost) yang muncul dari proses pencarian informasi, negosiasi, kontrak, monitoring, dan enforcement. Investor swasta memilih lokasi investasi yang dapat meminimalkan biaya transaksi, salah satunya melalui kemudahan birokrasi dan transparansi pelayanan.</w:t>
      </w:r>
    </w:p>
    <w:p>
      <w:pPr>
        <w:spacing w:line="360" w:lineRule="auto" w:after="120"/>
        <w:ind w:firstLine="720"/>
        <w:jc w:val="both"/>
      </w:pPr>
      <w:r>
        <w:rPr>
          <w:rFonts w:ascii="Times New Roman" w:hAnsi="Times New Roman"/>
          <w:b w:val="0"/>
          <w:i w:val="0"/>
          <w:sz w:val="24"/>
        </w:rPr>
        <w:t>Korupsi dan birokrasi yang tidak efisien meningkatkan biaya transaksi karena investor harus mengeluarkan biaya tidak resmi (informal cost), menghadapi ketidakpastian, dan mengalami delay perizinan. Mauro (1995) menemukan bahwa korupsi yang tinggi menurunkan pertumbuhan investasi, sementara Mengistu dan Adhikary (2011) menyatakan bahwa investasi sangat elastis terhadap biaya transaksi terkait tata kelola. Implikasi bagi penelitian ini adalah bahwa upaya pencegahan korupsi yang langsung berdampak pada pengurangan biaya transaksi—khususnya pada sub-area perizinan dan pelayanan publik—diharapkan paling responsif terhadap keputusan investasi.</w:t>
      </w:r>
    </w:p>
    <w:p>
      <w:pPr>
        <w:spacing w:line="360" w:lineRule="auto" w:before="240" w:after="240"/>
      </w:pPr>
      <w:r>
        <w:rPr>
          <w:rFonts w:ascii="Times New Roman" w:hAnsi="Times New Roman"/>
          <w:b/>
          <w:sz w:val="24"/>
        </w:rPr>
        <w:t>2.1.2 Teori Kelembagaan</w:t>
      </w:r>
    </w:p>
    <w:p>
      <w:pPr>
        <w:spacing w:line="360" w:lineRule="auto" w:after="120"/>
        <w:ind w:firstLine="720"/>
        <w:jc w:val="both"/>
      </w:pPr>
      <w:r>
        <w:rPr>
          <w:rFonts w:ascii="Times New Roman" w:hAnsi="Times New Roman"/>
          <w:b w:val="0"/>
          <w:i w:val="0"/>
          <w:sz w:val="24"/>
        </w:rPr>
        <w:t>North (1991) mendefinisikan institusi sebagai aturan main yang dirancang untuk mengurangi ketidakpastian dalam interaksi ekonomi. Kualitas institusi suatu negara/daerah—tercermin dari supremasi hukum, transparansi birokrasi, dan akuntabilitas pemerintah—merupakan determinan penting investasi. Aysan dkk. (2007) dan Globerman dkk. (2006) membuktikan bahwa kualitas tata kelola berpengaruh positif signifikan terhadap arus investasi, terutama di negara berkembang.</w:t>
      </w:r>
    </w:p>
    <w:p>
      <w:pPr>
        <w:spacing w:line="360" w:lineRule="auto" w:after="120"/>
        <w:ind w:firstLine="720"/>
        <w:jc w:val="both"/>
      </w:pPr>
      <w:r>
        <w:rPr>
          <w:rFonts w:ascii="Times New Roman" w:hAnsi="Times New Roman"/>
          <w:b w:val="0"/>
          <w:i w:val="0"/>
          <w:sz w:val="24"/>
        </w:rPr>
        <w:t>Dalam konteks Indonesia, Monitoring Center for Prevention (MCP) yang dikembangkan KPK merupakan instrumen pengukuran kualitas institusi tata kelola di tingkat pemerintah daerah. Skor MCP yang tinggi mencerminkan kelembagaan yang lebih kredibel, sehingga secara teoretis akan menarik lebih banyak investasi.</w:t>
      </w:r>
    </w:p>
    <w:p>
      <w:pPr>
        <w:spacing w:line="360" w:lineRule="auto" w:before="240" w:after="240"/>
      </w:pPr>
      <w:r>
        <w:rPr>
          <w:rFonts w:ascii="Times New Roman" w:hAnsi="Times New Roman"/>
          <w:b/>
          <w:sz w:val="24"/>
        </w:rPr>
        <w:t>2.1.3 Teori Agen-Prinsipal</w:t>
      </w:r>
    </w:p>
    <w:p>
      <w:pPr>
        <w:spacing w:line="360" w:lineRule="auto" w:after="120"/>
        <w:ind w:firstLine="720"/>
        <w:jc w:val="both"/>
      </w:pPr>
      <w:r>
        <w:rPr>
          <w:rFonts w:ascii="Times New Roman" w:hAnsi="Times New Roman"/>
          <w:b w:val="0"/>
          <w:i w:val="0"/>
          <w:sz w:val="24"/>
        </w:rPr>
        <w:t>Teori agen-prinsipal (Klitgaard, 1988; Camargo, 2011) memandang hubungan antara masyarakat (prinsipal) dan pemerintah (agen) sebagai relasi yang rawan asimetri informasi. Agen memiliki akses informasi yang lebih banyak dibandingkan prinsipal, sehingga muncul potensi praktik korupsi. Untuk mengatasi asimetri informasi tersebut diperlukan mekanisme akuntabilitas yang melibatkan: delegasi kewenangan, pembiayaan transparan, enforcement, informasi kinerja, dan monitoring.</w:t>
      </w:r>
    </w:p>
    <w:p>
      <w:pPr>
        <w:spacing w:line="360" w:lineRule="auto" w:after="120"/>
        <w:ind w:firstLine="720"/>
        <w:jc w:val="both"/>
      </w:pPr>
      <w:r>
        <w:rPr>
          <w:rFonts w:ascii="Times New Roman" w:hAnsi="Times New Roman"/>
          <w:b w:val="0"/>
          <w:i w:val="0"/>
          <w:sz w:val="24"/>
        </w:rPr>
        <w:t>MCP berperan sebagai mekanisme monitoring ex-ante yang menilai upaya pencegahan korupsi pemerintah daerah, sementara temuan BPK berfungsi sebagai monitoring ex-post yang memeriksa kepatuhan dan integritas pengelolaan keuangan. Keduanya bersifat saling melengkapi (komplementer) dalam membentuk kerangka tata kelola yang akuntabel, dan investor swasta dapat memandang kombinasi keduanya sebagai sinyal kualitas pemerintahan daerah.</w:t>
      </w:r>
    </w:p>
    <w:p>
      <w:pPr>
        <w:spacing w:line="360" w:lineRule="auto" w:before="240" w:after="240"/>
      </w:pPr>
      <w:r>
        <w:rPr>
          <w:rFonts w:ascii="Times New Roman" w:hAnsi="Times New Roman"/>
          <w:b/>
          <w:sz w:val="26"/>
        </w:rPr>
        <w:t>2.2 Penelitian Terdahulu</w:t>
      </w:r>
    </w:p>
    <w:p>
      <w:pPr>
        <w:spacing w:line="360" w:lineRule="auto" w:after="120"/>
        <w:jc w:val="both"/>
      </w:pPr>
      <w:r>
        <w:rPr>
          <w:rFonts w:ascii="Times New Roman" w:hAnsi="Times New Roman"/>
          <w:b w:val="0"/>
          <w:i w:val="0"/>
          <w:sz w:val="24"/>
        </w:rPr>
        <w:t>Beberapa penelitian terdahulu yang relevan dengan topik ini disajikan dalam Tabel 2.1.</w:t>
      </w:r>
    </w:p>
    <w:p/>
    <w:p>
      <w:pPr>
        <w:jc w:val="center"/>
      </w:pPr>
      <w:r>
        <w:rPr>
          <w:rFonts w:ascii="Times New Roman" w:hAnsi="Times New Roman"/>
          <w:b/>
          <w:i/>
          <w:sz w:val="22"/>
        </w:rPr>
        <w:t>Tabel 2.1 Ringkasan Penelitian Terdahulu</w:t>
      </w:r>
    </w:p>
    <w:tbl>
      <w:tblPr>
        <w:tblStyle w:val="LightGrid-Accent1"/>
        <w:tblW w:type="auto" w:w="0"/>
        <w:jc w:val="center"/>
        <w:tblLook w:firstColumn="1" w:firstRow="1" w:lastColumn="0" w:lastRow="0" w:noHBand="0" w:noVBand="1" w:val="04A0"/>
      </w:tblPr>
      <w:tblGrid>
        <w:gridCol w:w="2757"/>
        <w:gridCol w:w="2757"/>
        <w:gridCol w:w="2757"/>
      </w:tblGrid>
      <w:tr>
        <w:tc>
          <w:tcPr>
            <w:tcW w:type="dxa" w:w="2757"/>
            <w:shd w:val="clear" w:color="auto" w:fill="1F4E79"/>
            <w:vAlign w:val="center"/>
          </w:tcPr>
          <w:p>
            <w:pPr>
              <w:jc w:val="center"/>
            </w:pPr>
            <w:r/>
            <w:r>
              <w:rPr>
                <w:rFonts w:ascii="Times New Roman" w:hAnsi="Times New Roman"/>
                <w:b/>
                <w:color w:val="FFFFFF"/>
                <w:sz w:val="20"/>
              </w:rPr>
              <w:t>Peneliti</w:t>
            </w:r>
          </w:p>
        </w:tc>
        <w:tc>
          <w:tcPr>
            <w:tcW w:type="dxa" w:w="2757"/>
            <w:shd w:val="clear" w:color="auto" w:fill="1F4E79"/>
            <w:vAlign w:val="center"/>
          </w:tcPr>
          <w:p>
            <w:pPr>
              <w:jc w:val="center"/>
            </w:pPr>
            <w:r/>
            <w:r>
              <w:rPr>
                <w:rFonts w:ascii="Times New Roman" w:hAnsi="Times New Roman"/>
                <w:b/>
                <w:color w:val="FFFFFF"/>
                <w:sz w:val="20"/>
              </w:rPr>
              <w:t>Fokus Penelitian</w:t>
            </w:r>
          </w:p>
        </w:tc>
        <w:tc>
          <w:tcPr>
            <w:tcW w:type="dxa" w:w="2757"/>
            <w:shd w:val="clear" w:color="auto" w:fill="1F4E79"/>
            <w:vAlign w:val="center"/>
          </w:tcPr>
          <w:p>
            <w:pPr>
              <w:jc w:val="center"/>
            </w:pPr>
            <w:r/>
            <w:r>
              <w:rPr>
                <w:rFonts w:ascii="Times New Roman" w:hAnsi="Times New Roman"/>
                <w:b/>
                <w:color w:val="FFFFFF"/>
                <w:sz w:val="20"/>
              </w:rPr>
              <w:t>Temuan Utama</w:t>
            </w:r>
          </w:p>
        </w:tc>
      </w:tr>
      <w:tr>
        <w:tc>
          <w:tcPr>
            <w:tcW w:type="dxa" w:w="2757"/>
            <w:vAlign w:val="center"/>
          </w:tcPr>
          <w:p>
            <w:pPr>
              <w:jc w:val="left"/>
            </w:pPr>
            <w:r/>
            <w:r>
              <w:rPr>
                <w:rFonts w:ascii="Times New Roman" w:hAnsi="Times New Roman"/>
                <w:sz w:val="20"/>
              </w:rPr>
              <w:t>Tua &amp; Mahi (2022)</w:t>
            </w:r>
          </w:p>
        </w:tc>
        <w:tc>
          <w:tcPr>
            <w:tcW w:type="dxa" w:w="2757"/>
            <w:vAlign w:val="center"/>
          </w:tcPr>
          <w:p>
            <w:pPr>
              <w:jc w:val="center"/>
            </w:pPr>
            <w:r/>
            <w:r>
              <w:rPr>
                <w:rFonts w:ascii="Times New Roman" w:hAnsi="Times New Roman"/>
                <w:sz w:val="20"/>
              </w:rPr>
              <w:t>Pengaruh MCP terhadap investasi swasta di 507 kab/kota Indonesia, 2018-2020</w:t>
            </w:r>
          </w:p>
        </w:tc>
        <w:tc>
          <w:tcPr>
            <w:tcW w:type="dxa" w:w="2757"/>
            <w:vAlign w:val="center"/>
          </w:tcPr>
          <w:p>
            <w:pPr>
              <w:jc w:val="center"/>
            </w:pPr>
            <w:r/>
            <w:r>
              <w:rPr>
                <w:rFonts w:ascii="Times New Roman" w:hAnsi="Times New Roman"/>
                <w:sz w:val="20"/>
              </w:rPr>
              <w:t>MCP berpengaruh positif signifikan terhadap investasi swasta (β=0,040; p=0,015)</w:t>
            </w:r>
          </w:p>
        </w:tc>
      </w:tr>
      <w:tr>
        <w:tc>
          <w:tcPr>
            <w:tcW w:type="dxa" w:w="2757"/>
            <w:vAlign w:val="center"/>
          </w:tcPr>
          <w:p>
            <w:pPr>
              <w:jc w:val="left"/>
            </w:pPr>
            <w:r/>
            <w:r>
              <w:rPr>
                <w:rFonts w:ascii="Times New Roman" w:hAnsi="Times New Roman"/>
                <w:sz w:val="20"/>
              </w:rPr>
              <w:t>Almakkiyah (2026)</w:t>
            </w:r>
          </w:p>
        </w:tc>
        <w:tc>
          <w:tcPr>
            <w:tcW w:type="dxa" w:w="2757"/>
            <w:vAlign w:val="center"/>
          </w:tcPr>
          <w:p>
            <w:pPr>
              <w:jc w:val="center"/>
            </w:pPr>
            <w:r/>
            <w:r>
              <w:rPr>
                <w:rFonts w:ascii="Times New Roman" w:hAnsi="Times New Roman"/>
                <w:sz w:val="20"/>
              </w:rPr>
              <w:t>Pengaruh MCP terhadap investasi di 10 kab/kota NTB, 2019-2024 (panel REM)</w:t>
            </w:r>
          </w:p>
        </w:tc>
        <w:tc>
          <w:tcPr>
            <w:tcW w:type="dxa" w:w="2757"/>
            <w:vAlign w:val="center"/>
          </w:tcPr>
          <w:p>
            <w:pPr>
              <w:jc w:val="center"/>
            </w:pPr>
            <w:r/>
            <w:r>
              <w:rPr>
                <w:rFonts w:ascii="Times New Roman" w:hAnsi="Times New Roman"/>
                <w:sz w:val="20"/>
              </w:rPr>
              <w:t>Hubungan nonlinier (threshold consistency); AKOR² positif signifikan; AGLO, HCAP, PAK signifikan</w:t>
            </w:r>
          </w:p>
        </w:tc>
      </w:tr>
      <w:tr>
        <w:tc>
          <w:tcPr>
            <w:tcW w:type="dxa" w:w="2757"/>
            <w:vAlign w:val="center"/>
          </w:tcPr>
          <w:p>
            <w:pPr>
              <w:jc w:val="left"/>
            </w:pPr>
            <w:r/>
            <w:r>
              <w:rPr>
                <w:rFonts w:ascii="Times New Roman" w:hAnsi="Times New Roman"/>
                <w:sz w:val="20"/>
              </w:rPr>
              <w:t>Mauro (1995)</w:t>
            </w:r>
          </w:p>
        </w:tc>
        <w:tc>
          <w:tcPr>
            <w:tcW w:type="dxa" w:w="2757"/>
            <w:vAlign w:val="center"/>
          </w:tcPr>
          <w:p>
            <w:pPr>
              <w:jc w:val="center"/>
            </w:pPr>
            <w:r/>
            <w:r>
              <w:rPr>
                <w:rFonts w:ascii="Times New Roman" w:hAnsi="Times New Roman"/>
                <w:sz w:val="20"/>
              </w:rPr>
              <w:t>Pengaruh korupsi terhadap pertumbuhan ekonomi lintas negara</w:t>
            </w:r>
          </w:p>
        </w:tc>
        <w:tc>
          <w:tcPr>
            <w:tcW w:type="dxa" w:w="2757"/>
            <w:vAlign w:val="center"/>
          </w:tcPr>
          <w:p>
            <w:pPr>
              <w:jc w:val="center"/>
            </w:pPr>
            <w:r/>
            <w:r>
              <w:rPr>
                <w:rFonts w:ascii="Times New Roman" w:hAnsi="Times New Roman"/>
                <w:sz w:val="20"/>
              </w:rPr>
              <w:t>Korupsi tinggi menurunkan investasi melalui peningkatan biaya transaksi</w:t>
            </w:r>
          </w:p>
        </w:tc>
      </w:tr>
      <w:tr>
        <w:tc>
          <w:tcPr>
            <w:tcW w:type="dxa" w:w="2757"/>
            <w:vAlign w:val="center"/>
          </w:tcPr>
          <w:p>
            <w:pPr>
              <w:jc w:val="left"/>
            </w:pPr>
            <w:r/>
            <w:r>
              <w:rPr>
                <w:rFonts w:ascii="Times New Roman" w:hAnsi="Times New Roman"/>
                <w:sz w:val="20"/>
              </w:rPr>
              <w:t>Aysan dkk. (2007)</w:t>
            </w:r>
          </w:p>
        </w:tc>
        <w:tc>
          <w:tcPr>
            <w:tcW w:type="dxa" w:w="2757"/>
            <w:vAlign w:val="center"/>
          </w:tcPr>
          <w:p>
            <w:pPr>
              <w:jc w:val="center"/>
            </w:pPr>
            <w:r/>
            <w:r>
              <w:rPr>
                <w:rFonts w:ascii="Times New Roman" w:hAnsi="Times New Roman"/>
                <w:sz w:val="20"/>
              </w:rPr>
              <w:t>Tata kelola dan FDI di MENA region</w:t>
            </w:r>
          </w:p>
        </w:tc>
        <w:tc>
          <w:tcPr>
            <w:tcW w:type="dxa" w:w="2757"/>
            <w:vAlign w:val="center"/>
          </w:tcPr>
          <w:p>
            <w:pPr>
              <w:jc w:val="center"/>
            </w:pPr>
            <w:r/>
            <w:r>
              <w:rPr>
                <w:rFonts w:ascii="Times New Roman" w:hAnsi="Times New Roman"/>
                <w:sz w:val="20"/>
              </w:rPr>
              <w:t>Kualitas tata kelola berpengaruh positif terhadap arus FDI</w:t>
            </w:r>
          </w:p>
        </w:tc>
      </w:tr>
      <w:tr>
        <w:tc>
          <w:tcPr>
            <w:tcW w:type="dxa" w:w="2757"/>
            <w:vAlign w:val="center"/>
          </w:tcPr>
          <w:p>
            <w:pPr>
              <w:jc w:val="left"/>
            </w:pPr>
            <w:r/>
            <w:r>
              <w:rPr>
                <w:rFonts w:ascii="Times New Roman" w:hAnsi="Times New Roman"/>
                <w:sz w:val="20"/>
              </w:rPr>
              <w:t>Mengistu &amp; Adhikary (2011)</w:t>
            </w:r>
          </w:p>
        </w:tc>
        <w:tc>
          <w:tcPr>
            <w:tcW w:type="dxa" w:w="2757"/>
            <w:vAlign w:val="center"/>
          </w:tcPr>
          <w:p>
            <w:pPr>
              <w:jc w:val="center"/>
            </w:pPr>
            <w:r/>
            <w:r>
              <w:rPr>
                <w:rFonts w:ascii="Times New Roman" w:hAnsi="Times New Roman"/>
                <w:sz w:val="20"/>
              </w:rPr>
              <w:t>Tata kelola dan FDI di Asia, 1996-2007</w:t>
            </w:r>
          </w:p>
        </w:tc>
        <w:tc>
          <w:tcPr>
            <w:tcW w:type="dxa" w:w="2757"/>
            <w:vAlign w:val="center"/>
          </w:tcPr>
          <w:p>
            <w:pPr>
              <w:jc w:val="center"/>
            </w:pPr>
            <w:r/>
            <w:r>
              <w:rPr>
                <w:rFonts w:ascii="Times New Roman" w:hAnsi="Times New Roman"/>
                <w:sz w:val="20"/>
              </w:rPr>
              <w:t>Investasi elastis terhadap biaya transaksi institusional</w:t>
            </w:r>
          </w:p>
        </w:tc>
      </w:tr>
      <w:tr>
        <w:tc>
          <w:tcPr>
            <w:tcW w:type="dxa" w:w="2757"/>
            <w:vAlign w:val="center"/>
          </w:tcPr>
          <w:p>
            <w:pPr>
              <w:jc w:val="left"/>
            </w:pPr>
            <w:r/>
            <w:r>
              <w:rPr>
                <w:rFonts w:ascii="Times New Roman" w:hAnsi="Times New Roman"/>
                <w:sz w:val="20"/>
              </w:rPr>
              <w:t>Peres dkk. (2018)</w:t>
            </w:r>
          </w:p>
        </w:tc>
        <w:tc>
          <w:tcPr>
            <w:tcW w:type="dxa" w:w="2757"/>
            <w:vAlign w:val="center"/>
          </w:tcPr>
          <w:p>
            <w:pPr>
              <w:jc w:val="center"/>
            </w:pPr>
            <w:r/>
            <w:r>
              <w:rPr>
                <w:rFonts w:ascii="Times New Roman" w:hAnsi="Times New Roman"/>
                <w:sz w:val="20"/>
              </w:rPr>
              <w:t>Pencegahan korupsi dan FDI di developing countries</w:t>
            </w:r>
          </w:p>
        </w:tc>
        <w:tc>
          <w:tcPr>
            <w:tcW w:type="dxa" w:w="2757"/>
            <w:vAlign w:val="center"/>
          </w:tcPr>
          <w:p>
            <w:pPr>
              <w:jc w:val="center"/>
            </w:pPr>
            <w:r/>
            <w:r>
              <w:rPr>
                <w:rFonts w:ascii="Times New Roman" w:hAnsi="Times New Roman"/>
                <w:sz w:val="20"/>
              </w:rPr>
              <w:t>Hasil tidak signifikan karena lemahnya rule of law</w:t>
            </w:r>
          </w:p>
        </w:tc>
      </w:tr>
    </w:tbl>
    <w:p/>
    <w:p>
      <w:pPr>
        <w:spacing w:line="360" w:lineRule="auto" w:after="120"/>
        <w:jc w:val="both"/>
      </w:pPr>
      <w:r>
        <w:rPr>
          <w:rFonts w:ascii="Times New Roman" w:hAnsi="Times New Roman"/>
          <w:b w:val="0"/>
          <w:i w:val="0"/>
          <w:sz w:val="24"/>
        </w:rPr>
        <w:t>Berdasarkan telaah penelitian terdahulu, terdapat beberapa research gap yang menjadi celah penelitian ini:</w:t>
      </w:r>
    </w:p>
    <w:p>
      <w:pPr>
        <w:spacing w:line="360" w:lineRule="auto"/>
        <w:ind w:left="720" w:hanging="340"/>
        <w:jc w:val="both"/>
      </w:pPr>
      <w:r>
        <w:rPr>
          <w:rFonts w:ascii="Times New Roman" w:hAnsi="Times New Roman"/>
          <w:sz w:val="24"/>
        </w:rPr>
        <w:t>1.   Penelitian terdahulu menggunakan skor MCP secara agregat sehingga belum dapat mengidentifikasi sub-area MCP yang menjadi penggerak utama hubungan dengan investasi.</w:t>
      </w:r>
    </w:p>
    <w:p>
      <w:pPr>
        <w:spacing w:line="360" w:lineRule="auto"/>
        <w:ind w:left="720" w:hanging="340"/>
        <w:jc w:val="both"/>
      </w:pPr>
      <w:r>
        <w:rPr>
          <w:rFonts w:ascii="Times New Roman" w:hAnsi="Times New Roman"/>
          <w:sz w:val="24"/>
        </w:rPr>
        <w:t>2.   Belum ada penelitian yang menempatkan temuan BPK sebagai variabel moderasi dalam hubungan MCP-investasi (kerangka dual governance).</w:t>
      </w:r>
    </w:p>
    <w:p>
      <w:pPr>
        <w:spacing w:line="360" w:lineRule="auto"/>
        <w:ind w:left="720" w:hanging="340"/>
        <w:jc w:val="both"/>
      </w:pPr>
      <w:r>
        <w:rPr>
          <w:rFonts w:ascii="Times New Roman" w:hAnsi="Times New Roman"/>
          <w:sz w:val="24"/>
        </w:rPr>
        <w:t>3.   Studi pada level provinsi spesifik dengan karakter heterogen seperti Jawa Tengah masih terbatas; mayoritas penelitian beroperasi di level nasional atau provinsi dengan jumlah kab/kota kecil.</w:t>
      </w:r>
    </w:p>
    <w:p>
      <w:pPr>
        <w:spacing w:line="360" w:lineRule="auto"/>
        <w:ind w:left="720" w:hanging="340"/>
        <w:jc w:val="both"/>
      </w:pPr>
      <w:r>
        <w:rPr>
          <w:rFonts w:ascii="Times New Roman" w:hAnsi="Times New Roman"/>
          <w:sz w:val="24"/>
        </w:rPr>
        <w:t>4.   Belum ada penelitian yang mengakomodasi perubahan kerangka indikator MCP secara empiris (uji structural break).</w:t>
      </w:r>
    </w:p>
    <w:p>
      <w:pPr>
        <w:spacing w:line="360" w:lineRule="auto" w:before="240" w:after="240"/>
      </w:pPr>
      <w:r>
        <w:rPr>
          <w:rFonts w:ascii="Times New Roman" w:hAnsi="Times New Roman"/>
          <w:b/>
          <w:sz w:val="26"/>
        </w:rPr>
        <w:t>2.3 Kerangka Konseptual</w:t>
      </w:r>
    </w:p>
    <w:p>
      <w:pPr>
        <w:spacing w:line="360" w:lineRule="auto" w:after="120"/>
        <w:ind w:firstLine="720"/>
        <w:jc w:val="both"/>
      </w:pPr>
      <w:r>
        <w:rPr>
          <w:rFonts w:ascii="Times New Roman" w:hAnsi="Times New Roman"/>
          <w:b w:val="0"/>
          <w:i w:val="0"/>
          <w:sz w:val="24"/>
        </w:rPr>
        <w:t>Berdasarkan landasan teori dan penelitian terdahulu, kerangka konseptual penelitian ini dirumuskan sebagai berikut. Komponen MCP yang merepresentasikan kualitas tata kelola pencegahan korupsi internal pemerintah daerah diharapkan berpengaruh positif terhadap investasi PMDN. Dari tujuh sub-area MCP yang diuji, sub-area Perizinan/Pelayanan Publik diprediksi paling berpengaruh karena langsung berinteraksi dengan investor (sesuai teori biaya transaksi). Jumlah temuan BPK berperan sebagai variabel moderasi yang dapat memperkuat atau melemahkan pengaruh MCP terhadap investasi (kerangka dual governance). Variabel jumlah penduduk digunakan sebagai variabel kontrol untuk merepresentasikan ukuran pasar potensial daerah.</w:t>
      </w:r>
    </w:p>
    <w:p/>
    <w:p>
      <w:pPr>
        <w:jc w:val="left"/>
      </w:pPr>
      <w:r>
        <w:rPr>
          <w:rFonts w:ascii="Courier New" w:hAnsi="Courier New"/>
          <w:sz w:val="18"/>
        </w:rPr>
        <w:br/>
        <w:t xml:space="preserve">  ┌──────────────────────┐                ┌──────────────────────┐</w:t>
        <w:br/>
        <w:t xml:space="preserve">  │  KOMPONEN MCP (X)    │                │   TEMUAN BPK (M)     │</w:t>
        <w:br/>
        <w:t xml:space="preserve">  │  ─────────────────   │                │   ─────────────────  │</w:t>
        <w:br/>
        <w:t xml:space="preserve">  │  • MCP_PERANG        │   moderasi     │   • TOT_TEMUAN       │</w:t>
        <w:br/>
        <w:t xml:space="preserve">  │  • MCP_IZIN          │ ◄─────────────►│   • TEM_SPI          │</w:t>
        <w:br/>
        <w:t xml:space="preserve">  │  • MCP_MASN          │                │   • TEM_KEP          │</w:t>
        <w:br/>
        <w:t xml:space="preserve">  │  • MCP_APIP          │                └──────────┬───────────┘</w:t>
        <w:br/>
        <w:t xml:space="preserve">  │  • MCP_MASET         │                           │</w:t>
        <w:br/>
        <w:t xml:space="preserve">  │  • MCP_OPD           │                           │</w:t>
        <w:br/>
        <w:t xml:space="preserve">  │  • MCP_PBJ           │                           │</w:t>
        <w:br/>
        <w:t xml:space="preserve">  └──────────┬───────────┘                           │</w:t>
        <w:br/>
        <w:t xml:space="preserve">             │                                       │</w:t>
        <w:br/>
        <w:t xml:space="preserve">             │            pengaruh utama             │</w:t>
        <w:br/>
        <w:t xml:space="preserve">             └─────────────────┬─────────────────────┘</w:t>
        <w:br/>
        <w:t xml:space="preserve">                               │</w:t>
        <w:br/>
        <w:t xml:space="preserve">                               ▼</w:t>
        <w:br/>
        <w:t xml:space="preserve">                  ┌────────────────────────┐</w:t>
        <w:br/>
        <w:t xml:space="preserve">                  │  INVESTASI PMDN (Y)    │</w:t>
        <w:br/>
        <w:t xml:space="preserve">                  │  log(INVEST + 1)       │</w:t>
        <w:br/>
        <w:t xml:space="preserve">                  └────────────────────────┘</w:t>
        <w:br/>
        <w:t xml:space="preserve">                               ▲</w:t>
        <w:br/>
        <w:t xml:space="preserve">                               │</w:t>
        <w:br/>
        <w:t xml:space="preserve">                  ┌────────────┴───────────┐</w:t>
        <w:br/>
        <w:t xml:space="preserve">                  │   VARIABEL KONTROL     │</w:t>
        <w:br/>
        <w:t xml:space="preserve">                  │  ─────────────────     │</w:t>
        <w:br/>
        <w:t xml:space="preserve">                  │  log(PENDUDUK)         │</w:t>
        <w:br/>
        <w:t xml:space="preserve">                  └────────────────────────┘</w:t>
        <w:br/>
      </w:r>
    </w:p>
    <w:p>
      <w:pPr>
        <w:jc w:val="center"/>
      </w:pPr>
      <w:r>
        <w:rPr>
          <w:rFonts w:ascii="Times New Roman" w:hAnsi="Times New Roman"/>
          <w:b/>
          <w:i/>
          <w:sz w:val="22"/>
        </w:rPr>
        <w:t>Gambar 2.1 Kerangka Konseptual Penelitian</w:t>
      </w:r>
    </w:p>
    <w:p>
      <w:pPr>
        <w:spacing w:line="360" w:lineRule="auto" w:before="240" w:after="240"/>
      </w:pPr>
      <w:r>
        <w:rPr>
          <w:rFonts w:ascii="Times New Roman" w:hAnsi="Times New Roman"/>
          <w:b/>
          <w:sz w:val="26"/>
        </w:rPr>
        <w:t>2.4 Hipotesis Penelitian</w:t>
      </w:r>
    </w:p>
    <w:p>
      <w:pPr>
        <w:spacing w:line="360" w:lineRule="auto" w:after="120"/>
        <w:jc w:val="both"/>
      </w:pPr>
      <w:r>
        <w:rPr>
          <w:rFonts w:ascii="Times New Roman" w:hAnsi="Times New Roman"/>
          <w:b w:val="0"/>
          <w:i w:val="0"/>
          <w:sz w:val="24"/>
        </w:rPr>
        <w:t>Berdasarkan kerangka konseptual, hipotesis penelitian dirumuskan sebagai berikut:</w:t>
      </w:r>
    </w:p>
    <w:p>
      <w:pPr>
        <w:spacing w:line="360" w:lineRule="auto"/>
        <w:ind w:left="720" w:hanging="720"/>
        <w:jc w:val="both"/>
      </w:pPr>
      <w:r>
        <w:rPr>
          <w:rFonts w:ascii="Times New Roman" w:hAnsi="Times New Roman"/>
          <w:b/>
          <w:sz w:val="24"/>
        </w:rPr>
        <w:t xml:space="preserve">H1: </w:t>
      </w:r>
      <w:r>
        <w:rPr>
          <w:rFonts w:ascii="Times New Roman" w:hAnsi="Times New Roman"/>
          <w:sz w:val="24"/>
        </w:rPr>
        <w:t>Komponen MCP Perizinan/Pelayanan Publik berpengaruh positif signifikan terhadap investasi PMDN di kabupaten/kota Provinsi Jawa Tengah.</w:t>
      </w:r>
    </w:p>
    <w:p>
      <w:pPr>
        <w:spacing w:line="360" w:lineRule="auto"/>
        <w:ind w:left="720" w:hanging="720"/>
        <w:jc w:val="both"/>
      </w:pPr>
      <w:r>
        <w:rPr>
          <w:rFonts w:ascii="Times New Roman" w:hAnsi="Times New Roman"/>
          <w:b/>
          <w:sz w:val="24"/>
        </w:rPr>
        <w:t xml:space="preserve">H2: </w:t>
      </w:r>
      <w:r>
        <w:rPr>
          <w:rFonts w:ascii="Times New Roman" w:hAnsi="Times New Roman"/>
          <w:sz w:val="24"/>
        </w:rPr>
        <w:t>Komponen MCP Perencanaan &amp; Penganggaran, Pengadaan Barang &amp; Jasa, Pengawasan APIP, Manajemen ASN, Optimalisasi Pajak Daerah, dan Manajemen Aset berpengaruh positif terhadap investasi PMDN dengan magnitudo yang berbeda-beda.</w:t>
      </w:r>
    </w:p>
    <w:p>
      <w:pPr>
        <w:spacing w:line="360" w:lineRule="auto"/>
        <w:ind w:left="720" w:hanging="720"/>
        <w:jc w:val="both"/>
      </w:pPr>
      <w:r>
        <w:rPr>
          <w:rFonts w:ascii="Times New Roman" w:hAnsi="Times New Roman"/>
          <w:b/>
          <w:sz w:val="24"/>
        </w:rPr>
        <w:t xml:space="preserve">H3: </w:t>
      </w:r>
      <w:r>
        <w:rPr>
          <w:rFonts w:ascii="Times New Roman" w:hAnsi="Times New Roman"/>
          <w:sz w:val="24"/>
        </w:rPr>
        <w:t>Jumlah temuan BPK memoderasi hubungan antara komponen MCP dan investasi PMDN.</w:t>
      </w:r>
    </w:p>
    <w:p>
      <w:pPr>
        <w:spacing w:line="360" w:lineRule="auto"/>
        <w:ind w:left="720" w:hanging="720"/>
        <w:jc w:val="both"/>
      </w:pPr>
      <w:r>
        <w:rPr>
          <w:rFonts w:ascii="Times New Roman" w:hAnsi="Times New Roman"/>
          <w:b/>
          <w:sz w:val="24"/>
        </w:rPr>
        <w:t xml:space="preserve">H4: </w:t>
      </w:r>
      <w:r>
        <w:rPr>
          <w:rFonts w:ascii="Times New Roman" w:hAnsi="Times New Roman"/>
          <w:sz w:val="24"/>
        </w:rPr>
        <w:t>Pengaruh komponen MCP terhadap investasi PMDN berbeda secara signifikan antara periode dengan kerangka indikator "Perizinan" (2023) dan "Pelayanan Publik" (2024-2025).</w:t>
      </w:r>
    </w:p>
    <w:p>
      <w:r>
        <w:br w:type="page"/>
      </w:r>
    </w:p>
    <w:p>
      <w:pPr>
        <w:spacing w:line="360" w:lineRule="auto" w:before="240" w:after="240"/>
        <w:jc w:val="center"/>
      </w:pPr>
      <w:r>
        <w:rPr>
          <w:rFonts w:ascii="Times New Roman" w:hAnsi="Times New Roman"/>
          <w:b/>
          <w:sz w:val="28"/>
        </w:rPr>
        <w:t>BAB III</w:t>
      </w:r>
    </w:p>
    <w:p>
      <w:pPr>
        <w:spacing w:line="360" w:lineRule="auto" w:before="240" w:after="240"/>
        <w:jc w:val="center"/>
      </w:pPr>
      <w:r>
        <w:rPr>
          <w:rFonts w:ascii="Times New Roman" w:hAnsi="Times New Roman"/>
          <w:b/>
          <w:sz w:val="28"/>
        </w:rPr>
        <w:t>METODE PENELITIAN</w:t>
      </w:r>
    </w:p>
    <w:p>
      <w:pPr>
        <w:spacing w:line="360" w:lineRule="auto" w:before="240" w:after="240"/>
      </w:pPr>
      <w:r>
        <w:rPr>
          <w:rFonts w:ascii="Times New Roman" w:hAnsi="Times New Roman"/>
          <w:b/>
          <w:sz w:val="26"/>
        </w:rPr>
        <w:t>3.1 Jenis dan Pendekatan Penelitian</w:t>
      </w:r>
    </w:p>
    <w:p>
      <w:pPr>
        <w:spacing w:line="360" w:lineRule="auto" w:after="120"/>
        <w:ind w:firstLine="720"/>
        <w:jc w:val="both"/>
      </w:pPr>
      <w:r>
        <w:rPr>
          <w:rFonts w:ascii="Times New Roman" w:hAnsi="Times New Roman"/>
          <w:b w:val="0"/>
          <w:i w:val="0"/>
          <w:sz w:val="24"/>
        </w:rPr>
        <w:t>Penelitian ini menggunakan pendekatan kuantitatif dengan metode regresi data panel. Pendekatan kuantitatif dipilih karena penelitian ini berfokus pada pengujian hubungan antar variabel secara empiris menggunakan data numerik dan analisis statistik. Metode regresi data panel digunakan karena data penelitian mencakup gabungan dimensi cross-section (35 kabupaten/kota) dan time series (3 tahun, 2023-2025), sehingga memungkinkan analisis variasi antar daerah dan antar waktu secara simultan.</w:t>
      </w:r>
    </w:p>
    <w:p>
      <w:pPr>
        <w:spacing w:line="360" w:lineRule="auto" w:before="240" w:after="240"/>
      </w:pPr>
      <w:r>
        <w:rPr>
          <w:rFonts w:ascii="Times New Roman" w:hAnsi="Times New Roman"/>
          <w:b/>
          <w:sz w:val="26"/>
        </w:rPr>
        <w:t>3.2 Lokasi dan Waktu Penelitian</w:t>
      </w:r>
    </w:p>
    <w:p>
      <w:pPr>
        <w:spacing w:line="360" w:lineRule="auto" w:after="120"/>
        <w:ind w:firstLine="720"/>
        <w:jc w:val="both"/>
      </w:pPr>
      <w:r>
        <w:rPr>
          <w:rFonts w:ascii="Times New Roman" w:hAnsi="Times New Roman"/>
          <w:b w:val="0"/>
          <w:i w:val="0"/>
          <w:sz w:val="24"/>
        </w:rPr>
        <w:t>Penelitian dilaksanakan pada seluruh kabupaten/kota di Provinsi Jawa Tengah yang berjumlah 35 unit, terdiri atas 29 kabupaten dan 6 kota (Semarang, Surakarta, Salatiga, Pekalongan, Tegal, Magelang). Periode pengamatan adalah tahun 2023-2025 (tiga tahun) dengan pertimbangan bahwa pada periode tersebut KPK menggunakan kerangka indikator MCP berbasis risiko yang relatif konsisten secara konseptual, meskipun terdapat revisi label sub-area pada 2024.</w:t>
      </w:r>
    </w:p>
    <w:p>
      <w:pPr>
        <w:spacing w:line="360" w:lineRule="auto" w:before="240" w:after="240"/>
      </w:pPr>
      <w:r>
        <w:rPr>
          <w:rFonts w:ascii="Times New Roman" w:hAnsi="Times New Roman"/>
          <w:b/>
          <w:sz w:val="26"/>
        </w:rPr>
        <w:t>3.3 Populasi dan Sampel</w:t>
      </w:r>
    </w:p>
    <w:p>
      <w:pPr>
        <w:spacing w:line="360" w:lineRule="auto" w:after="120"/>
        <w:ind w:firstLine="720"/>
        <w:jc w:val="both"/>
      </w:pPr>
      <w:r>
        <w:rPr>
          <w:rFonts w:ascii="Times New Roman" w:hAnsi="Times New Roman"/>
          <w:b w:val="0"/>
          <w:i w:val="0"/>
          <w:sz w:val="24"/>
        </w:rPr>
        <w:t>Populasi penelitian adalah seluruh kabupaten/kota di Provinsi Jawa Tengah. Penelitian ini menggunakan teknik sensus (sampel jenuh) dengan mengambil seluruh anggota populasi sebagai sampel, yaitu 35 kabupaten/kota. Dengan periode pengamatan 3 tahun, total observasi yang digunakan adalah 105 (35 × 3) dengan struktur balanced panel.</w:t>
      </w:r>
    </w:p>
    <w:p>
      <w:pPr>
        <w:spacing w:line="360" w:lineRule="auto" w:before="240" w:after="240"/>
      </w:pPr>
      <w:r>
        <w:rPr>
          <w:rFonts w:ascii="Times New Roman" w:hAnsi="Times New Roman"/>
          <w:b/>
          <w:sz w:val="26"/>
        </w:rPr>
        <w:t>3.4 Jenis dan Sumber Data</w:t>
      </w:r>
    </w:p>
    <w:p>
      <w:pPr>
        <w:spacing w:line="360" w:lineRule="auto" w:after="120"/>
        <w:ind w:firstLine="720"/>
        <w:jc w:val="both"/>
      </w:pPr>
      <w:r>
        <w:rPr>
          <w:rFonts w:ascii="Times New Roman" w:hAnsi="Times New Roman"/>
          <w:b w:val="0"/>
          <w:i w:val="0"/>
          <w:sz w:val="24"/>
        </w:rPr>
        <w:t>Jenis data yang digunakan adalah data sekunder yang diperoleh dari publikasi resmi lembaga-lembaga terkait. Pengumpulan data dilakukan melalui studi dokumentasi dengan menghimpun, mencatat, dan mengkaji dokumen serta publikasi resmi yang relevan. Sumber data dirinci pada Tabel 3.1.</w:t>
      </w:r>
    </w:p>
    <w:p/>
    <w:p>
      <w:pPr>
        <w:jc w:val="center"/>
      </w:pPr>
      <w:r>
        <w:rPr>
          <w:rFonts w:ascii="Times New Roman" w:hAnsi="Times New Roman"/>
          <w:b/>
          <w:i/>
          <w:sz w:val="22"/>
        </w:rPr>
        <w:t>Tabel 3.1 Sumber Data Penelitian</w:t>
      </w:r>
    </w:p>
    <w:tbl>
      <w:tblPr>
        <w:tblStyle w:val="LightGrid-Accent1"/>
        <w:tblW w:type="auto" w:w="0"/>
        <w:jc w:val="center"/>
        <w:tblLook w:firstColumn="1" w:firstRow="1" w:lastColumn="0" w:lastRow="0" w:noHBand="0" w:noVBand="1" w:val="04A0"/>
      </w:tblPr>
      <w:tblGrid>
        <w:gridCol w:w="2757"/>
        <w:gridCol w:w="2757"/>
        <w:gridCol w:w="2757"/>
      </w:tblGrid>
      <w:tr>
        <w:tc>
          <w:tcPr>
            <w:tcW w:type="dxa" w:w="2757"/>
            <w:shd w:val="clear" w:color="auto" w:fill="1F4E79"/>
            <w:vAlign w:val="center"/>
          </w:tcPr>
          <w:p>
            <w:pPr>
              <w:jc w:val="center"/>
            </w:pPr>
            <w:r/>
            <w:r>
              <w:rPr>
                <w:rFonts w:ascii="Times New Roman" w:hAnsi="Times New Roman"/>
                <w:b/>
                <w:color w:val="FFFFFF"/>
                <w:sz w:val="20"/>
              </w:rPr>
              <w:t>No</w:t>
            </w:r>
          </w:p>
        </w:tc>
        <w:tc>
          <w:tcPr>
            <w:tcW w:type="dxa" w:w="2757"/>
            <w:shd w:val="clear" w:color="auto" w:fill="1F4E79"/>
            <w:vAlign w:val="center"/>
          </w:tcPr>
          <w:p>
            <w:pPr>
              <w:jc w:val="center"/>
            </w:pPr>
            <w:r/>
            <w:r>
              <w:rPr>
                <w:rFonts w:ascii="Times New Roman" w:hAnsi="Times New Roman"/>
                <w:b/>
                <w:color w:val="FFFFFF"/>
                <w:sz w:val="20"/>
              </w:rPr>
              <w:t>Variabel</w:t>
            </w:r>
          </w:p>
        </w:tc>
        <w:tc>
          <w:tcPr>
            <w:tcW w:type="dxa" w:w="2757"/>
            <w:shd w:val="clear" w:color="auto" w:fill="1F4E79"/>
            <w:vAlign w:val="center"/>
          </w:tcPr>
          <w:p>
            <w:pPr>
              <w:jc w:val="center"/>
            </w:pPr>
            <w:r/>
            <w:r>
              <w:rPr>
                <w:rFonts w:ascii="Times New Roman" w:hAnsi="Times New Roman"/>
                <w:b/>
                <w:color w:val="FFFFFF"/>
                <w:sz w:val="20"/>
              </w:rPr>
              <w:t>Sumber Data</w:t>
            </w:r>
          </w:p>
        </w:tc>
      </w:tr>
      <w:tr>
        <w:tc>
          <w:tcPr>
            <w:tcW w:type="dxa" w:w="2757"/>
            <w:vAlign w:val="center"/>
          </w:tcPr>
          <w:p>
            <w:pPr>
              <w:jc w:val="left"/>
            </w:pPr>
            <w:r/>
            <w:r>
              <w:rPr>
                <w:rFonts w:ascii="Times New Roman" w:hAnsi="Times New Roman"/>
                <w:sz w:val="20"/>
              </w:rPr>
              <w:t>1</w:t>
            </w:r>
          </w:p>
        </w:tc>
        <w:tc>
          <w:tcPr>
            <w:tcW w:type="dxa" w:w="2757"/>
            <w:vAlign w:val="center"/>
          </w:tcPr>
          <w:p>
            <w:pPr>
              <w:jc w:val="center"/>
            </w:pPr>
            <w:r/>
            <w:r>
              <w:rPr>
                <w:rFonts w:ascii="Times New Roman" w:hAnsi="Times New Roman"/>
                <w:sz w:val="20"/>
              </w:rPr>
              <w:t>Nilai Realisasi Investasi PMDN</w:t>
            </w:r>
          </w:p>
        </w:tc>
        <w:tc>
          <w:tcPr>
            <w:tcW w:type="dxa" w:w="2757"/>
            <w:vAlign w:val="center"/>
          </w:tcPr>
          <w:p>
            <w:pPr>
              <w:jc w:val="center"/>
            </w:pPr>
            <w:r/>
            <w:r>
              <w:rPr>
                <w:rFonts w:ascii="Times New Roman" w:hAnsi="Times New Roman"/>
                <w:sz w:val="20"/>
              </w:rPr>
              <w:t>BPS Jawa Tengah / DPMPTSP Provinsi Jawa Tengah</w:t>
            </w:r>
          </w:p>
        </w:tc>
      </w:tr>
      <w:tr>
        <w:tc>
          <w:tcPr>
            <w:tcW w:type="dxa" w:w="2757"/>
            <w:vAlign w:val="center"/>
          </w:tcPr>
          <w:p>
            <w:pPr>
              <w:jc w:val="left"/>
            </w:pPr>
            <w:r/>
            <w:r>
              <w:rPr>
                <w:rFonts w:ascii="Times New Roman" w:hAnsi="Times New Roman"/>
                <w:sz w:val="20"/>
              </w:rPr>
              <w:t>2</w:t>
            </w:r>
          </w:p>
        </w:tc>
        <w:tc>
          <w:tcPr>
            <w:tcW w:type="dxa" w:w="2757"/>
            <w:vAlign w:val="center"/>
          </w:tcPr>
          <w:p>
            <w:pPr>
              <w:jc w:val="center"/>
            </w:pPr>
            <w:r/>
            <w:r>
              <w:rPr>
                <w:rFonts w:ascii="Times New Roman" w:hAnsi="Times New Roman"/>
                <w:sz w:val="20"/>
              </w:rPr>
              <w:t>Skor MCP per sub-area</w:t>
            </w:r>
          </w:p>
        </w:tc>
        <w:tc>
          <w:tcPr>
            <w:tcW w:type="dxa" w:w="2757"/>
            <w:vAlign w:val="center"/>
          </w:tcPr>
          <w:p>
            <w:pPr>
              <w:jc w:val="center"/>
            </w:pPr>
            <w:r/>
            <w:r>
              <w:rPr>
                <w:rFonts w:ascii="Times New Roman" w:hAnsi="Times New Roman"/>
                <w:sz w:val="20"/>
              </w:rPr>
              <w:t>Komisi Pemberantasan Korupsi (KPK) - Dashboard MCP</w:t>
            </w:r>
          </w:p>
        </w:tc>
      </w:tr>
      <w:tr>
        <w:tc>
          <w:tcPr>
            <w:tcW w:type="dxa" w:w="2757"/>
            <w:vAlign w:val="center"/>
          </w:tcPr>
          <w:p>
            <w:pPr>
              <w:jc w:val="left"/>
            </w:pPr>
            <w:r/>
            <w:r>
              <w:rPr>
                <w:rFonts w:ascii="Times New Roman" w:hAnsi="Times New Roman"/>
                <w:sz w:val="20"/>
              </w:rPr>
              <w:t>3</w:t>
            </w:r>
          </w:p>
        </w:tc>
        <w:tc>
          <w:tcPr>
            <w:tcW w:type="dxa" w:w="2757"/>
            <w:vAlign w:val="center"/>
          </w:tcPr>
          <w:p>
            <w:pPr>
              <w:jc w:val="center"/>
            </w:pPr>
            <w:r/>
            <w:r>
              <w:rPr>
                <w:rFonts w:ascii="Times New Roman" w:hAnsi="Times New Roman"/>
                <w:sz w:val="20"/>
              </w:rPr>
              <w:t>Jumlah Temuan BPK (Total, SPI, Kepatuhan)</w:t>
            </w:r>
          </w:p>
        </w:tc>
        <w:tc>
          <w:tcPr>
            <w:tcW w:type="dxa" w:w="2757"/>
            <w:vAlign w:val="center"/>
          </w:tcPr>
          <w:p>
            <w:pPr>
              <w:jc w:val="center"/>
            </w:pPr>
            <w:r/>
            <w:r>
              <w:rPr>
                <w:rFonts w:ascii="Times New Roman" w:hAnsi="Times New Roman"/>
                <w:sz w:val="20"/>
              </w:rPr>
              <w:t>Badan Pemeriksa Keuangan (BPK) - IHPS</w:t>
            </w:r>
          </w:p>
        </w:tc>
      </w:tr>
      <w:tr>
        <w:tc>
          <w:tcPr>
            <w:tcW w:type="dxa" w:w="2757"/>
            <w:vAlign w:val="center"/>
          </w:tcPr>
          <w:p>
            <w:pPr>
              <w:jc w:val="left"/>
            </w:pPr>
            <w:r/>
            <w:r>
              <w:rPr>
                <w:rFonts w:ascii="Times New Roman" w:hAnsi="Times New Roman"/>
                <w:sz w:val="20"/>
              </w:rPr>
              <w:t>4</w:t>
            </w:r>
          </w:p>
        </w:tc>
        <w:tc>
          <w:tcPr>
            <w:tcW w:type="dxa" w:w="2757"/>
            <w:vAlign w:val="center"/>
          </w:tcPr>
          <w:p>
            <w:pPr>
              <w:jc w:val="center"/>
            </w:pPr>
            <w:r/>
            <w:r>
              <w:rPr>
                <w:rFonts w:ascii="Times New Roman" w:hAnsi="Times New Roman"/>
                <w:sz w:val="20"/>
              </w:rPr>
              <w:t>Jumlah Penduduk</w:t>
            </w:r>
          </w:p>
        </w:tc>
        <w:tc>
          <w:tcPr>
            <w:tcW w:type="dxa" w:w="2757"/>
            <w:vAlign w:val="center"/>
          </w:tcPr>
          <w:p>
            <w:pPr>
              <w:jc w:val="center"/>
            </w:pPr>
            <w:r/>
            <w:r>
              <w:rPr>
                <w:rFonts w:ascii="Times New Roman" w:hAnsi="Times New Roman"/>
                <w:sz w:val="20"/>
              </w:rPr>
              <w:t>Badan Pusat Statistik (BPS) Jawa Tengah</w:t>
            </w:r>
          </w:p>
        </w:tc>
      </w:tr>
      <w:tr>
        <w:tc>
          <w:tcPr>
            <w:tcW w:type="dxa" w:w="2757"/>
            <w:vAlign w:val="center"/>
          </w:tcPr>
          <w:p>
            <w:pPr>
              <w:jc w:val="left"/>
            </w:pPr>
            <w:r/>
            <w:r>
              <w:rPr>
                <w:rFonts w:ascii="Times New Roman" w:hAnsi="Times New Roman"/>
                <w:sz w:val="20"/>
              </w:rPr>
              <w:t>5</w:t>
            </w:r>
          </w:p>
        </w:tc>
        <w:tc>
          <w:tcPr>
            <w:tcW w:type="dxa" w:w="2757"/>
            <w:vAlign w:val="center"/>
          </w:tcPr>
          <w:p>
            <w:pPr>
              <w:jc w:val="center"/>
            </w:pPr>
            <w:r/>
            <w:r>
              <w:rPr>
                <w:rFonts w:ascii="Times New Roman" w:hAnsi="Times New Roman"/>
                <w:sz w:val="20"/>
              </w:rPr>
              <w:t>PDRB ADHK</w:t>
            </w:r>
          </w:p>
        </w:tc>
        <w:tc>
          <w:tcPr>
            <w:tcW w:type="dxa" w:w="2757"/>
            <w:vAlign w:val="center"/>
          </w:tcPr>
          <w:p>
            <w:pPr>
              <w:jc w:val="center"/>
            </w:pPr>
            <w:r/>
            <w:r>
              <w:rPr>
                <w:rFonts w:ascii="Times New Roman" w:hAnsi="Times New Roman"/>
                <w:sz w:val="20"/>
              </w:rPr>
              <w:t>Badan Pusat Statistik (BPS) Jawa Tengah</w:t>
            </w:r>
          </w:p>
        </w:tc>
      </w:tr>
    </w:tbl>
    <w:p>
      <w:pPr>
        <w:spacing w:line="360" w:lineRule="auto" w:before="240" w:after="240"/>
      </w:pPr>
      <w:r>
        <w:rPr>
          <w:rFonts w:ascii="Times New Roman" w:hAnsi="Times New Roman"/>
          <w:b/>
          <w:sz w:val="26"/>
        </w:rPr>
        <w:t>3.5 Definisi Operasional Variabel</w:t>
      </w:r>
    </w:p>
    <w:p>
      <w:pPr>
        <w:spacing w:line="360" w:lineRule="auto" w:after="120"/>
        <w:jc w:val="both"/>
      </w:pPr>
      <w:r>
        <w:rPr>
          <w:rFonts w:ascii="Times New Roman" w:hAnsi="Times New Roman"/>
          <w:b w:val="0"/>
          <w:i w:val="0"/>
          <w:sz w:val="24"/>
        </w:rPr>
        <w:t>Variabel-variabel yang digunakan dalam penelitian ini didefinisikan secara operasional sebagaimana disajikan dalam Tabel 3.2.</w:t>
      </w:r>
    </w:p>
    <w:p/>
    <w:p>
      <w:pPr>
        <w:jc w:val="center"/>
      </w:pPr>
      <w:r>
        <w:rPr>
          <w:rFonts w:ascii="Times New Roman" w:hAnsi="Times New Roman"/>
          <w:b/>
          <w:i/>
          <w:sz w:val="22"/>
        </w:rPr>
        <w:t>Tabel 3.2 Definisi Operasional Variabel</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Simbol</w:t>
            </w:r>
          </w:p>
        </w:tc>
        <w:tc>
          <w:tcPr>
            <w:tcW w:type="dxa" w:w="1654"/>
            <w:shd w:val="clear" w:color="auto" w:fill="1F4E79"/>
            <w:vAlign w:val="center"/>
          </w:tcPr>
          <w:p>
            <w:pPr>
              <w:jc w:val="center"/>
            </w:pPr>
            <w:r/>
            <w:r>
              <w:rPr>
                <w:rFonts w:ascii="Times New Roman" w:hAnsi="Times New Roman"/>
                <w:b/>
                <w:color w:val="FFFFFF"/>
                <w:sz w:val="20"/>
              </w:rPr>
              <w:t>Definisi Operasional</w:t>
            </w:r>
          </w:p>
        </w:tc>
        <w:tc>
          <w:tcPr>
            <w:tcW w:type="dxa" w:w="1654"/>
            <w:shd w:val="clear" w:color="auto" w:fill="1F4E79"/>
            <w:vAlign w:val="center"/>
          </w:tcPr>
          <w:p>
            <w:pPr>
              <w:jc w:val="center"/>
            </w:pPr>
            <w:r/>
            <w:r>
              <w:rPr>
                <w:rFonts w:ascii="Times New Roman" w:hAnsi="Times New Roman"/>
                <w:b/>
                <w:color w:val="FFFFFF"/>
                <w:sz w:val="20"/>
              </w:rPr>
              <w:t>Indikator/Rumus</w:t>
            </w:r>
          </w:p>
        </w:tc>
        <w:tc>
          <w:tcPr>
            <w:tcW w:type="dxa" w:w="1654"/>
            <w:shd w:val="clear" w:color="auto" w:fill="1F4E79"/>
            <w:vAlign w:val="center"/>
          </w:tcPr>
          <w:p>
            <w:pPr>
              <w:jc w:val="center"/>
            </w:pPr>
            <w:r/>
            <w:r>
              <w:rPr>
                <w:rFonts w:ascii="Times New Roman" w:hAnsi="Times New Roman"/>
                <w:b/>
                <w:color w:val="FFFFFF"/>
                <w:sz w:val="20"/>
              </w:rPr>
              <w:t>Satuan</w:t>
            </w:r>
          </w:p>
        </w:tc>
      </w:tr>
      <w:tr>
        <w:tc>
          <w:tcPr>
            <w:tcW w:type="dxa" w:w="1654"/>
            <w:vAlign w:val="center"/>
          </w:tcPr>
          <w:p>
            <w:pPr>
              <w:jc w:val="left"/>
            </w:pPr>
            <w:r/>
            <w:r>
              <w:rPr>
                <w:rFonts w:ascii="Times New Roman" w:hAnsi="Times New Roman"/>
                <w:sz w:val="20"/>
              </w:rPr>
              <w:t>Investasi PMDN</w:t>
            </w:r>
          </w:p>
        </w:tc>
        <w:tc>
          <w:tcPr>
            <w:tcW w:type="dxa" w:w="1654"/>
            <w:vAlign w:val="center"/>
          </w:tcPr>
          <w:p>
            <w:pPr>
              <w:jc w:val="center"/>
            </w:pPr>
            <w:r/>
            <w:r>
              <w:rPr>
                <w:rFonts w:ascii="Times New Roman" w:hAnsi="Times New Roman"/>
                <w:sz w:val="20"/>
              </w:rPr>
              <w:t>INVEST</w:t>
            </w:r>
          </w:p>
        </w:tc>
        <w:tc>
          <w:tcPr>
            <w:tcW w:type="dxa" w:w="1654"/>
            <w:vAlign w:val="center"/>
          </w:tcPr>
          <w:p>
            <w:pPr>
              <w:jc w:val="center"/>
            </w:pPr>
            <w:r/>
            <w:r>
              <w:rPr>
                <w:rFonts w:ascii="Times New Roman" w:hAnsi="Times New Roman"/>
                <w:sz w:val="20"/>
              </w:rPr>
              <w:t>Nilai realisasi Penanaman Modal Dalam Negeri kab/kota per tahun</w:t>
            </w:r>
          </w:p>
        </w:tc>
        <w:tc>
          <w:tcPr>
            <w:tcW w:type="dxa" w:w="1654"/>
            <w:vAlign w:val="center"/>
          </w:tcPr>
          <w:p>
            <w:pPr>
              <w:jc w:val="center"/>
            </w:pPr>
            <w:r/>
            <w:r>
              <w:rPr>
                <w:rFonts w:ascii="Times New Roman" w:hAnsi="Times New Roman"/>
                <w:sz w:val="20"/>
              </w:rPr>
              <w:t>log(INVEST + 1)</w:t>
            </w:r>
          </w:p>
        </w:tc>
        <w:tc>
          <w:tcPr>
            <w:tcW w:type="dxa" w:w="1654"/>
            <w:vAlign w:val="center"/>
          </w:tcPr>
          <w:p>
            <w:pPr>
              <w:jc w:val="center"/>
            </w:pPr>
            <w:r/>
            <w:r>
              <w:rPr>
                <w:rFonts w:ascii="Times New Roman" w:hAnsi="Times New Roman"/>
                <w:sz w:val="20"/>
              </w:rPr>
              <w:t>log Rupiah</w:t>
            </w:r>
          </w:p>
        </w:tc>
      </w:tr>
      <w:tr>
        <w:tc>
          <w:tcPr>
            <w:tcW w:type="dxa" w:w="1654"/>
            <w:vAlign w:val="center"/>
          </w:tcPr>
          <w:p>
            <w:pPr>
              <w:jc w:val="left"/>
            </w:pPr>
            <w:r/>
            <w:r>
              <w:rPr>
                <w:rFonts w:ascii="Times New Roman" w:hAnsi="Times New Roman"/>
                <w:sz w:val="20"/>
              </w:rPr>
              <w:t>MCP Perencanaan-Penganggaran</w:t>
            </w:r>
          </w:p>
        </w:tc>
        <w:tc>
          <w:tcPr>
            <w:tcW w:type="dxa" w:w="1654"/>
            <w:vAlign w:val="center"/>
          </w:tcPr>
          <w:p>
            <w:pPr>
              <w:jc w:val="center"/>
            </w:pPr>
            <w:r/>
            <w:r>
              <w:rPr>
                <w:rFonts w:ascii="Times New Roman" w:hAnsi="Times New Roman"/>
                <w:sz w:val="20"/>
              </w:rPr>
              <w:t>MCP_PERANG</w:t>
            </w:r>
          </w:p>
        </w:tc>
        <w:tc>
          <w:tcPr>
            <w:tcW w:type="dxa" w:w="1654"/>
            <w:vAlign w:val="center"/>
          </w:tcPr>
          <w:p>
            <w:pPr>
              <w:jc w:val="center"/>
            </w:pPr>
            <w:r/>
            <w:r>
              <w:rPr>
                <w:rFonts w:ascii="Times New Roman" w:hAnsi="Times New Roman"/>
                <w:sz w:val="20"/>
              </w:rPr>
              <w:t>Skor pencegahan korupsi sub-area Perencanaan &amp; Penganggaran APBD</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Perizinan/Pelayanan Publik</w:t>
            </w:r>
          </w:p>
        </w:tc>
        <w:tc>
          <w:tcPr>
            <w:tcW w:type="dxa" w:w="1654"/>
            <w:vAlign w:val="center"/>
          </w:tcPr>
          <w:p>
            <w:pPr>
              <w:jc w:val="center"/>
            </w:pPr>
            <w:r/>
            <w:r>
              <w:rPr>
                <w:rFonts w:ascii="Times New Roman" w:hAnsi="Times New Roman"/>
                <w:sz w:val="20"/>
              </w:rPr>
              <w:t>MCP_IZIN</w:t>
            </w:r>
          </w:p>
        </w:tc>
        <w:tc>
          <w:tcPr>
            <w:tcW w:type="dxa" w:w="1654"/>
            <w:vAlign w:val="center"/>
          </w:tcPr>
          <w:p>
            <w:pPr>
              <w:jc w:val="center"/>
            </w:pPr>
            <w:r/>
            <w:r>
              <w:rPr>
                <w:rFonts w:ascii="Times New Roman" w:hAnsi="Times New Roman"/>
                <w:sz w:val="20"/>
              </w:rPr>
              <w:t>Skor pencegahan korupsi sub-area pelayanan perizinan/publik</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Pengadaan</w:t>
            </w:r>
          </w:p>
        </w:tc>
        <w:tc>
          <w:tcPr>
            <w:tcW w:type="dxa" w:w="1654"/>
            <w:vAlign w:val="center"/>
          </w:tcPr>
          <w:p>
            <w:pPr>
              <w:jc w:val="center"/>
            </w:pPr>
            <w:r/>
            <w:r>
              <w:rPr>
                <w:rFonts w:ascii="Times New Roman" w:hAnsi="Times New Roman"/>
                <w:sz w:val="20"/>
              </w:rPr>
              <w:t>MCP_PBJ</w:t>
            </w:r>
          </w:p>
        </w:tc>
        <w:tc>
          <w:tcPr>
            <w:tcW w:type="dxa" w:w="1654"/>
            <w:vAlign w:val="center"/>
          </w:tcPr>
          <w:p>
            <w:pPr>
              <w:jc w:val="center"/>
            </w:pPr>
            <w:r/>
            <w:r>
              <w:rPr>
                <w:rFonts w:ascii="Times New Roman" w:hAnsi="Times New Roman"/>
                <w:sz w:val="20"/>
              </w:rPr>
              <w:t>Skor pencegahan korupsi sub-area Pengadaan Barang &amp; Jasa</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APIP</w:t>
            </w:r>
          </w:p>
        </w:tc>
        <w:tc>
          <w:tcPr>
            <w:tcW w:type="dxa" w:w="1654"/>
            <w:vAlign w:val="center"/>
          </w:tcPr>
          <w:p>
            <w:pPr>
              <w:jc w:val="center"/>
            </w:pPr>
            <w:r/>
            <w:r>
              <w:rPr>
                <w:rFonts w:ascii="Times New Roman" w:hAnsi="Times New Roman"/>
                <w:sz w:val="20"/>
              </w:rPr>
              <w:t>MCP_APIP</w:t>
            </w:r>
          </w:p>
        </w:tc>
        <w:tc>
          <w:tcPr>
            <w:tcW w:type="dxa" w:w="1654"/>
            <w:vAlign w:val="center"/>
          </w:tcPr>
          <w:p>
            <w:pPr>
              <w:jc w:val="center"/>
            </w:pPr>
            <w:r/>
            <w:r>
              <w:rPr>
                <w:rFonts w:ascii="Times New Roman" w:hAnsi="Times New Roman"/>
                <w:sz w:val="20"/>
              </w:rPr>
              <w:t>Skor pencegahan korupsi sub-area Pengawasan APIP</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Manajemen ASN</w:t>
            </w:r>
          </w:p>
        </w:tc>
        <w:tc>
          <w:tcPr>
            <w:tcW w:type="dxa" w:w="1654"/>
            <w:vAlign w:val="center"/>
          </w:tcPr>
          <w:p>
            <w:pPr>
              <w:jc w:val="center"/>
            </w:pPr>
            <w:r/>
            <w:r>
              <w:rPr>
                <w:rFonts w:ascii="Times New Roman" w:hAnsi="Times New Roman"/>
                <w:sz w:val="20"/>
              </w:rPr>
              <w:t>MCP_MASN</w:t>
            </w:r>
          </w:p>
        </w:tc>
        <w:tc>
          <w:tcPr>
            <w:tcW w:type="dxa" w:w="1654"/>
            <w:vAlign w:val="center"/>
          </w:tcPr>
          <w:p>
            <w:pPr>
              <w:jc w:val="center"/>
            </w:pPr>
            <w:r/>
            <w:r>
              <w:rPr>
                <w:rFonts w:ascii="Times New Roman" w:hAnsi="Times New Roman"/>
                <w:sz w:val="20"/>
              </w:rPr>
              <w:t>Skor pencegahan korupsi sub-area Manajemen ASN</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Optimalisasi Pajak</w:t>
            </w:r>
          </w:p>
        </w:tc>
        <w:tc>
          <w:tcPr>
            <w:tcW w:type="dxa" w:w="1654"/>
            <w:vAlign w:val="center"/>
          </w:tcPr>
          <w:p>
            <w:pPr>
              <w:jc w:val="center"/>
            </w:pPr>
            <w:r/>
            <w:r>
              <w:rPr>
                <w:rFonts w:ascii="Times New Roman" w:hAnsi="Times New Roman"/>
                <w:sz w:val="20"/>
              </w:rPr>
              <w:t>MCP_OPD</w:t>
            </w:r>
          </w:p>
        </w:tc>
        <w:tc>
          <w:tcPr>
            <w:tcW w:type="dxa" w:w="1654"/>
            <w:vAlign w:val="center"/>
          </w:tcPr>
          <w:p>
            <w:pPr>
              <w:jc w:val="center"/>
            </w:pPr>
            <w:r/>
            <w:r>
              <w:rPr>
                <w:rFonts w:ascii="Times New Roman" w:hAnsi="Times New Roman"/>
                <w:sz w:val="20"/>
              </w:rPr>
              <w:t>Skor pencegahan korupsi sub-area Optimalisasi Pajak Daerah</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MCP Manajemen Aset</w:t>
            </w:r>
          </w:p>
        </w:tc>
        <w:tc>
          <w:tcPr>
            <w:tcW w:type="dxa" w:w="1654"/>
            <w:vAlign w:val="center"/>
          </w:tcPr>
          <w:p>
            <w:pPr>
              <w:jc w:val="center"/>
            </w:pPr>
            <w:r/>
            <w:r>
              <w:rPr>
                <w:rFonts w:ascii="Times New Roman" w:hAnsi="Times New Roman"/>
                <w:sz w:val="20"/>
              </w:rPr>
              <w:t>MCP_MASET</w:t>
            </w:r>
          </w:p>
        </w:tc>
        <w:tc>
          <w:tcPr>
            <w:tcW w:type="dxa" w:w="1654"/>
            <w:vAlign w:val="center"/>
          </w:tcPr>
          <w:p>
            <w:pPr>
              <w:jc w:val="center"/>
            </w:pPr>
            <w:r/>
            <w:r>
              <w:rPr>
                <w:rFonts w:ascii="Times New Roman" w:hAnsi="Times New Roman"/>
                <w:sz w:val="20"/>
              </w:rPr>
              <w:t>Skor pencegahan korupsi sub-area Manajemen Aset</w:t>
            </w:r>
          </w:p>
        </w:tc>
        <w:tc>
          <w:tcPr>
            <w:tcW w:type="dxa" w:w="1654"/>
            <w:vAlign w:val="center"/>
          </w:tcPr>
          <w:p>
            <w:pPr>
              <w:jc w:val="center"/>
            </w:pPr>
            <w:r/>
            <w:r>
              <w:rPr>
                <w:rFonts w:ascii="Times New Roman" w:hAnsi="Times New Roman"/>
                <w:sz w:val="20"/>
              </w:rPr>
              <w:t>Skor MCP KPK</w:t>
            </w:r>
          </w:p>
        </w:tc>
        <w:tc>
          <w:tcPr>
            <w:tcW w:type="dxa" w:w="1654"/>
            <w:vAlign w:val="center"/>
          </w:tcPr>
          <w:p>
            <w:pPr>
              <w:jc w:val="center"/>
            </w:pPr>
            <w:r/>
            <w:r>
              <w:rPr>
                <w:rFonts w:ascii="Times New Roman" w:hAnsi="Times New Roman"/>
                <w:sz w:val="20"/>
              </w:rPr>
              <w:t>Indeks 0-100</w:t>
            </w:r>
          </w:p>
        </w:tc>
      </w:tr>
      <w:tr>
        <w:tc>
          <w:tcPr>
            <w:tcW w:type="dxa" w:w="1654"/>
            <w:vAlign w:val="center"/>
          </w:tcPr>
          <w:p>
            <w:pPr>
              <w:jc w:val="left"/>
            </w:pPr>
            <w:r/>
            <w:r>
              <w:rPr>
                <w:rFonts w:ascii="Times New Roman" w:hAnsi="Times New Roman"/>
                <w:sz w:val="20"/>
              </w:rPr>
              <w:t>Total Temuan BPK</w:t>
            </w:r>
          </w:p>
        </w:tc>
        <w:tc>
          <w:tcPr>
            <w:tcW w:type="dxa" w:w="1654"/>
            <w:vAlign w:val="center"/>
          </w:tcPr>
          <w:p>
            <w:pPr>
              <w:jc w:val="center"/>
            </w:pPr>
            <w:r/>
            <w:r>
              <w:rPr>
                <w:rFonts w:ascii="Times New Roman" w:hAnsi="Times New Roman"/>
                <w:sz w:val="20"/>
              </w:rPr>
              <w:t>TOT_TEMUAN</w:t>
            </w:r>
          </w:p>
        </w:tc>
        <w:tc>
          <w:tcPr>
            <w:tcW w:type="dxa" w:w="1654"/>
            <w:vAlign w:val="center"/>
          </w:tcPr>
          <w:p>
            <w:pPr>
              <w:jc w:val="center"/>
            </w:pPr>
            <w:r/>
            <w:r>
              <w:rPr>
                <w:rFonts w:ascii="Times New Roman" w:hAnsi="Times New Roman"/>
                <w:sz w:val="20"/>
              </w:rPr>
              <w:t>Total jumlah temuan BPK pada LHP kab/kota per tahun</w:t>
            </w:r>
          </w:p>
        </w:tc>
        <w:tc>
          <w:tcPr>
            <w:tcW w:type="dxa" w:w="1654"/>
            <w:vAlign w:val="center"/>
          </w:tcPr>
          <w:p>
            <w:pPr>
              <w:jc w:val="center"/>
            </w:pPr>
            <w:r/>
            <w:r>
              <w:rPr>
                <w:rFonts w:ascii="Times New Roman" w:hAnsi="Times New Roman"/>
                <w:sz w:val="20"/>
              </w:rPr>
              <w:t>Total temuan</w:t>
            </w:r>
          </w:p>
        </w:tc>
        <w:tc>
          <w:tcPr>
            <w:tcW w:type="dxa" w:w="1654"/>
            <w:vAlign w:val="center"/>
          </w:tcPr>
          <w:p>
            <w:pPr>
              <w:jc w:val="center"/>
            </w:pPr>
            <w:r/>
            <w:r>
              <w:rPr>
                <w:rFonts w:ascii="Times New Roman" w:hAnsi="Times New Roman"/>
                <w:sz w:val="20"/>
              </w:rPr>
              <w:t>Unit</w:t>
            </w:r>
          </w:p>
        </w:tc>
      </w:tr>
      <w:tr>
        <w:tc>
          <w:tcPr>
            <w:tcW w:type="dxa" w:w="1654"/>
            <w:vAlign w:val="center"/>
          </w:tcPr>
          <w:p>
            <w:pPr>
              <w:jc w:val="left"/>
            </w:pPr>
            <w:r/>
            <w:r>
              <w:rPr>
                <w:rFonts w:ascii="Times New Roman" w:hAnsi="Times New Roman"/>
                <w:sz w:val="20"/>
              </w:rPr>
              <w:t>Temuan SPI</w:t>
            </w:r>
          </w:p>
        </w:tc>
        <w:tc>
          <w:tcPr>
            <w:tcW w:type="dxa" w:w="1654"/>
            <w:vAlign w:val="center"/>
          </w:tcPr>
          <w:p>
            <w:pPr>
              <w:jc w:val="center"/>
            </w:pPr>
            <w:r/>
            <w:r>
              <w:rPr>
                <w:rFonts w:ascii="Times New Roman" w:hAnsi="Times New Roman"/>
                <w:sz w:val="20"/>
              </w:rPr>
              <w:t>TEM_SPI</w:t>
            </w:r>
          </w:p>
        </w:tc>
        <w:tc>
          <w:tcPr>
            <w:tcW w:type="dxa" w:w="1654"/>
            <w:vAlign w:val="center"/>
          </w:tcPr>
          <w:p>
            <w:pPr>
              <w:jc w:val="center"/>
            </w:pPr>
            <w:r/>
            <w:r>
              <w:rPr>
                <w:rFonts w:ascii="Times New Roman" w:hAnsi="Times New Roman"/>
                <w:sz w:val="20"/>
              </w:rPr>
              <w:t>Jumlah temuan Sistem Pengendalian Intern</w:t>
            </w:r>
          </w:p>
        </w:tc>
        <w:tc>
          <w:tcPr>
            <w:tcW w:type="dxa" w:w="1654"/>
            <w:vAlign w:val="center"/>
          </w:tcPr>
          <w:p>
            <w:pPr>
              <w:jc w:val="center"/>
            </w:pPr>
            <w:r/>
            <w:r>
              <w:rPr>
                <w:rFonts w:ascii="Times New Roman" w:hAnsi="Times New Roman"/>
                <w:sz w:val="20"/>
              </w:rPr>
              <w:t>Total temuan SPI</w:t>
            </w:r>
          </w:p>
        </w:tc>
        <w:tc>
          <w:tcPr>
            <w:tcW w:type="dxa" w:w="1654"/>
            <w:vAlign w:val="center"/>
          </w:tcPr>
          <w:p>
            <w:pPr>
              <w:jc w:val="center"/>
            </w:pPr>
            <w:r/>
            <w:r>
              <w:rPr>
                <w:rFonts w:ascii="Times New Roman" w:hAnsi="Times New Roman"/>
                <w:sz w:val="20"/>
              </w:rPr>
              <w:t>Unit</w:t>
            </w:r>
          </w:p>
        </w:tc>
      </w:tr>
      <w:tr>
        <w:tc>
          <w:tcPr>
            <w:tcW w:type="dxa" w:w="1654"/>
            <w:vAlign w:val="center"/>
          </w:tcPr>
          <w:p>
            <w:pPr>
              <w:jc w:val="left"/>
            </w:pPr>
            <w:r/>
            <w:r>
              <w:rPr>
                <w:rFonts w:ascii="Times New Roman" w:hAnsi="Times New Roman"/>
                <w:sz w:val="20"/>
              </w:rPr>
              <w:t>Temuan Kepatuhan</w:t>
            </w:r>
          </w:p>
        </w:tc>
        <w:tc>
          <w:tcPr>
            <w:tcW w:type="dxa" w:w="1654"/>
            <w:vAlign w:val="center"/>
          </w:tcPr>
          <w:p>
            <w:pPr>
              <w:jc w:val="center"/>
            </w:pPr>
            <w:r/>
            <w:r>
              <w:rPr>
                <w:rFonts w:ascii="Times New Roman" w:hAnsi="Times New Roman"/>
                <w:sz w:val="20"/>
              </w:rPr>
              <w:t>TEM_KEP</w:t>
            </w:r>
          </w:p>
        </w:tc>
        <w:tc>
          <w:tcPr>
            <w:tcW w:type="dxa" w:w="1654"/>
            <w:vAlign w:val="center"/>
          </w:tcPr>
          <w:p>
            <w:pPr>
              <w:jc w:val="center"/>
            </w:pPr>
            <w:r/>
            <w:r>
              <w:rPr>
                <w:rFonts w:ascii="Times New Roman" w:hAnsi="Times New Roman"/>
                <w:sz w:val="20"/>
              </w:rPr>
              <w:t>Jumlah temuan Kepatuhan terhadap peraturan</w:t>
            </w:r>
          </w:p>
        </w:tc>
        <w:tc>
          <w:tcPr>
            <w:tcW w:type="dxa" w:w="1654"/>
            <w:vAlign w:val="center"/>
          </w:tcPr>
          <w:p>
            <w:pPr>
              <w:jc w:val="center"/>
            </w:pPr>
            <w:r/>
            <w:r>
              <w:rPr>
                <w:rFonts w:ascii="Times New Roman" w:hAnsi="Times New Roman"/>
                <w:sz w:val="20"/>
              </w:rPr>
              <w:t>Total temuan kepatuhan</w:t>
            </w:r>
          </w:p>
        </w:tc>
        <w:tc>
          <w:tcPr>
            <w:tcW w:type="dxa" w:w="1654"/>
            <w:vAlign w:val="center"/>
          </w:tcPr>
          <w:p>
            <w:pPr>
              <w:jc w:val="center"/>
            </w:pPr>
            <w:r/>
            <w:r>
              <w:rPr>
                <w:rFonts w:ascii="Times New Roman" w:hAnsi="Times New Roman"/>
                <w:sz w:val="20"/>
              </w:rPr>
              <w:t>Unit</w:t>
            </w:r>
          </w:p>
        </w:tc>
      </w:tr>
      <w:tr>
        <w:tc>
          <w:tcPr>
            <w:tcW w:type="dxa" w:w="1654"/>
            <w:vAlign w:val="center"/>
          </w:tcPr>
          <w:p>
            <w:pPr>
              <w:jc w:val="left"/>
            </w:pPr>
            <w:r/>
            <w:r>
              <w:rPr>
                <w:rFonts w:ascii="Times New Roman" w:hAnsi="Times New Roman"/>
                <w:sz w:val="20"/>
              </w:rPr>
              <w:t>Jumlah Penduduk</w:t>
            </w:r>
          </w:p>
        </w:tc>
        <w:tc>
          <w:tcPr>
            <w:tcW w:type="dxa" w:w="1654"/>
            <w:vAlign w:val="center"/>
          </w:tcPr>
          <w:p>
            <w:pPr>
              <w:jc w:val="center"/>
            </w:pPr>
            <w:r/>
            <w:r>
              <w:rPr>
                <w:rFonts w:ascii="Times New Roman" w:hAnsi="Times New Roman"/>
                <w:sz w:val="20"/>
              </w:rPr>
              <w:t>PENDUDUK</w:t>
            </w:r>
          </w:p>
        </w:tc>
        <w:tc>
          <w:tcPr>
            <w:tcW w:type="dxa" w:w="1654"/>
            <w:vAlign w:val="center"/>
          </w:tcPr>
          <w:p>
            <w:pPr>
              <w:jc w:val="center"/>
            </w:pPr>
            <w:r/>
            <w:r>
              <w:rPr>
                <w:rFonts w:ascii="Times New Roman" w:hAnsi="Times New Roman"/>
                <w:sz w:val="20"/>
              </w:rPr>
              <w:t>Jumlah penduduk kab/kota per tahun</w:t>
            </w:r>
          </w:p>
        </w:tc>
        <w:tc>
          <w:tcPr>
            <w:tcW w:type="dxa" w:w="1654"/>
            <w:vAlign w:val="center"/>
          </w:tcPr>
          <w:p>
            <w:pPr>
              <w:jc w:val="center"/>
            </w:pPr>
            <w:r/>
            <w:r>
              <w:rPr>
                <w:rFonts w:ascii="Times New Roman" w:hAnsi="Times New Roman"/>
                <w:sz w:val="20"/>
              </w:rPr>
              <w:t>log(PENDUDUK)</w:t>
            </w:r>
          </w:p>
        </w:tc>
        <w:tc>
          <w:tcPr>
            <w:tcW w:type="dxa" w:w="1654"/>
            <w:vAlign w:val="center"/>
          </w:tcPr>
          <w:p>
            <w:pPr>
              <w:jc w:val="center"/>
            </w:pPr>
            <w:r/>
            <w:r>
              <w:rPr>
                <w:rFonts w:ascii="Times New Roman" w:hAnsi="Times New Roman"/>
                <w:sz w:val="20"/>
              </w:rPr>
              <w:t>log Jiwa</w:t>
            </w:r>
          </w:p>
        </w:tc>
      </w:tr>
      <w:tr>
        <w:tc>
          <w:tcPr>
            <w:tcW w:type="dxa" w:w="1654"/>
            <w:vAlign w:val="center"/>
          </w:tcPr>
          <w:p>
            <w:pPr>
              <w:jc w:val="left"/>
            </w:pPr>
            <w:r/>
            <w:r>
              <w:rPr>
                <w:rFonts w:ascii="Times New Roman" w:hAnsi="Times New Roman"/>
                <w:sz w:val="20"/>
              </w:rPr>
              <w:t>Dummy Periode</w:t>
            </w:r>
          </w:p>
        </w:tc>
        <w:tc>
          <w:tcPr>
            <w:tcW w:type="dxa" w:w="1654"/>
            <w:vAlign w:val="center"/>
          </w:tcPr>
          <w:p>
            <w:pPr>
              <w:jc w:val="center"/>
            </w:pPr>
            <w:r/>
            <w:r>
              <w:rPr>
                <w:rFonts w:ascii="Times New Roman" w:hAnsi="Times New Roman"/>
                <w:sz w:val="20"/>
              </w:rPr>
              <w:t>D_POST2024</w:t>
            </w:r>
          </w:p>
        </w:tc>
        <w:tc>
          <w:tcPr>
            <w:tcW w:type="dxa" w:w="1654"/>
            <w:vAlign w:val="center"/>
          </w:tcPr>
          <w:p>
            <w:pPr>
              <w:jc w:val="center"/>
            </w:pPr>
            <w:r/>
            <w:r>
              <w:rPr>
                <w:rFonts w:ascii="Times New Roman" w:hAnsi="Times New Roman"/>
                <w:sz w:val="20"/>
              </w:rPr>
              <w:t>Dummy untuk periode setelah perubahan label MCP</w:t>
            </w:r>
          </w:p>
        </w:tc>
        <w:tc>
          <w:tcPr>
            <w:tcW w:type="dxa" w:w="1654"/>
            <w:vAlign w:val="center"/>
          </w:tcPr>
          <w:p>
            <w:pPr>
              <w:jc w:val="center"/>
            </w:pPr>
            <w:r/>
            <w:r>
              <w:rPr>
                <w:rFonts w:ascii="Times New Roman" w:hAnsi="Times New Roman"/>
                <w:sz w:val="20"/>
              </w:rPr>
              <w:t>1 jika tahun ≥ 2024; 0 jika tahun = 2023</w:t>
            </w:r>
          </w:p>
        </w:tc>
        <w:tc>
          <w:tcPr>
            <w:tcW w:type="dxa" w:w="1654"/>
            <w:vAlign w:val="center"/>
          </w:tcPr>
          <w:p>
            <w:pPr>
              <w:jc w:val="center"/>
            </w:pPr>
            <w:r/>
            <w:r>
              <w:rPr>
                <w:rFonts w:ascii="Times New Roman" w:hAnsi="Times New Roman"/>
                <w:sz w:val="20"/>
              </w:rPr>
              <w:t>0/1</w:t>
            </w:r>
          </w:p>
        </w:tc>
      </w:tr>
    </w:tbl>
    <w:p/>
    <w:p>
      <w:pPr>
        <w:spacing w:line="360" w:lineRule="auto" w:after="120"/>
        <w:ind w:firstLine="720"/>
        <w:jc w:val="both"/>
      </w:pPr>
      <w:r>
        <w:rPr>
          <w:rFonts w:ascii="Times New Roman" w:hAnsi="Times New Roman"/>
          <w:b w:val="0"/>
          <w:i/>
          <w:sz w:val="22"/>
        </w:rPr>
        <w:t>Catatan: Variabel INVEST dan PENDUDUK ditransformasi logaritma natural untuk mengatasi distribusi yang skewed dan menstandardisasi skala koefisien. Penambahan +1 pada log(INVEST+1) mengantisipasi nilai investasi nol.</w:t>
      </w:r>
    </w:p>
    <w:p>
      <w:pPr>
        <w:spacing w:line="360" w:lineRule="auto" w:before="240" w:after="240"/>
      </w:pPr>
      <w:r>
        <w:rPr>
          <w:rFonts w:ascii="Times New Roman" w:hAnsi="Times New Roman"/>
          <w:b/>
          <w:sz w:val="26"/>
        </w:rPr>
        <w:t>3.6 Model Penelitian</w:t>
      </w:r>
    </w:p>
    <w:p>
      <w:pPr>
        <w:spacing w:line="360" w:lineRule="auto" w:after="120"/>
        <w:jc w:val="both"/>
      </w:pPr>
      <w:r>
        <w:rPr>
          <w:rFonts w:ascii="Times New Roman" w:hAnsi="Times New Roman"/>
          <w:b w:val="0"/>
          <w:i w:val="0"/>
          <w:sz w:val="24"/>
        </w:rPr>
        <w:t>Penelitian ini menggunakan lima spesifikasi model regresi data panel yang dirumuskan sebagai berikut:</w:t>
      </w:r>
    </w:p>
    <w:p>
      <w:pPr>
        <w:spacing w:line="360" w:lineRule="auto" w:after="120"/>
        <w:ind w:firstLine="720"/>
        <w:jc w:val="both"/>
      </w:pPr>
      <w:r>
        <w:rPr>
          <w:rFonts w:ascii="Times New Roman" w:hAnsi="Times New Roman"/>
          <w:b/>
          <w:i w:val="0"/>
          <w:sz w:val="24"/>
        </w:rPr>
        <w:t>Model 1: Model Utama (Baseline)</w:t>
      </w:r>
    </w:p>
    <w:p>
      <w:pPr>
        <w:spacing w:line="360" w:lineRule="auto" w:after="120"/>
        <w:jc w:val="both"/>
      </w:pPr>
      <w:r>
        <w:rPr>
          <w:rFonts w:ascii="Times New Roman" w:hAnsi="Times New Roman"/>
          <w:b w:val="0"/>
          <w:i w:val="0"/>
          <w:sz w:val="24"/>
        </w:rPr>
        <w:t>Model utama menguji pengaruh komponen MCP Perizinan/Pelayanan Publik—yang diasumsikan paling berpengaruh berdasarkan teori biaya transaksi—terhadap investasi PMDN dengan kontrol jumlah penduduk.</w:t>
      </w:r>
    </w:p>
    <w:p>
      <w:pPr>
        <w:jc w:val="center"/>
      </w:pPr>
      <w:r>
        <w:rPr>
          <w:rFonts w:ascii="Times New Roman" w:hAnsi="Times New Roman"/>
          <w:i/>
          <w:sz w:val="22"/>
        </w:rPr>
        <w:t>log(INVESTᵢₜ + 1) = α + β₁·MCP_IZINᵢₜ + γ·log(PENDUDUKᵢₜ) + εᵢₜ</w:t>
      </w:r>
      <w:r>
        <w:rPr>
          <w:sz w:val="22"/>
        </w:rPr>
        <w:t xml:space="preserve">    ...(3.1)</w:t>
      </w:r>
    </w:p>
    <w:p/>
    <w:p>
      <w:pPr>
        <w:spacing w:line="360" w:lineRule="auto" w:after="120"/>
        <w:ind w:firstLine="720"/>
        <w:jc w:val="both"/>
      </w:pPr>
      <w:r>
        <w:rPr>
          <w:rFonts w:ascii="Times New Roman" w:hAnsi="Times New Roman"/>
          <w:b/>
          <w:i w:val="0"/>
          <w:sz w:val="24"/>
        </w:rPr>
        <w:t>Model 2: Uji Structural Break (Perubahan Label MCP)</w:t>
      </w:r>
    </w:p>
    <w:p>
      <w:pPr>
        <w:spacing w:line="360" w:lineRule="auto" w:after="120"/>
        <w:jc w:val="both"/>
      </w:pPr>
      <w:r>
        <w:rPr>
          <w:rFonts w:ascii="Times New Roman" w:hAnsi="Times New Roman"/>
          <w:b w:val="0"/>
          <w:i w:val="0"/>
          <w:sz w:val="24"/>
        </w:rPr>
        <w:t>Model 2 menguji apakah perubahan kerangka indikator MCP dari "Perizinan" (2023) menjadi "Pelayanan Publik" (2024-2025) menghasilkan pengaruh yang berbeda terhadap investasi.</w:t>
      </w:r>
    </w:p>
    <w:p>
      <w:pPr>
        <w:jc w:val="center"/>
      </w:pPr>
      <w:r>
        <w:rPr>
          <w:rFonts w:ascii="Times New Roman" w:hAnsi="Times New Roman"/>
          <w:i/>
          <w:sz w:val="22"/>
        </w:rPr>
        <w:t>log(INVESTᵢₜ + 1) = α + β₁·MCP_IZINᵢₜ + β₂·D_POST2024ₜ + β₃·(MCP_IZINᵢₜ × D_POST2024ₜ) + γ·log(PENDUDUKᵢₜ) + εᵢₜ</w:t>
      </w:r>
      <w:r>
        <w:rPr>
          <w:sz w:val="22"/>
        </w:rPr>
        <w:t xml:space="preserve">    ...(3.2)</w:t>
      </w:r>
    </w:p>
    <w:p/>
    <w:p>
      <w:pPr>
        <w:spacing w:line="360" w:lineRule="auto" w:after="120"/>
        <w:ind w:firstLine="720"/>
        <w:jc w:val="both"/>
      </w:pPr>
      <w:r>
        <w:rPr>
          <w:rFonts w:ascii="Times New Roman" w:hAnsi="Times New Roman"/>
          <w:b/>
          <w:i w:val="0"/>
          <w:sz w:val="24"/>
        </w:rPr>
        <w:t>Model 3: Moderasi Temuan BPK</w:t>
      </w:r>
    </w:p>
    <w:p>
      <w:pPr>
        <w:spacing w:line="360" w:lineRule="auto" w:after="120"/>
        <w:jc w:val="both"/>
      </w:pPr>
      <w:r>
        <w:rPr>
          <w:rFonts w:ascii="Times New Roman" w:hAnsi="Times New Roman"/>
          <w:b w:val="0"/>
          <w:i w:val="0"/>
          <w:sz w:val="24"/>
        </w:rPr>
        <w:t>Model 3 menguji peran moderasi temuan BPK dalam hubungan MCP Perizinan dan investasi PMDN, dalam kerangka dual governance.</w:t>
      </w:r>
    </w:p>
    <w:p>
      <w:pPr>
        <w:jc w:val="center"/>
      </w:pPr>
      <w:r>
        <w:rPr>
          <w:rFonts w:ascii="Times New Roman" w:hAnsi="Times New Roman"/>
          <w:i/>
          <w:sz w:val="22"/>
        </w:rPr>
        <w:t>log(INVESTᵢₜ + 1) = α + β₁·MCP_IZINᵢₜ + β₂·TOT_TEMUANᵢₜ + β₃·(MCP_IZINᵢₜ × TOT_TEMUANᵢₜ) + γ·log(PENDUDUKᵢₜ) + εᵢₜ</w:t>
      </w:r>
      <w:r>
        <w:rPr>
          <w:sz w:val="22"/>
        </w:rPr>
        <w:t xml:space="preserve">    ...(3.3)</w:t>
      </w:r>
    </w:p>
    <w:p/>
    <w:p>
      <w:pPr>
        <w:spacing w:line="360" w:lineRule="auto" w:after="120"/>
        <w:ind w:firstLine="720"/>
        <w:jc w:val="both"/>
      </w:pPr>
      <w:r>
        <w:rPr>
          <w:rFonts w:ascii="Times New Roman" w:hAnsi="Times New Roman"/>
          <w:b/>
          <w:i w:val="0"/>
          <w:sz w:val="24"/>
        </w:rPr>
        <w:t>Model 4: Komponen MCP Lengkap (Identifikasi Driver)</w:t>
      </w:r>
    </w:p>
    <w:p>
      <w:pPr>
        <w:spacing w:line="360" w:lineRule="auto" w:after="120"/>
        <w:jc w:val="both"/>
      </w:pPr>
      <w:r>
        <w:rPr>
          <w:rFonts w:ascii="Times New Roman" w:hAnsi="Times New Roman"/>
          <w:b w:val="0"/>
          <w:i w:val="0"/>
          <w:sz w:val="24"/>
        </w:rPr>
        <w:t>Model 4 menguji seluruh komponen MCP secara bersamaan untuk mengidentifikasi sub-area yang paling dominan setelah dikontrol komponen lain.</w:t>
      </w:r>
    </w:p>
    <w:p>
      <w:pPr>
        <w:jc w:val="center"/>
      </w:pPr>
      <w:r>
        <w:rPr>
          <w:rFonts w:ascii="Times New Roman" w:hAnsi="Times New Roman"/>
          <w:i/>
          <w:sz w:val="22"/>
        </w:rPr>
        <w:t>log(INVESTᵢₜ + 1) = α + β₁·MCP_APIPᵢₜ + β₂·MCP_IZINᵢₜ + β₃·MCP_MASETᵢₜ + β₄·MCP_MASNᵢₜ + β₅·MCP_OPDᵢₜ + β₆·MCP_PBJᵢₜ + β₇·MCP_PERANGᵢₜ + γ·log(PENDUDUKᵢₜ) + εᵢₜ</w:t>
      </w:r>
      <w:r>
        <w:rPr>
          <w:sz w:val="22"/>
        </w:rPr>
        <w:t xml:space="preserve">    ...(3.4)</w:t>
      </w:r>
    </w:p>
    <w:p/>
    <w:p>
      <w:pPr>
        <w:spacing w:line="360" w:lineRule="auto" w:after="120"/>
        <w:ind w:firstLine="720"/>
        <w:jc w:val="both"/>
      </w:pPr>
      <w:r>
        <w:rPr>
          <w:rFonts w:ascii="Times New Roman" w:hAnsi="Times New Roman"/>
          <w:b/>
          <w:i w:val="0"/>
          <w:sz w:val="24"/>
        </w:rPr>
        <w:t>Model 5: Pemisahan Jenis Temuan BPK</w:t>
      </w:r>
    </w:p>
    <w:p>
      <w:pPr>
        <w:spacing w:line="360" w:lineRule="auto" w:after="120"/>
        <w:jc w:val="both"/>
      </w:pPr>
      <w:r>
        <w:rPr>
          <w:rFonts w:ascii="Times New Roman" w:hAnsi="Times New Roman"/>
          <w:b w:val="0"/>
          <w:i w:val="0"/>
          <w:sz w:val="24"/>
        </w:rPr>
        <w:t>Model 5 sebagai robustness check, memisahkan temuan BPK menjadi temuan SPI dan Kepatuhan untuk melihat apakah jenis temuan yang berbeda memberi pengaruh berbeda.</w:t>
      </w:r>
    </w:p>
    <w:p>
      <w:pPr>
        <w:jc w:val="center"/>
      </w:pPr>
      <w:r>
        <w:rPr>
          <w:rFonts w:ascii="Times New Roman" w:hAnsi="Times New Roman"/>
          <w:i/>
          <w:sz w:val="22"/>
        </w:rPr>
        <w:t>log(INVESTᵢₜ + 1) = α + β₁·MCP_IZINᵢₜ + β₂·TEM_SPIᵢₜ + β₃·TEM_KEPᵢₜ + γ·log(PENDUDUKᵢₜ) + εᵢₜ</w:t>
      </w:r>
      <w:r>
        <w:rPr>
          <w:sz w:val="22"/>
        </w:rPr>
        <w:t xml:space="preserve">    ...(3.5)</w:t>
      </w:r>
    </w:p>
    <w:p/>
    <w:p>
      <w:pPr>
        <w:spacing w:line="360" w:lineRule="auto" w:after="120"/>
        <w:ind w:firstLine="720"/>
        <w:jc w:val="both"/>
      </w:pPr>
      <w:r>
        <w:rPr>
          <w:rFonts w:ascii="Times New Roman" w:hAnsi="Times New Roman"/>
          <w:b w:val="0"/>
          <w:i/>
          <w:sz w:val="22"/>
        </w:rPr>
        <w:t>Keterangan: i = kabupaten/kota (1, 2, ..., 35); t = tahun (2023, 2024, 2025); α = konstanta; βⱼ = koefisien variabel utama; γ = koefisien variabel kontrol; εᵢₜ = error term.</w:t>
      </w:r>
    </w:p>
    <w:p>
      <w:pPr>
        <w:spacing w:line="360" w:lineRule="auto" w:before="240" w:after="240"/>
      </w:pPr>
      <w:r>
        <w:rPr>
          <w:rFonts w:ascii="Times New Roman" w:hAnsi="Times New Roman"/>
          <w:b/>
          <w:sz w:val="26"/>
        </w:rPr>
        <w:t>3.7 Teknik Analisis Data</w:t>
      </w:r>
    </w:p>
    <w:p>
      <w:pPr>
        <w:spacing w:line="360" w:lineRule="auto" w:before="240" w:after="240"/>
      </w:pPr>
      <w:r>
        <w:rPr>
          <w:rFonts w:ascii="Times New Roman" w:hAnsi="Times New Roman"/>
          <w:b/>
          <w:sz w:val="24"/>
        </w:rPr>
        <w:t>3.7.1 Analisis Statistik Deskriptif</w:t>
      </w:r>
    </w:p>
    <w:p>
      <w:pPr>
        <w:spacing w:line="360" w:lineRule="auto" w:after="120"/>
        <w:ind w:firstLine="720"/>
        <w:jc w:val="both"/>
      </w:pPr>
      <w:r>
        <w:rPr>
          <w:rFonts w:ascii="Times New Roman" w:hAnsi="Times New Roman"/>
          <w:b w:val="0"/>
          <w:i w:val="0"/>
          <w:sz w:val="24"/>
        </w:rPr>
        <w:t>Statistik deskriptif digunakan untuk menggambarkan karakteristik data masing-masing variabel, meliputi nilai rata-rata, median, nilai maksimum, nilai minimum, dan standar deviasi. Analisis ini bertujuan memberikan gambaran awal mengenai pola dan sebaran data sebelum dilakukan analisis regresi.</w:t>
      </w:r>
    </w:p>
    <w:p>
      <w:pPr>
        <w:spacing w:line="360" w:lineRule="auto" w:before="240" w:after="240"/>
      </w:pPr>
      <w:r>
        <w:rPr>
          <w:rFonts w:ascii="Times New Roman" w:hAnsi="Times New Roman"/>
          <w:b/>
          <w:sz w:val="24"/>
        </w:rPr>
        <w:t>3.7.2 Pemilihan Model Regresi Panel</w:t>
      </w:r>
    </w:p>
    <w:p>
      <w:pPr>
        <w:spacing w:line="360" w:lineRule="auto" w:after="120"/>
        <w:jc w:val="both"/>
      </w:pPr>
      <w:r>
        <w:rPr>
          <w:rFonts w:ascii="Times New Roman" w:hAnsi="Times New Roman"/>
          <w:b w:val="0"/>
          <w:i w:val="0"/>
          <w:sz w:val="24"/>
        </w:rPr>
        <w:t>Pemilihan antara Common Effect Model (CEM), Fixed Effect Model (FEM), dan Random Effect Model (REM) dilakukan melalui tiga pengujian formal:</w:t>
      </w:r>
    </w:p>
    <w:p>
      <w:pPr>
        <w:spacing w:line="360" w:lineRule="auto"/>
        <w:ind w:left="720" w:hanging="720"/>
        <w:jc w:val="both"/>
      </w:pPr>
      <w:r>
        <w:rPr>
          <w:rFonts w:ascii="Times New Roman" w:hAnsi="Times New Roman"/>
          <w:b/>
          <w:sz w:val="24"/>
        </w:rPr>
        <w:t xml:space="preserve">• Uji Chow: </w:t>
      </w:r>
      <w:r>
        <w:rPr>
          <w:rFonts w:ascii="Times New Roman" w:hAnsi="Times New Roman"/>
          <w:sz w:val="24"/>
        </w:rPr>
        <w:t>Membandingkan CEM vs FEM. Hipotesis null: CEM lebih tepat. Jika probabilitas &lt; 0,05, FEM dipilih.</w:t>
      </w:r>
    </w:p>
    <w:p>
      <w:pPr>
        <w:spacing w:line="360" w:lineRule="auto"/>
        <w:ind w:left="720" w:hanging="720"/>
        <w:jc w:val="both"/>
      </w:pPr>
      <w:r>
        <w:rPr>
          <w:rFonts w:ascii="Times New Roman" w:hAnsi="Times New Roman"/>
          <w:b/>
          <w:sz w:val="24"/>
        </w:rPr>
        <w:t xml:space="preserve">• Uji Hausman: </w:t>
      </w:r>
      <w:r>
        <w:rPr>
          <w:rFonts w:ascii="Times New Roman" w:hAnsi="Times New Roman"/>
          <w:sz w:val="24"/>
        </w:rPr>
        <w:t>Membandingkan FEM vs REM. Hipotesis null: REM konsisten. Jika probabilitas &lt; 0,05, FEM dipilih; jika ≥ 0,05, REM dipilih.</w:t>
      </w:r>
    </w:p>
    <w:p>
      <w:pPr>
        <w:spacing w:line="360" w:lineRule="auto"/>
        <w:ind w:left="720" w:hanging="720"/>
        <w:jc w:val="both"/>
      </w:pPr>
      <w:r>
        <w:rPr>
          <w:rFonts w:ascii="Times New Roman" w:hAnsi="Times New Roman"/>
          <w:b/>
          <w:sz w:val="24"/>
        </w:rPr>
        <w:t xml:space="preserve">• Uji Lagrange Multiplier (LM) Breusch-Pagan: </w:t>
      </w:r>
      <w:r>
        <w:rPr>
          <w:rFonts w:ascii="Times New Roman" w:hAnsi="Times New Roman"/>
          <w:sz w:val="24"/>
        </w:rPr>
        <w:t>Membandingkan CEM vs REM. Hipotesis null: tidak ada random effect. Jika probabilitas ≥ 0,05, CEM dipilih; jika &lt; 0,05, REM dipilih.</w:t>
      </w:r>
    </w:p>
    <w:p>
      <w:pPr>
        <w:spacing w:line="360" w:lineRule="auto" w:before="240" w:after="240"/>
      </w:pPr>
      <w:r>
        <w:rPr>
          <w:rFonts w:ascii="Times New Roman" w:hAnsi="Times New Roman"/>
          <w:b/>
          <w:sz w:val="24"/>
        </w:rPr>
        <w:t>3.7.3 Uji Asumsi Klasik</w:t>
      </w:r>
    </w:p>
    <w:p>
      <w:pPr>
        <w:spacing w:line="360" w:lineRule="auto" w:after="120"/>
        <w:jc w:val="both"/>
      </w:pPr>
      <w:r>
        <w:rPr>
          <w:rFonts w:ascii="Times New Roman" w:hAnsi="Times New Roman"/>
          <w:b w:val="0"/>
          <w:i w:val="0"/>
          <w:sz w:val="24"/>
        </w:rPr>
        <w:t>Uji asumsi klasik dilakukan untuk memastikan validitas estimasi, meliputi:</w:t>
      </w:r>
    </w:p>
    <w:p>
      <w:pPr>
        <w:spacing w:line="360" w:lineRule="auto"/>
        <w:ind w:left="720" w:hanging="720"/>
        <w:jc w:val="both"/>
      </w:pPr>
      <w:r>
        <w:rPr>
          <w:rFonts w:ascii="Times New Roman" w:hAnsi="Times New Roman"/>
          <w:b/>
          <w:sz w:val="24"/>
        </w:rPr>
        <w:t xml:space="preserve">• Uji Normalitas: </w:t>
      </w:r>
      <w:r>
        <w:rPr>
          <w:rFonts w:ascii="Times New Roman" w:hAnsi="Times New Roman"/>
          <w:sz w:val="24"/>
        </w:rPr>
        <w:t>menggunakan Jarque-Bera Test. Residual diharapkan terdistribusi normal.</w:t>
      </w:r>
    </w:p>
    <w:p>
      <w:pPr>
        <w:spacing w:line="360" w:lineRule="auto"/>
        <w:ind w:left="720" w:hanging="720"/>
        <w:jc w:val="both"/>
      </w:pPr>
      <w:r>
        <w:rPr>
          <w:rFonts w:ascii="Times New Roman" w:hAnsi="Times New Roman"/>
          <w:b/>
          <w:sz w:val="24"/>
        </w:rPr>
        <w:t xml:space="preserve">• Uji Multikolinearitas: </w:t>
      </w:r>
      <w:r>
        <w:rPr>
          <w:rFonts w:ascii="Times New Roman" w:hAnsi="Times New Roman"/>
          <w:sz w:val="24"/>
        </w:rPr>
        <w:t>menggunakan Variance Inflation Factor (VIF). VIF &lt; 10 menunjukkan tidak ada multikolinearitas serius.</w:t>
      </w:r>
    </w:p>
    <w:p>
      <w:pPr>
        <w:spacing w:line="360" w:lineRule="auto"/>
        <w:ind w:left="720" w:hanging="720"/>
        <w:jc w:val="both"/>
      </w:pPr>
      <w:r>
        <w:rPr>
          <w:rFonts w:ascii="Times New Roman" w:hAnsi="Times New Roman"/>
          <w:b/>
          <w:sz w:val="24"/>
        </w:rPr>
        <w:t xml:space="preserve">• Uji Heteroskedastisitas: </w:t>
      </w:r>
      <w:r>
        <w:rPr>
          <w:rFonts w:ascii="Times New Roman" w:hAnsi="Times New Roman"/>
          <w:sz w:val="24"/>
        </w:rPr>
        <w:t>menggunakan Breusch-Pagan Test atau White Test.</w:t>
      </w:r>
    </w:p>
    <w:p>
      <w:pPr>
        <w:spacing w:line="360" w:lineRule="auto"/>
        <w:ind w:left="720" w:hanging="720"/>
        <w:jc w:val="both"/>
      </w:pPr>
      <w:r>
        <w:rPr>
          <w:rFonts w:ascii="Times New Roman" w:hAnsi="Times New Roman"/>
          <w:b/>
          <w:sz w:val="24"/>
        </w:rPr>
        <w:t xml:space="preserve">• Uji Autokorelasi: </w:t>
      </w:r>
      <w:r>
        <w:rPr>
          <w:rFonts w:ascii="Times New Roman" w:hAnsi="Times New Roman"/>
          <w:sz w:val="24"/>
        </w:rPr>
        <w:t>menggunakan Durbin-Watson Statistic. Nilai DW mendekati 2 menunjukkan tidak ada autokorelasi.</w:t>
      </w:r>
    </w:p>
    <w:p>
      <w:pPr>
        <w:spacing w:line="360" w:lineRule="auto" w:before="240" w:after="240"/>
      </w:pPr>
      <w:r>
        <w:rPr>
          <w:rFonts w:ascii="Times New Roman" w:hAnsi="Times New Roman"/>
          <w:b/>
          <w:sz w:val="24"/>
        </w:rPr>
        <w:t>3.7.4 Pengujian Hipotesis</w:t>
      </w:r>
    </w:p>
    <w:p>
      <w:pPr>
        <w:spacing w:line="360" w:lineRule="auto" w:after="120"/>
        <w:jc w:val="both"/>
      </w:pPr>
      <w:r>
        <w:rPr>
          <w:rFonts w:ascii="Times New Roman" w:hAnsi="Times New Roman"/>
          <w:b w:val="0"/>
          <w:i w:val="0"/>
          <w:sz w:val="24"/>
        </w:rPr>
        <w:t>Pengujian hipotesis dilakukan melalui tiga uji statistik:</w:t>
      </w:r>
    </w:p>
    <w:p>
      <w:pPr>
        <w:spacing w:line="360" w:lineRule="auto"/>
        <w:ind w:left="720" w:hanging="720"/>
        <w:jc w:val="both"/>
      </w:pPr>
      <w:r>
        <w:rPr>
          <w:rFonts w:ascii="Times New Roman" w:hAnsi="Times New Roman"/>
          <w:b/>
          <w:sz w:val="24"/>
        </w:rPr>
        <w:t xml:space="preserve">• Uji t (Parsial): </w:t>
      </w:r>
      <w:r>
        <w:rPr>
          <w:rFonts w:ascii="Times New Roman" w:hAnsi="Times New Roman"/>
          <w:sz w:val="24"/>
        </w:rPr>
        <w:t>menguji signifikansi individual koefisien regresi pada taraf nyata α = 5% dan α = 10%.</w:t>
      </w:r>
    </w:p>
    <w:p>
      <w:pPr>
        <w:spacing w:line="360" w:lineRule="auto"/>
        <w:ind w:left="720" w:hanging="720"/>
        <w:jc w:val="both"/>
      </w:pPr>
      <w:r>
        <w:rPr>
          <w:rFonts w:ascii="Times New Roman" w:hAnsi="Times New Roman"/>
          <w:b/>
          <w:sz w:val="24"/>
        </w:rPr>
        <w:t xml:space="preserve">• Uji F (Simultan): </w:t>
      </w:r>
      <w:r>
        <w:rPr>
          <w:rFonts w:ascii="Times New Roman" w:hAnsi="Times New Roman"/>
          <w:sz w:val="24"/>
        </w:rPr>
        <w:t>menguji signifikansi seluruh variabel independen secara bersamaan terhadap variabel dependen.</w:t>
      </w:r>
    </w:p>
    <w:p>
      <w:pPr>
        <w:spacing w:line="360" w:lineRule="auto"/>
        <w:ind w:left="720" w:hanging="720"/>
        <w:jc w:val="both"/>
      </w:pPr>
      <w:r>
        <w:rPr>
          <w:rFonts w:ascii="Times New Roman" w:hAnsi="Times New Roman"/>
          <w:b/>
          <w:sz w:val="24"/>
        </w:rPr>
        <w:t xml:space="preserve">• Koefisien Determinasi (R² dan Adjusted R²): </w:t>
      </w:r>
      <w:r>
        <w:rPr>
          <w:rFonts w:ascii="Times New Roman" w:hAnsi="Times New Roman"/>
          <w:sz w:val="24"/>
        </w:rPr>
        <w:t>mengukur proporsi variasi variabel dependen yang dijelaskan oleh model.</w:t>
      </w:r>
    </w:p>
    <w:p>
      <w:pPr>
        <w:spacing w:line="360" w:lineRule="auto" w:before="240" w:after="240"/>
      </w:pPr>
      <w:r>
        <w:rPr>
          <w:rFonts w:ascii="Times New Roman" w:hAnsi="Times New Roman"/>
          <w:b/>
          <w:sz w:val="24"/>
        </w:rPr>
        <w:t>3.7.5 Robust Standard Error</w:t>
      </w:r>
    </w:p>
    <w:p>
      <w:pPr>
        <w:spacing w:line="360" w:lineRule="auto" w:after="120"/>
        <w:ind w:firstLine="720"/>
        <w:jc w:val="both"/>
      </w:pPr>
      <w:r>
        <w:rPr>
          <w:rFonts w:ascii="Times New Roman" w:hAnsi="Times New Roman"/>
          <w:b w:val="0"/>
          <w:i w:val="0"/>
          <w:sz w:val="24"/>
        </w:rPr>
        <w:t>Estimasi dilakukan dengan White cross-section robust standard error untuk mengantisipasi heteroskedastisitas dan autokorelasi antar-unit. Untuk menguji ketahanan hasil, dilakukan estimasi pembanding dengan dan tanpa robust SE. Mengingat keterbatasan periode (T=3) yang dapat menyebabkan reduced rank pada robust SE, hasil OLS standar tetap dilaporkan sebagai model utama dengan justifikasi statistik Durbin-Watson yang menunjukkan tidak adanya autokorelasi residual.</w:t>
      </w:r>
    </w:p>
    <w:p>
      <w:pPr>
        <w:spacing w:line="360" w:lineRule="auto" w:before="240" w:after="240"/>
      </w:pPr>
      <w:r>
        <w:rPr>
          <w:rFonts w:ascii="Times New Roman" w:hAnsi="Times New Roman"/>
          <w:b/>
          <w:sz w:val="24"/>
        </w:rPr>
        <w:t>3.7.6 Software Analisis</w:t>
      </w:r>
    </w:p>
    <w:p>
      <w:pPr>
        <w:spacing w:line="360" w:lineRule="auto" w:after="120"/>
        <w:ind w:firstLine="720"/>
        <w:jc w:val="both"/>
      </w:pPr>
      <w:r>
        <w:rPr>
          <w:rFonts w:ascii="Times New Roman" w:hAnsi="Times New Roman"/>
          <w:b w:val="0"/>
          <w:i w:val="0"/>
          <w:sz w:val="24"/>
        </w:rPr>
        <w:t>Analisis data dilakukan menggunakan software EViews 12 untuk estimasi regresi data panel, uji pemilihan model, dan uji asumsi klasik.</w:t>
      </w:r>
    </w:p>
    <w:p>
      <w:r>
        <w:br w:type="page"/>
      </w:r>
    </w:p>
    <w:p>
      <w:pPr>
        <w:spacing w:line="360" w:lineRule="auto" w:before="240" w:after="240"/>
        <w:jc w:val="center"/>
      </w:pPr>
      <w:r>
        <w:rPr>
          <w:rFonts w:ascii="Times New Roman" w:hAnsi="Times New Roman"/>
          <w:b/>
          <w:sz w:val="28"/>
        </w:rPr>
        <w:t>DAFTAR PUSTAKA (SEMENTARA)</w:t>
      </w:r>
    </w:p>
    <w:p>
      <w:pPr>
        <w:spacing w:line="276" w:lineRule="auto" w:after="160"/>
        <w:ind w:hanging="720" w:left="720"/>
        <w:jc w:val="both"/>
      </w:pPr>
      <w:r>
        <w:rPr>
          <w:rFonts w:ascii="Times New Roman" w:hAnsi="Times New Roman"/>
          <w:sz w:val="22"/>
        </w:rPr>
        <w:t>Almakkiyah, M. (2026). Corruption Prevention Efforts Against Investment: Empirical Evidence in West Nusa Tenggara Province. Academia Open, 11(1).</w:t>
      </w:r>
    </w:p>
    <w:p>
      <w:pPr>
        <w:spacing w:line="276" w:lineRule="auto" w:after="160"/>
        <w:ind w:hanging="720" w:left="720"/>
        <w:jc w:val="both"/>
      </w:pPr>
      <w:r>
        <w:rPr>
          <w:rFonts w:ascii="Times New Roman" w:hAnsi="Times New Roman"/>
          <w:sz w:val="22"/>
        </w:rPr>
        <w:t>Aysan, A. F., Nabli, M. K., &amp; Véganzonès-Varoudakis, M. A. (2007). Governance institutions and private investment: An application to the Middle East and North Africa. The Developing Economies, 45(3), 339-377.</w:t>
      </w:r>
    </w:p>
    <w:p>
      <w:pPr>
        <w:spacing w:line="276" w:lineRule="auto" w:after="160"/>
        <w:ind w:hanging="720" w:left="720"/>
        <w:jc w:val="both"/>
      </w:pPr>
      <w:r>
        <w:rPr>
          <w:rFonts w:ascii="Times New Roman" w:hAnsi="Times New Roman"/>
          <w:sz w:val="22"/>
        </w:rPr>
        <w:t>Camargo, C. (2011). Public Sector Anti-Corruption Frameworks: Components for Accountable Governance. U4 Anti-Corruption Resource Centre.</w:t>
      </w:r>
    </w:p>
    <w:p>
      <w:pPr>
        <w:spacing w:line="276" w:lineRule="auto" w:after="160"/>
        <w:ind w:hanging="720" w:left="720"/>
        <w:jc w:val="both"/>
      </w:pPr>
      <w:r>
        <w:rPr>
          <w:rFonts w:ascii="Times New Roman" w:hAnsi="Times New Roman"/>
          <w:sz w:val="22"/>
        </w:rPr>
        <w:t>Coase, R. H. (1937). The Nature of the Firm. Economica, 4(16), 386-405.</w:t>
      </w:r>
    </w:p>
    <w:p>
      <w:pPr>
        <w:spacing w:line="276" w:lineRule="auto" w:after="160"/>
        <w:ind w:hanging="720" w:left="720"/>
        <w:jc w:val="both"/>
      </w:pPr>
      <w:r>
        <w:rPr>
          <w:rFonts w:ascii="Times New Roman" w:hAnsi="Times New Roman"/>
          <w:sz w:val="22"/>
        </w:rPr>
        <w:t>Globerman, S., Shapiro, D., &amp; Tang, Y. (2006). Foreign Direct Investment in Emerging and Transition European Countries. Journal of Multinational Financial Management, 16(2), 197-220.</w:t>
      </w:r>
    </w:p>
    <w:p>
      <w:pPr>
        <w:spacing w:line="276" w:lineRule="auto" w:after="160"/>
        <w:ind w:hanging="720" w:left="720"/>
        <w:jc w:val="both"/>
      </w:pPr>
      <w:r>
        <w:rPr>
          <w:rFonts w:ascii="Times New Roman" w:hAnsi="Times New Roman"/>
          <w:sz w:val="22"/>
        </w:rPr>
        <w:t>Klitgaard, R. (1988). Controlling Corruption. University of California Press.</w:t>
      </w:r>
    </w:p>
    <w:p>
      <w:pPr>
        <w:spacing w:line="276" w:lineRule="auto" w:after="160"/>
        <w:ind w:hanging="720" w:left="720"/>
        <w:jc w:val="both"/>
      </w:pPr>
      <w:r>
        <w:rPr>
          <w:rFonts w:ascii="Times New Roman" w:hAnsi="Times New Roman"/>
          <w:sz w:val="22"/>
        </w:rPr>
        <w:t>Mauro, P. (1995). Corruption and Growth. Quarterly Journal of Economics, 110(3), 681-712.</w:t>
      </w:r>
    </w:p>
    <w:p>
      <w:pPr>
        <w:spacing w:line="276" w:lineRule="auto" w:after="160"/>
        <w:ind w:hanging="720" w:left="720"/>
        <w:jc w:val="both"/>
      </w:pPr>
      <w:r>
        <w:rPr>
          <w:rFonts w:ascii="Times New Roman" w:hAnsi="Times New Roman"/>
          <w:sz w:val="22"/>
        </w:rPr>
        <w:t>Mengistu, A. A., &amp; Adhikary, B. K. (2011). Does good governance matter for FDI inflows? Evidence from Asian economies. Asia Pacific Business Review, 17(3), 281-299.</w:t>
      </w:r>
    </w:p>
    <w:p>
      <w:pPr>
        <w:spacing w:line="276" w:lineRule="auto" w:after="160"/>
        <w:ind w:hanging="720" w:left="720"/>
        <w:jc w:val="both"/>
      </w:pPr>
      <w:r>
        <w:rPr>
          <w:rFonts w:ascii="Times New Roman" w:hAnsi="Times New Roman"/>
          <w:sz w:val="22"/>
        </w:rPr>
        <w:t>North, D. C. (1991). Institutions. Journal of Economic Perspectives, 5(1), 97-112.</w:t>
      </w:r>
    </w:p>
    <w:p>
      <w:pPr>
        <w:spacing w:line="276" w:lineRule="auto" w:after="160"/>
        <w:ind w:hanging="720" w:left="720"/>
        <w:jc w:val="both"/>
      </w:pPr>
      <w:r>
        <w:rPr>
          <w:rFonts w:ascii="Times New Roman" w:hAnsi="Times New Roman"/>
          <w:sz w:val="22"/>
        </w:rPr>
        <w:t>Peres, M., Ameer, W., &amp; Xu, H. (2018). The impact of institutional quality on foreign direct investment inflows: evidence for developed and developing countries. Economic Research-Ekonomska Istraživanja, 31(1), 626-644.</w:t>
      </w:r>
    </w:p>
    <w:p>
      <w:pPr>
        <w:spacing w:line="276" w:lineRule="auto" w:after="160"/>
        <w:ind w:hanging="720" w:left="720"/>
        <w:jc w:val="both"/>
      </w:pPr>
      <w:r>
        <w:rPr>
          <w:rFonts w:ascii="Times New Roman" w:hAnsi="Times New Roman"/>
          <w:sz w:val="22"/>
        </w:rPr>
        <w:t>Tua, M., &amp; Mahi, B. R. (2022). Analysis of the effect of corruption prevention on private investment at the district/city level in Indonesia. Integritas: Jurnal Antikorupsi, 8(2), 247-258.</w:t>
      </w:r>
    </w:p>
    <w:p>
      <w:pPr>
        <w:spacing w:line="276" w:lineRule="auto" w:after="160"/>
        <w:ind w:hanging="720" w:left="720"/>
        <w:jc w:val="both"/>
      </w:pPr>
      <w:r>
        <w:rPr>
          <w:rFonts w:ascii="Times New Roman" w:hAnsi="Times New Roman"/>
          <w:sz w:val="22"/>
        </w:rPr>
        <w:t>Williamson, O. E. (2002). The Theory of the Firm as Governance Structure: From Choice to Contract. Journal of Economic Perspectives, 16(3), 171-195.</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