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60"/>
        <w:jc w:val="center"/>
      </w:pPr>
      <w:r>
        <w:rPr>
          <w:rFonts w:ascii="Times New Roman" w:hAnsi="Times New Roman"/>
          <w:b/>
          <w:sz w:val="28"/>
        </w:rPr>
        <w:t>BAB V</w:t>
      </w:r>
    </w:p>
    <w:p>
      <w:pPr>
        <w:spacing w:line="360" w:lineRule="auto" w:before="240" w:after="160"/>
        <w:jc w:val="center"/>
      </w:pPr>
      <w:r>
        <w:rPr>
          <w:rFonts w:ascii="Times New Roman" w:hAnsi="Times New Roman"/>
          <w:b/>
          <w:sz w:val="28"/>
        </w:rPr>
        <w:t>PENUTUP</w:t>
      </w:r>
    </w:p>
    <w:p>
      <w:pPr>
        <w:spacing w:line="360" w:lineRule="auto" w:before="240" w:after="160"/>
      </w:pPr>
      <w:r>
        <w:rPr>
          <w:rFonts w:ascii="Times New Roman" w:hAnsi="Times New Roman"/>
          <w:b/>
          <w:sz w:val="26"/>
        </w:rPr>
        <w:t>5.1 Kesimpulan</w:t>
      </w:r>
    </w:p>
    <w:p>
      <w:pPr>
        <w:spacing w:line="360" w:lineRule="auto" w:after="120"/>
        <w:jc w:val="both"/>
      </w:pPr>
      <w:r>
        <w:rPr>
          <w:rFonts w:ascii="Times New Roman" w:hAnsi="Times New Roman"/>
          <w:b w:val="0"/>
          <w:i w:val="0"/>
          <w:sz w:val="24"/>
        </w:rPr>
        <w:t>Berdasarkan hasil analisis dan pembahasan pada bab sebelumnya, dapat diambil kesimpulan sebagai berikut:</w:t>
      </w:r>
    </w:p>
    <w:p>
      <w:pPr>
        <w:spacing w:line="360" w:lineRule="auto" w:after="120"/>
        <w:ind w:left="720" w:hanging="340"/>
        <w:jc w:val="both"/>
      </w:pPr>
      <w:r>
        <w:rPr>
          <w:rFonts w:ascii="Times New Roman" w:hAnsi="Times New Roman"/>
          <w:sz w:val="24"/>
        </w:rPr>
        <w:t>1.   Dari tujuh komponen Monitoring Center for Prevention (MCP) yang diuji, hanya MCP Perizinan/Pelayanan Publik yang berpengaruh positif signifikan terhadap investasi Penanaman Modal Dalam Negeri (PMDN) di kabupaten/kota Provinsi Jawa Tengah periode 2023-2025 (β=0,0216; p=0,054). Sub-area MCP lainnya (Perencanaan-Penganggaran, Pengadaan, APIP, Manajemen ASN, Optimalisasi Pajak Daerah, dan Manajemen Aset) tidak menunjukkan pengaruh signifikan, demikian pula skor total MCP. Hal ini menunjukkan bahwa kontribusi MCP terhadap investasi terkonsentrasi pada satu sub-area kunci yaitu Perizinan yang langsung berinteraksi dengan investor swasta.</w:t>
      </w:r>
    </w:p>
    <w:p>
      <w:pPr>
        <w:spacing w:line="360" w:lineRule="auto" w:after="120"/>
        <w:ind w:left="720" w:hanging="340"/>
        <w:jc w:val="both"/>
      </w:pPr>
      <w:r>
        <w:rPr>
          <w:rFonts w:ascii="Times New Roman" w:hAnsi="Times New Roman"/>
          <w:sz w:val="24"/>
        </w:rPr>
        <w:t>2.   Jumlah temuan Badan Pemeriksa Keuangan (BPK) tidak terbukti memoderasi hubungan antara MCP Perizinan dan investasi PMDN, baik dalam bentuk total temuan, temuan Sistem Pengendalian Intern (SPI), maupun temuan Kepatuhan. Hal ini mengindikasikan bahwa kerangka dual governance yang menempatkan MCP sebagai pengawasan internal dan BPK sebagai pengawasan eksternal belum berfungsi efektif sebagai mekanisme yang saling memperkuat dalam mempengaruhi keputusan investasi.</w:t>
      </w:r>
    </w:p>
    <w:p>
      <w:pPr>
        <w:spacing w:line="360" w:lineRule="auto" w:after="120"/>
        <w:ind w:left="720" w:hanging="340"/>
        <w:jc w:val="both"/>
      </w:pPr>
      <w:r>
        <w:rPr>
          <w:rFonts w:ascii="Times New Roman" w:hAnsi="Times New Roman"/>
          <w:sz w:val="24"/>
        </w:rPr>
        <w:t>3.   Pengaruh MCP Perizinan terhadap investasi PMDN BERBEDA secara signifikan antara periode dengan kerangka indikator "Perizinan" (2023) dan "Pelayanan Publik" (2024-2025). Pengaruh signifikan baru muncul setelah revisi kerangka indikator KPK, dengan efek total β=0,054 pada periode 2024-2025 dibandingkan β=0,006 (tidak signifikan) pada 2023. Penambahan sub-indikator Standar Pelayanan, Survei Kepuasan Masyarakat, dan Layanan Publik Berintegritas membuat skor MCP lebih sensitif terhadap pengalaman aktual pengguna pelayanan, termasuk investor.</w:t>
      </w:r>
    </w:p>
    <w:p>
      <w:pPr>
        <w:spacing w:line="360" w:lineRule="auto" w:after="120"/>
        <w:ind w:left="720" w:hanging="340"/>
        <w:jc w:val="both"/>
      </w:pPr>
      <w:r>
        <w:rPr>
          <w:rFonts w:ascii="Times New Roman" w:hAnsi="Times New Roman"/>
          <w:sz w:val="24"/>
        </w:rPr>
        <w:t>4.   Variabel kontrol jumlah penduduk konsisten signifikan di seluruh model (β≈0,46; p&lt;0,01), mengindikasikan bahwa faktor pasar potensial (demografi) tetap menjadi determinan utama investasi PMDN di Jawa Tengah, melebihi pengaruh kualitas tata kelola.</w:t>
      </w:r>
    </w:p>
    <w:p>
      <w:pPr>
        <w:spacing w:line="360" w:lineRule="auto" w:before="240" w:after="160"/>
      </w:pPr>
      <w:r>
        <w:rPr>
          <w:rFonts w:ascii="Times New Roman" w:hAnsi="Times New Roman"/>
          <w:b/>
          <w:sz w:val="26"/>
        </w:rPr>
        <w:t>5.2 Implikasi Kebijakan</w:t>
      </w:r>
    </w:p>
    <w:p>
      <w:pPr>
        <w:spacing w:line="360" w:lineRule="auto" w:after="120"/>
        <w:jc w:val="both"/>
      </w:pPr>
      <w:r>
        <w:rPr>
          <w:rFonts w:ascii="Times New Roman" w:hAnsi="Times New Roman"/>
          <w:b w:val="0"/>
          <w:i w:val="0"/>
          <w:sz w:val="24"/>
        </w:rPr>
        <w:t>Berdasarkan kesimpulan tersebut, beberapa implikasi kebijakan dapat dirumuskan sebagai berikut:</w:t>
      </w:r>
    </w:p>
    <w:p>
      <w:pPr>
        <w:spacing w:line="360" w:lineRule="auto" w:after="120"/>
        <w:ind w:left="720" w:hanging="340"/>
        <w:jc w:val="both"/>
      </w:pPr>
      <w:r>
        <w:rPr>
          <w:rFonts w:ascii="Times New Roman" w:hAnsi="Times New Roman"/>
          <w:sz w:val="24"/>
        </w:rPr>
        <w:t>1.   Bagi pemerintah daerah Provinsi Jawa Tengah, prioritas reformasi tata kelola untuk peningkatan investasi sebaiknya difokuskan pada Pelayanan Terpadu Satu Pintu (PTSP) dan kualitas pelayanan publik secara komprehensif. Hal ini lebih efektif dibandingkan kebijakan tata kelola yang merata pada seluruh delapan sub-area MCP. Investasi pada perbaikan sistem perizinan online, transparansi tata ruang, standar pelayanan, dan responsivitas terhadap kepuasan masyarakat akan memberikan dampak langsung terhadap iklim investasi.</w:t>
      </w:r>
    </w:p>
    <w:p>
      <w:pPr>
        <w:spacing w:line="360" w:lineRule="auto" w:after="120"/>
        <w:ind w:left="720" w:hanging="340"/>
        <w:jc w:val="both"/>
      </w:pPr>
      <w:r>
        <w:rPr>
          <w:rFonts w:ascii="Times New Roman" w:hAnsi="Times New Roman"/>
          <w:sz w:val="24"/>
        </w:rPr>
        <w:t>2.   Bagi Komisi Pemberantasan Korupsi (KPK), penyempurnaan kerangka indikator MCP dari "Perizinan" menjadi "Pelayanan Publik" pada 2024 terbukti efektif dalam meningkatkan responsivitas investor. KPK perlu mempertahankan dan terus menyempurnakan substansi sub-indikator pelayanan publik dengan tetap menjaga konsistensi konseptual antar tahun untuk memungkinkan komparabilitas data.</w:t>
      </w:r>
    </w:p>
    <w:p>
      <w:pPr>
        <w:spacing w:line="360" w:lineRule="auto" w:after="120"/>
        <w:ind w:left="720" w:hanging="340"/>
        <w:jc w:val="both"/>
      </w:pPr>
      <w:r>
        <w:rPr>
          <w:rFonts w:ascii="Times New Roman" w:hAnsi="Times New Roman"/>
          <w:sz w:val="24"/>
        </w:rPr>
        <w:t>3.   Bagi Badan Pemeriksa Keuangan (BPK), perlu dipertimbangkan strategi diseminasi hasil pemeriksaan yang lebih luas dan tepat sasaran kepada calon investor sebagai sinyal kualitas tata kelola daerah, sehingga temuan BPK dapat berfungsi efektif sebagai bagian dari kerangka dual governance yang berdampak pada keputusan investasi.</w:t>
      </w:r>
    </w:p>
    <w:p>
      <w:pPr>
        <w:spacing w:line="360" w:lineRule="auto" w:after="120"/>
        <w:ind w:left="720" w:hanging="340"/>
        <w:jc w:val="both"/>
      </w:pPr>
      <w:r>
        <w:rPr>
          <w:rFonts w:ascii="Times New Roman" w:hAnsi="Times New Roman"/>
          <w:sz w:val="24"/>
        </w:rPr>
        <w:t>4.   Bagi calon investor swasta, penilaian iklim investasi suatu daerah sebaiknya tidak hanya berdasarkan skor agregat tata kelola, tetapi juga memperhatikan kualitas spesifik sub-area Perizinan/Pelayanan Publik yang menjadi indikator paling responsif terhadap kemudahan berusaha.</w:t>
      </w:r>
    </w:p>
    <w:p>
      <w:pPr>
        <w:spacing w:line="360" w:lineRule="auto" w:before="240" w:after="160"/>
      </w:pPr>
      <w:r>
        <w:rPr>
          <w:rFonts w:ascii="Times New Roman" w:hAnsi="Times New Roman"/>
          <w:b/>
          <w:sz w:val="26"/>
        </w:rPr>
        <w:t>5.3 Keterbatasan Penelitian</w:t>
      </w:r>
    </w:p>
    <w:p>
      <w:pPr>
        <w:spacing w:line="360" w:lineRule="auto" w:after="120"/>
        <w:jc w:val="both"/>
      </w:pPr>
      <w:r>
        <w:rPr>
          <w:rFonts w:ascii="Times New Roman" w:hAnsi="Times New Roman"/>
          <w:b w:val="0"/>
          <w:i w:val="0"/>
          <w:sz w:val="24"/>
        </w:rPr>
        <w:t>Penelitian ini memiliki beberapa keterbatasan yang perlu diakui:</w:t>
      </w:r>
    </w:p>
    <w:p>
      <w:pPr>
        <w:spacing w:line="360" w:lineRule="auto" w:after="120"/>
        <w:ind w:left="720" w:hanging="340"/>
        <w:jc w:val="both"/>
      </w:pPr>
      <w:r>
        <w:rPr>
          <w:rFonts w:ascii="Times New Roman" w:hAnsi="Times New Roman"/>
          <w:sz w:val="24"/>
        </w:rPr>
        <w:t>1.   Periode pengamatan relatif pendek (T=3 tahun) sehingga membatasi power statistik dan kemampuan menangkap dinamika jangka panjang. Khususnya, estimasi robust standard error dengan metode White cross-section menghasilkan reduced rank covariance matrix karena keterbatasan jumlah periode. Periode dipilih untuk menjaga konsistensi kerangka indikator MCP, namun perlu pengujian lanjutan dengan periode lebih panjang ketika data tersedia.</w:t>
      </w:r>
    </w:p>
    <w:p>
      <w:pPr>
        <w:spacing w:line="360" w:lineRule="auto" w:after="120"/>
        <w:ind w:left="720" w:hanging="340"/>
        <w:jc w:val="both"/>
      </w:pPr>
      <w:r>
        <w:rPr>
          <w:rFonts w:ascii="Times New Roman" w:hAnsi="Times New Roman"/>
          <w:sz w:val="24"/>
        </w:rPr>
        <w:t>2.   Variansi skor MCP relatif rendah karena banyak kabupaten/kota di Jawa Tengah telah mencapai skor mendekati 100, sehingga sensitivitas estimasi pengaruh MCP terhadap investasi terbatas. Hal ini menjelaskan mengapa hanya satu komponen (Perizinan) yang terdeteksi signifikan.</w:t>
      </w:r>
    </w:p>
    <w:p>
      <w:pPr>
        <w:spacing w:line="360" w:lineRule="auto" w:after="120"/>
        <w:ind w:left="720" w:hanging="340"/>
        <w:jc w:val="both"/>
      </w:pPr>
      <w:r>
        <w:rPr>
          <w:rFonts w:ascii="Times New Roman" w:hAnsi="Times New Roman"/>
          <w:sz w:val="24"/>
        </w:rPr>
        <w:t>3.   Perubahan label sub-area MCP dari "Perizinan" (2023) menjadi "Pelayanan Publik" (2024-2025) merupakan keterbatasan komparabilitas, meskipun sub-indikator yang diukur sebagian besar serupa (kompatibilitas sekitar 64%). Penelitian telah mengakomodasi hal ini melalui uji structural break, namun keterbatasan tetap perlu diakui.</w:t>
      </w:r>
    </w:p>
    <w:p>
      <w:pPr>
        <w:spacing w:line="360" w:lineRule="auto" w:after="120"/>
        <w:ind w:left="720" w:hanging="340"/>
        <w:jc w:val="both"/>
      </w:pPr>
      <w:r>
        <w:rPr>
          <w:rFonts w:ascii="Times New Roman" w:hAnsi="Times New Roman"/>
          <w:sz w:val="24"/>
        </w:rPr>
        <w:t>4.   Penelitian ini fokus pada Provinsi Jawa Tengah dengan karakteristik unik (rata-rata MCP tinggi, ekonomi heterogen Pantura-pegunungan), sehingga generalisasi temuan ke provinsi lain perlu dilakukan dengan hati-hati.</w:t>
      </w:r>
    </w:p>
    <w:p>
      <w:pPr>
        <w:spacing w:line="360" w:lineRule="auto" w:after="120"/>
        <w:ind w:left="720" w:hanging="340"/>
        <w:jc w:val="both"/>
      </w:pPr>
      <w:r>
        <w:rPr>
          <w:rFonts w:ascii="Times New Roman" w:hAnsi="Times New Roman"/>
          <w:sz w:val="24"/>
        </w:rPr>
        <w:t>5.   Variabel kontrol yang digunakan terbatas pada faktor demografi (jumlah penduduk). Faktor lain seperti infrastruktur, modal manusia, kepastian hukum, dan stabilitas politik daerah belum diakomodasi dalam model.</w:t>
      </w:r>
    </w:p>
    <w:p>
      <w:pPr>
        <w:spacing w:line="360" w:lineRule="auto" w:before="240" w:after="160"/>
      </w:pPr>
      <w:r>
        <w:rPr>
          <w:rFonts w:ascii="Times New Roman" w:hAnsi="Times New Roman"/>
          <w:b/>
          <w:sz w:val="26"/>
        </w:rPr>
        <w:t>5.4 Saran untuk Penelitian Selanjutnya</w:t>
      </w:r>
    </w:p>
    <w:p>
      <w:pPr>
        <w:spacing w:line="360" w:lineRule="auto" w:after="120"/>
        <w:jc w:val="both"/>
      </w:pPr>
      <w:r>
        <w:rPr>
          <w:rFonts w:ascii="Times New Roman" w:hAnsi="Times New Roman"/>
          <w:b w:val="0"/>
          <w:i w:val="0"/>
          <w:sz w:val="24"/>
        </w:rPr>
        <w:t>Berdasarkan keterbatasan tersebut, beberapa saran untuk penelitian selanjutnya:</w:t>
      </w:r>
    </w:p>
    <w:p>
      <w:pPr>
        <w:spacing w:line="360" w:lineRule="auto" w:after="120"/>
        <w:ind w:left="720" w:hanging="340"/>
        <w:jc w:val="both"/>
      </w:pPr>
      <w:r>
        <w:rPr>
          <w:rFonts w:ascii="Times New Roman" w:hAnsi="Times New Roman"/>
          <w:sz w:val="24"/>
        </w:rPr>
        <w:t>1.   Memperluas periode pengamatan ke 2026 dan tahun-tahun berikutnya ketika data tersedia, dengan tetap menjaga konsistensi kerangka indikator MCP untuk memungkinkan komparasi yang valid antar periode.</w:t>
      </w:r>
    </w:p>
    <w:p>
      <w:pPr>
        <w:spacing w:line="360" w:lineRule="auto" w:after="120"/>
        <w:ind w:left="720" w:hanging="340"/>
        <w:jc w:val="both"/>
      </w:pPr>
      <w:r>
        <w:rPr>
          <w:rFonts w:ascii="Times New Roman" w:hAnsi="Times New Roman"/>
          <w:sz w:val="24"/>
        </w:rPr>
        <w:t>2.   Memperluas wilayah penelitian ke provinsi lain di Pulau Jawa atau tingkat nasional untuk menguji generalisasi temuan dan membandingkan pengaruh komponen MCP antar konteks regional yang berbeda.</w:t>
      </w:r>
    </w:p>
    <w:p>
      <w:pPr>
        <w:spacing w:line="360" w:lineRule="auto" w:after="120"/>
        <w:ind w:left="720" w:hanging="340"/>
        <w:jc w:val="both"/>
      </w:pPr>
      <w:r>
        <w:rPr>
          <w:rFonts w:ascii="Times New Roman" w:hAnsi="Times New Roman"/>
          <w:sz w:val="24"/>
        </w:rPr>
        <w:t>3.   Menambahkan variabel kontrol struktural lain seperti infrastruktur (panjang jalan, akses listrik), modal manusia (rata-rata lama sekolah), tingkat partisipasi angkatan kerja, dan PDRB per kapita untuk meningkatkan daya jelas model.</w:t>
      </w:r>
    </w:p>
    <w:p>
      <w:pPr>
        <w:spacing w:line="360" w:lineRule="auto" w:after="120"/>
        <w:ind w:left="720" w:hanging="340"/>
        <w:jc w:val="both"/>
      </w:pPr>
      <w:r>
        <w:rPr>
          <w:rFonts w:ascii="Times New Roman" w:hAnsi="Times New Roman"/>
          <w:sz w:val="24"/>
        </w:rPr>
        <w:t>4.   Mengeksplorasi penggunaan data sub-indikator mentah dari KPK (bukan skor agregat 0-100) untuk meningkatkan variansi variabel MCP dan memperkaya informasi yang dianalisis.</w:t>
      </w:r>
    </w:p>
    <w:p>
      <w:pPr>
        <w:spacing w:line="360" w:lineRule="auto" w:after="120"/>
        <w:ind w:left="720" w:hanging="340"/>
        <w:jc w:val="both"/>
      </w:pPr>
      <w:r>
        <w:rPr>
          <w:rFonts w:ascii="Times New Roman" w:hAnsi="Times New Roman"/>
          <w:sz w:val="24"/>
        </w:rPr>
        <w:t>5.   Mengembangkan model yang membedakan jenis investasi (manufaktur, jasa, perdagangan, properti) untuk menguji apakah sensitivitas terhadap MCP berbeda antar sektor ekonomi.</w:t>
      </w:r>
    </w:p>
    <w:p>
      <w:pPr>
        <w:spacing w:line="360" w:lineRule="auto" w:after="120"/>
        <w:ind w:left="720" w:hanging="340"/>
        <w:jc w:val="both"/>
      </w:pPr>
      <w:r>
        <w:rPr>
          <w:rFonts w:ascii="Times New Roman" w:hAnsi="Times New Roman"/>
          <w:sz w:val="24"/>
        </w:rPr>
        <w:t>6.   Melengkapi kerangka dual governance dengan variabel pengawasan eksternal lain seperti opini BPK (WTP/WDP), indeks Sistem Akuntabilitas Kinerja Instansi Pemerintah (SAKIP), atau indeks tata kelola pemerintahan daerah yang lebih komprehensif.</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