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Fundamental Concepts: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Attribute: A characteristic or feature of a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Sample: An individual data point or instance within a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Similarity Calculations: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Mixed Types of Attributes: Handling different data types (e.g., numerical, categorical) in similarity calculations.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Normalization: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Min-Max: Scaling data between a specified range (typically 0 to 1).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Z-Score: Scaling data based on mean and standard deviation.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Decimal: Scaling data by shifting the decimal point.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Distance Calculation: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Manhattan: Sum of the absolute differences between corresponding attributes' values.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Chi-Square Test: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Statistical test to determine if there is a significant association between categorical variables in a contingency table.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Information Gain: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Measure of the effectiveness of a feature in classifying a dataset.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Gini Index: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Measure of impurity or disorder in a dataset's target variable.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Converting Ordinal Values to Numeric: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Assigning numerical values to ordinal categories while preserving their order.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Smoothing: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Mean or Median: Techniques to reduce noise or irregularities in data by replacing extreme values with the average or median.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Correlation from Scatter Plot: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Understanding the relationship between two variables based on the pattern observed in a scatter plot.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Histogram and Boxplot: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Histogram: A graphical representation of the distribution of numerical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Boxplot: A visual summary of data distribution through quartiles.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Cosine Similarity: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Measure of similarity between two non-zero vectors in an inner product space.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Define TP, TN, FP, FN: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TP (True Positive): Correctly predicted positive instances.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TN (True Negative): Correctly predicted negative instances.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FP (False Positive): Incorrectly predicted as positive.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FN (False Negative): Incorrectly predicted as negative.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