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e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75C637F">
      <w:pPr>
        <w:jc w:val="center"/>
      </w:pPr>
      <w:r>
        <w:rPr>
          <w:rFonts w:ascii="Arial" w:hAnsi="Arial" w:eastAsia="Arial"/>
          <w:b/>
          <w:color w:val="000000"/>
          <w:sz w:val="32"/>
        </w:rPr>
        <w:t>Reflection Report</w:t>
      </w:r>
    </w:p>
    <w:p w14:paraId="39A87CA4">
      <w:pPr>
        <w:jc w:val="center"/>
      </w:pPr>
      <w:r>
        <w:rPr>
          <w:rFonts w:ascii="Arial" w:hAnsi="Arial" w:eastAsia="Arial"/>
          <w:b/>
          <w:color w:val="000000"/>
          <w:sz w:val="21"/>
        </w:rPr>
        <w:t>ACC102 Mini Assignment - Track 2</w:t>
      </w:r>
    </w:p>
    <w:p w14:paraId="3CBEC9EA">
      <w:pPr>
        <w:jc w:val="center"/>
        <w:rPr>
          <w:rFonts w:hint="eastAsia" w:eastAsia="宋体"/>
          <w:color w:val="000000"/>
          <w:sz w:val="21"/>
          <w:lang w:val="en-US" w:eastAsia="zh-CN"/>
        </w:rPr>
      </w:pPr>
      <w:r>
        <w:rPr>
          <w:rFonts w:ascii="Arial" w:hAnsi="Arial" w:eastAsia="Arial"/>
          <w:color w:val="000000"/>
          <w:sz w:val="21"/>
        </w:rPr>
        <w:t xml:space="preserve">Student: </w:t>
      </w:r>
      <w:r>
        <w:rPr>
          <w:rFonts w:hint="eastAsia" w:eastAsia="宋体"/>
          <w:color w:val="000000"/>
          <w:sz w:val="21"/>
          <w:lang w:val="en-US" w:eastAsia="zh-CN"/>
        </w:rPr>
        <w:t>Ningyuan.Zhang</w:t>
      </w:r>
      <w:r>
        <w:rPr>
          <w:rFonts w:ascii="Arial" w:hAnsi="Arial" w:eastAsia="Arial"/>
          <w:color w:val="000000"/>
          <w:sz w:val="21"/>
        </w:rPr>
        <w:t xml:space="preserve"> | Student ID: </w:t>
      </w:r>
      <w:r>
        <w:rPr>
          <w:rFonts w:hint="eastAsia" w:eastAsia="宋体"/>
          <w:color w:val="000000"/>
          <w:sz w:val="21"/>
          <w:lang w:val="en-US" w:eastAsia="zh-CN"/>
        </w:rPr>
        <w:t>2473117</w:t>
      </w:r>
    </w:p>
    <w:p w14:paraId="35449CFB">
      <w:pPr>
        <w:jc w:val="center"/>
      </w:pPr>
      <w:r>
        <w:rPr>
          <w:rFonts w:ascii="Arial" w:hAnsi="Arial" w:eastAsia="Arial"/>
          <w:color w:val="000000"/>
          <w:sz w:val="21"/>
        </w:rPr>
        <w:t xml:space="preserve">Word count: </w:t>
      </w:r>
      <w:r>
        <w:rPr>
          <w:rFonts w:hint="eastAsia" w:eastAsia="宋体"/>
          <w:color w:val="000000"/>
          <w:sz w:val="21"/>
          <w:lang w:val="en-US" w:eastAsia="zh-CN"/>
        </w:rPr>
        <w:t>745</w:t>
      </w:r>
      <w:r>
        <w:rPr>
          <w:rFonts w:ascii="Arial" w:hAnsi="Arial" w:eastAsia="Arial"/>
          <w:color w:val="000000"/>
          <w:sz w:val="21"/>
        </w:rPr>
        <w:t xml:space="preserve"> words</w:t>
      </w:r>
    </w:p>
    <w:p w14:paraId="78AF052E">
      <w:pPr>
        <w:spacing w:before="160" w:after="60"/>
      </w:pPr>
      <w:r>
        <w:rPr>
          <w:rFonts w:ascii="Arial" w:hAnsi="Arial" w:eastAsia="Arial"/>
          <w:b/>
          <w:color w:val="000000"/>
          <w:sz w:val="24"/>
        </w:rPr>
        <w:t>1. Analytical Problem and Target User</w:t>
      </w:r>
    </w:p>
    <w:p w14:paraId="788F8F8F">
      <w:pPr>
        <w:spacing w:after="80" w:line="259" w:lineRule="auto"/>
        <w:ind w:firstLine="360"/>
      </w:pPr>
      <w:r>
        <w:rPr>
          <w:rFonts w:ascii="Arial" w:hAnsi="Arial" w:eastAsia="Arial"/>
          <w:color w:val="000000"/>
          <w:sz w:val="21"/>
        </w:rPr>
        <w:t>The main problem in this project was whether audit-related variables can help identify firms that are likely to be classified as high risk. I chose this topic because audit risk is not easy to judge from one number alone. Auditors usually need to look at several indicators before deciding which cases need attention.</w:t>
      </w:r>
    </w:p>
    <w:p w14:paraId="18891AEA">
      <w:pPr>
        <w:spacing w:after="80" w:line="259" w:lineRule="auto"/>
        <w:ind w:firstLine="360"/>
      </w:pPr>
      <w:r>
        <w:rPr>
          <w:rFonts w:ascii="Arial" w:hAnsi="Arial" w:eastAsia="Arial"/>
          <w:color w:val="000000"/>
          <w:sz w:val="21"/>
        </w:rPr>
        <w:t>The target user is a junior auditor, accounting student, or manager who wants a simple first-stage screening tool. The notebook is not meant to replace professional judgement. It helps users notice possible high-risk cases earlier and understand which variables may be useful in audit planning.</w:t>
      </w:r>
    </w:p>
    <w:p w14:paraId="45FBE10A">
      <w:pPr>
        <w:spacing w:before="160" w:after="60"/>
      </w:pPr>
      <w:r>
        <w:rPr>
          <w:rFonts w:ascii="Arial" w:hAnsi="Arial" w:eastAsia="Arial"/>
          <w:b/>
          <w:color w:val="000000"/>
          <w:sz w:val="24"/>
        </w:rPr>
        <w:t>2. Dataset Description and Selection Rationale</w:t>
      </w:r>
    </w:p>
    <w:p w14:paraId="5BC38B07">
      <w:pPr>
        <w:spacing w:after="80" w:line="259" w:lineRule="auto"/>
        <w:ind w:firstLine="360"/>
      </w:pPr>
      <w:r>
        <w:rPr>
          <w:rFonts w:ascii="Arial" w:hAnsi="Arial" w:eastAsia="Arial"/>
          <w:color w:val="000000"/>
          <w:sz w:val="21"/>
        </w:rPr>
        <w:t>I used the Audit Risk dataset from Kaggle, accessed in April 2026. The project file is audit.csv. It contains audit-related and financial variables, together with the target variable Risk. I selected this dataset because it is directly related to accounting and auditing. It is also small enough to be stored in the same repository as the notebook, which makes the project easy to run.</w:t>
      </w:r>
    </w:p>
    <w:p w14:paraId="5D888B8B">
      <w:pPr>
        <w:spacing w:before="160" w:after="60"/>
      </w:pPr>
      <w:r>
        <w:rPr>
          <w:rFonts w:ascii="Arial" w:hAnsi="Arial" w:eastAsia="Arial"/>
          <w:b/>
          <w:color w:val="000000"/>
          <w:sz w:val="24"/>
        </w:rPr>
        <w:t>3. Python Methods Used</w:t>
      </w:r>
    </w:p>
    <w:p w14:paraId="735BF4BC">
      <w:pPr>
        <w:spacing w:after="80" w:line="259" w:lineRule="auto"/>
        <w:ind w:firstLine="360"/>
      </w:pPr>
      <w:r>
        <w:rPr>
          <w:rFonts w:ascii="Arial" w:hAnsi="Arial" w:eastAsia="Arial"/>
          <w:color w:val="000000"/>
          <w:sz w:val="21"/>
        </w:rPr>
        <w:t>I used Python with pandas, matplotlib, seaborn, and scikit-learn. The notebook starts by loading the data, checking missing values, and examining the target variable. I then used exploratory analysis to understand variable distributions and class balance.</w:t>
      </w:r>
    </w:p>
    <w:p w14:paraId="61AE4609">
      <w:pPr>
        <w:spacing w:after="80" w:line="259" w:lineRule="auto"/>
        <w:ind w:firstLine="360"/>
      </w:pPr>
      <w:r>
        <w:rPr>
          <w:rFonts w:ascii="Arial" w:hAnsi="Arial" w:eastAsia="Arial"/>
          <w:color w:val="000000"/>
          <w:sz w:val="21"/>
        </w:rPr>
        <w:t>I created a few simple derived features while keeping them understandable. One important decision was to consider possible target leakage. Some variables are very close to the final risk label, so I removed the most obvious leakage-risk variables before modelling. This made the results less artificially impressive, but more reasonable.</w:t>
      </w:r>
    </w:p>
    <w:p w14:paraId="2AD66EE4">
      <w:pPr>
        <w:spacing w:after="80" w:line="259" w:lineRule="auto"/>
        <w:ind w:firstLine="360"/>
      </w:pPr>
      <w:r>
        <w:rPr>
          <w:rFonts w:ascii="Arial" w:hAnsi="Arial" w:eastAsia="Arial"/>
          <w:color w:val="000000"/>
          <w:sz w:val="21"/>
        </w:rPr>
        <w:t>For modelling, I compared Logistic Regression, Random Forest, and Gradient Boosting using a train-test split and a preprocessing pipeline. I also used cross-validation and permutation importance to interpret which variables had more influence on prediction.</w:t>
      </w:r>
    </w:p>
    <w:p w14:paraId="37EFA140">
      <w:pPr>
        <w:spacing w:before="160" w:after="60"/>
      </w:pPr>
      <w:r>
        <w:rPr>
          <w:rFonts w:ascii="Arial" w:hAnsi="Arial" w:eastAsia="Arial"/>
          <w:b/>
          <w:color w:val="000000"/>
          <w:sz w:val="24"/>
        </w:rPr>
        <w:t>4. Main Insights and Outputs</w:t>
      </w:r>
    </w:p>
    <w:p w14:paraId="74872FD5">
      <w:pPr>
        <w:spacing w:after="80" w:line="259" w:lineRule="auto"/>
        <w:ind w:firstLine="360"/>
      </w:pPr>
      <w:r>
        <w:rPr>
          <w:rFonts w:ascii="Arial" w:hAnsi="Arial" w:eastAsia="Arial"/>
          <w:color w:val="000000"/>
          <w:sz w:val="21"/>
        </w:rPr>
        <w:t>The main insight is that audit risk classification should not rely on one variable only. Combining several indicators gives a clearer view of possible risk. The tree-based models performed better than the simpler linear model, suggesting that the relationship between inputs and the final risk label may not be completely linear.</w:t>
      </w:r>
    </w:p>
    <w:p w14:paraId="1972CECC">
      <w:pPr>
        <w:spacing w:after="80" w:line="259" w:lineRule="auto"/>
        <w:ind w:firstLine="360"/>
      </w:pPr>
      <w:r>
        <w:rPr>
          <w:rFonts w:ascii="Arial" w:hAnsi="Arial" w:eastAsia="Arial"/>
          <w:color w:val="000000"/>
          <w:sz w:val="21"/>
        </w:rPr>
        <w:t>Model performance also needs careful interpretation. A very high score can look attractive, but in this dataset it may indicate target leakage. This made me more cautious about judging the model only by accuracy. In an audit context, recall is especially important because missing a risky case can be more serious than wrongly flagging a normal one.</w:t>
      </w:r>
    </w:p>
    <w:p w14:paraId="0F356D40">
      <w:pPr>
        <w:spacing w:before="160" w:after="60"/>
      </w:pPr>
      <w:r>
        <w:rPr>
          <w:rFonts w:ascii="Arial" w:hAnsi="Arial" w:eastAsia="Arial"/>
          <w:b/>
          <w:color w:val="000000"/>
          <w:sz w:val="24"/>
        </w:rPr>
        <w:t>5. Limitations and Possible Improvements</w:t>
      </w:r>
    </w:p>
    <w:p w14:paraId="643763DF">
      <w:pPr>
        <w:spacing w:after="80" w:line="259" w:lineRule="auto"/>
        <w:ind w:firstLine="360"/>
      </w:pPr>
      <w:r>
        <w:rPr>
          <w:rFonts w:ascii="Arial" w:hAnsi="Arial" w:eastAsia="Arial"/>
          <w:color w:val="000000"/>
          <w:sz w:val="21"/>
        </w:rPr>
        <w:t>This project has several limitations. First, the dataset is relatively small, so the results should not be treated as a complete audit system. Second, the model depends on the quality and meaning of the available variables. If some variables are too close to the final label, the model may appear stronger than it really is. Third, the notebook is a classroom-level decision-support project, not a professional audit tool.</w:t>
      </w:r>
    </w:p>
    <w:p w14:paraId="2DD1BC96">
      <w:pPr>
        <w:spacing w:after="80" w:line="259" w:lineRule="auto"/>
        <w:ind w:firstLine="360"/>
      </w:pPr>
      <w:r>
        <w:rPr>
          <w:rFonts w:ascii="Arial" w:hAnsi="Arial" w:eastAsia="Arial"/>
          <w:color w:val="000000"/>
          <w:sz w:val="21"/>
        </w:rPr>
        <w:t>If I continued this project, I would test another audit dataset, improve the feature explanation, and possibly turn the output into a simple interactive dashboard.</w:t>
      </w:r>
    </w:p>
    <w:p w14:paraId="5F8FC0B0">
      <w:pPr>
        <w:spacing w:before="160" w:after="60"/>
      </w:pPr>
      <w:r>
        <w:rPr>
          <w:rFonts w:ascii="Arial" w:hAnsi="Arial" w:eastAsia="Arial"/>
          <w:b/>
          <w:color w:val="000000"/>
          <w:sz w:val="24"/>
        </w:rPr>
        <w:t>6. Personal Contribution, Decisions, and Learning</w:t>
      </w:r>
    </w:p>
    <w:p w14:paraId="6616FF9E">
      <w:pPr>
        <w:spacing w:after="80" w:line="259" w:lineRule="auto"/>
        <w:ind w:firstLine="360"/>
      </w:pPr>
      <w:r>
        <w:rPr>
          <w:rFonts w:ascii="Arial" w:hAnsi="Arial" w:eastAsia="Arial"/>
          <w:color w:val="000000"/>
          <w:sz w:val="21"/>
        </w:rPr>
        <w:t>The main decisions I made were choosing a local Kaggle dataset, keeping the workflow reproducible, and balancing model performance with a more honest treatment of target leakage. I learned that building a useful data product is different from just building a model. The notebook needs to be understandable to the intended user, not only technically correct.</w:t>
      </w:r>
    </w:p>
    <w:p w14:paraId="40EC5169">
      <w:pPr>
        <w:spacing w:after="80" w:line="259" w:lineRule="auto"/>
        <w:ind w:firstLine="360"/>
      </w:pPr>
      <w:r>
        <w:rPr>
          <w:rFonts w:ascii="Arial" w:hAnsi="Arial" w:eastAsia="Arial"/>
          <w:color w:val="000000"/>
          <w:sz w:val="21"/>
        </w:rPr>
        <w:t>I also learned that practical details matter. File paths, package requirements, running order, and clear markdown explanations can affect whether a project feels reliable. Overall, this project helped me understand how Python can support audit analytics while still requiring professional judgement.</w:t>
      </w:r>
    </w:p>
    <w:p w14:paraId="1F8C41C3">
      <w:pPr>
        <w:spacing w:before="160" w:after="60"/>
      </w:pPr>
      <w:r>
        <w:rPr>
          <w:rFonts w:ascii="Arial" w:hAnsi="Arial" w:eastAsia="Arial"/>
          <w:b/>
          <w:color w:val="000000"/>
          <w:sz w:val="24"/>
        </w:rPr>
        <w:t>AI Disclosure</w:t>
      </w:r>
    </w:p>
    <w:p w14:paraId="34AD19B4">
      <w:pPr>
        <w:spacing w:after="80" w:line="259" w:lineRule="auto"/>
        <w:ind w:firstLine="360"/>
      </w:pPr>
      <w:r>
        <w:rPr>
          <w:rFonts w:ascii="Arial" w:hAnsi="Arial" w:eastAsia="Arial"/>
          <w:color w:val="000000"/>
          <w:sz w:val="21"/>
        </w:rPr>
        <w:t>Tool used: OpenAI ChatGPT (GPT-5.5 Thinking)</w:t>
      </w:r>
    </w:p>
    <w:p w14:paraId="49FDA727">
      <w:pPr>
        <w:spacing w:after="80" w:line="259" w:lineRule="auto"/>
        <w:ind w:firstLine="360"/>
      </w:pPr>
      <w:r>
        <w:rPr>
          <w:rFonts w:ascii="Arial" w:hAnsi="Arial" w:eastAsia="Arial"/>
          <w:color w:val="000000"/>
          <w:sz w:val="21"/>
        </w:rPr>
        <w:t>Access date: April 2026</w:t>
      </w:r>
    </w:p>
    <w:p w14:paraId="55B66B53">
      <w:pPr>
        <w:spacing w:after="80" w:line="259" w:lineRule="auto"/>
        <w:ind w:firstLine="360"/>
        <w:rPr>
          <w:rFonts w:ascii="Arial" w:hAnsi="Arial" w:eastAsia="Arial"/>
          <w:color w:val="000000"/>
          <w:sz w:val="21"/>
        </w:rPr>
      </w:pPr>
      <w:r>
        <w:rPr>
          <w:rFonts w:ascii="Arial" w:hAnsi="Arial" w:eastAsia="Arial"/>
          <w:color w:val="000000"/>
          <w:sz w:val="21"/>
        </w:rPr>
        <w:t>Purpose: assistance with code writing support, code debugging, code structure suggestions, and language polishing for parts of the notebook and reflectio</w:t>
      </w:r>
      <w:bookmarkStart w:id="0" w:name="_GoBack"/>
      <w:bookmarkEnd w:id="0"/>
      <w:r>
        <w:rPr>
          <w:rFonts w:ascii="Arial" w:hAnsi="Arial" w:eastAsia="Arial"/>
          <w:color w:val="000000"/>
          <w:sz w:val="21"/>
        </w:rPr>
        <w:t>n report.</w:t>
      </w:r>
    </w:p>
    <w:p w14:paraId="5F7E2091">
      <w:pPr>
        <w:spacing w:after="80" w:line="259" w:lineRule="auto"/>
        <w:ind w:firstLine="360"/>
        <w:rPr>
          <w:rFonts w:hint="eastAsia" w:ascii="Arial" w:hAnsi="Arial" w:eastAsia="Arial"/>
          <w:color w:val="000000"/>
          <w:sz w:val="21"/>
        </w:rPr>
      </w:pPr>
      <w:r>
        <w:rPr>
          <w:rFonts w:hint="eastAsia" w:ascii="Arial" w:hAnsi="Arial" w:eastAsia="Arial"/>
          <w:color w:val="000000"/>
          <w:sz w:val="21"/>
        </w:rPr>
        <w:t>Example prompts used:</w:t>
      </w:r>
    </w:p>
    <w:p w14:paraId="0078BC68">
      <w:pPr>
        <w:spacing w:after="80" w:line="259" w:lineRule="auto"/>
        <w:ind w:firstLine="720" w:firstLineChars="0"/>
        <w:rPr>
          <w:rFonts w:hint="eastAsia" w:ascii="Arial" w:hAnsi="Arial" w:eastAsia="Arial"/>
          <w:color w:val="000000"/>
          <w:sz w:val="21"/>
        </w:rPr>
      </w:pPr>
      <w:r>
        <w:rPr>
          <w:rFonts w:hint="eastAsia" w:ascii="Arial" w:hAnsi="Arial" w:eastAsia="Arial"/>
          <w:color w:val="000000"/>
          <w:sz w:val="21"/>
        </w:rPr>
        <w:t>1. “Please help me check why this notebook code cannot run.”</w:t>
      </w:r>
    </w:p>
    <w:p w14:paraId="354564F0">
      <w:pPr>
        <w:spacing w:after="80" w:line="259" w:lineRule="auto"/>
        <w:ind w:firstLine="720" w:firstLineChars="0"/>
        <w:rPr>
          <w:rFonts w:hint="eastAsia" w:ascii="Arial" w:hAnsi="Arial" w:eastAsia="Arial"/>
          <w:color w:val="000000"/>
          <w:sz w:val="21"/>
        </w:rPr>
      </w:pPr>
      <w:r>
        <w:rPr>
          <w:rFonts w:hint="eastAsia" w:ascii="Arial" w:hAnsi="Arial" w:eastAsia="Arial"/>
          <w:color w:val="000000"/>
          <w:sz w:val="21"/>
        </w:rPr>
        <w:t>2. “Please help me improve the reflection report so that it meets the ACC102 requirements.”</w:t>
      </w:r>
    </w:p>
    <w:p w14:paraId="208CBC4F">
      <w:pPr>
        <w:spacing w:after="80" w:line="259" w:lineRule="auto"/>
        <w:ind w:firstLine="720" w:firstLineChars="0"/>
        <w:rPr>
          <w:rFonts w:hint="eastAsia" w:ascii="Arial" w:hAnsi="Arial" w:eastAsia="Arial"/>
          <w:color w:val="000000"/>
          <w:sz w:val="21"/>
        </w:rPr>
      </w:pPr>
      <w:r>
        <w:rPr>
          <w:rFonts w:hint="eastAsia" w:ascii="Arial" w:hAnsi="Arial" w:eastAsia="Arial"/>
          <w:color w:val="000000"/>
          <w:sz w:val="21"/>
        </w:rPr>
        <w:t>3. “Please help me make the wording more natural and suitable for a Year 2 accounting student.”</w:t>
      </w:r>
    </w:p>
    <w:p w14:paraId="76C9BD8C">
      <w:pPr>
        <w:spacing w:after="80" w:line="259" w:lineRule="auto"/>
        <w:ind w:firstLine="420" w:firstLineChars="200"/>
        <w:rPr>
          <w:rFonts w:hint="eastAsia" w:ascii="Arial" w:hAnsi="Arial" w:eastAsia="Arial"/>
          <w:color w:val="000000"/>
          <w:sz w:val="21"/>
        </w:rPr>
      </w:pPr>
      <w:r>
        <w:rPr>
          <w:rFonts w:hint="eastAsia" w:ascii="Arial" w:hAnsi="Arial" w:eastAsia="Arial"/>
          <w:color w:val="000000"/>
          <w:sz w:val="21"/>
        </w:rPr>
        <w:t>How I used the AI output:</w:t>
      </w:r>
    </w:p>
    <w:p w14:paraId="79BE017C">
      <w:pPr>
        <w:spacing w:after="80" w:line="259" w:lineRule="auto"/>
        <w:ind w:firstLine="720" w:firstLineChars="0"/>
        <w:rPr>
          <w:rFonts w:ascii="Arial" w:hAnsi="Arial" w:eastAsia="Arial"/>
          <w:color w:val="000000"/>
          <w:sz w:val="21"/>
        </w:rPr>
      </w:pPr>
      <w:r>
        <w:rPr>
          <w:rFonts w:hint="eastAsia" w:ascii="Arial" w:hAnsi="Arial" w:eastAsia="Arial"/>
          <w:color w:val="000000"/>
          <w:sz w:val="21"/>
        </w:rPr>
        <w:t>I reviewed the AI suggestions, tested the notebook code myself, and revised the wording to match my own project. All analytical decisions and submitted materials were checked by me. I understand the workflow and can explain the dataset, methods, results, and limitations in my own words.</w:t>
      </w:r>
    </w:p>
    <w:p w14:paraId="5BEF52B9">
      <w:pPr>
        <w:spacing w:after="80" w:line="259" w:lineRule="auto"/>
        <w:ind w:firstLine="360"/>
      </w:pPr>
    </w:p>
    <w:sectPr>
      <w:pgSz w:w="12240" w:h="15840"/>
      <w:pgMar w:top="1152" w:right="1296" w:bottom="1152" w:left="1296"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Cambria">
    <w:altName w:val="苹方-简"/>
    <w:panose1 w:val="02040503050406030204"/>
    <w:charset w:val="00"/>
    <w:family w:val="auto"/>
    <w:pitch w:val="default"/>
    <w:sig w:usb0="00000000" w:usb1="00000000" w:usb2="00000000" w:usb3="00000000" w:csb0="0000019F" w:csb1="00000000"/>
  </w:font>
  <w:font w:name="ＭＳ 明朝">
    <w:altName w:val="Hiragino Sans"/>
    <w:panose1 w:val="00000000000000000000"/>
    <w:charset w:val="80"/>
    <w:family w:val="roman"/>
    <w:pitch w:val="default"/>
    <w:sig w:usb0="00000000" w:usb1="00000000" w:usb2="00000010" w:usb3="00000000" w:csb0="00020000" w:csb1="00000000"/>
  </w:font>
  <w:font w:name="ＭＳ 明朝">
    <w:altName w:val="Hiragino Sans"/>
    <w:panose1 w:val="00000000000000000000"/>
    <w:charset w:val="86"/>
    <w:family w:val="auto"/>
    <w:pitch w:val="default"/>
    <w:sig w:usb0="00000000" w:usb1="00000000" w:usb2="00000000" w:usb3="00000000" w:csb0="00000000" w:csb1="00000000"/>
  </w:font>
  <w:font w:name="Arial">
    <w:panose1 w:val="020B0604020202090204"/>
    <w:charset w:val="00"/>
    <w:family w:val="auto"/>
    <w:pitch w:val="default"/>
    <w:sig w:usb0="E0000AFF" w:usb1="00007843" w:usb2="00000001" w:usb3="00000000" w:csb0="400001BF" w:csb1="DFF70000"/>
  </w:font>
  <w:font w:name="ＭＳ ゴシック">
    <w:altName w:val="Hiragino Sans"/>
    <w:panose1 w:val="00000000000000000000"/>
    <w:charset w:val="80"/>
    <w:family w:val="modern"/>
    <w:pitch w:val="default"/>
    <w:sig w:usb0="00000000" w:usb1="00000000" w:usb2="00000010" w:usb3="00000000" w:csb0="00020000" w:csb1="00000000"/>
  </w:font>
  <w:font w:name="Courier">
    <w:altName w:val="苹方-简"/>
    <w:panose1 w:val="02000500000000000000"/>
    <w:charset w:val="00"/>
    <w:family w:val="auto"/>
    <w:pitch w:val="default"/>
    <w:sig w:usb0="00000000" w:usb1="00000000" w:usb2="00000000" w:usb3="00000000" w:csb0="00000001" w:csb1="00000000"/>
  </w:font>
  <w:font w:name="ＭＳ 明朝">
    <w:altName w:val="Hiragino Sans"/>
    <w:panose1 w:val="00000000000000000000"/>
    <w:charset w:val="00"/>
    <w:family w:val="auto"/>
    <w:pitch w:val="default"/>
    <w:sig w:usb0="00000000" w:usb1="00000000" w:usb2="00000000" w:usb3="00000000" w:csb0="00000000" w:csb1="00000000"/>
  </w:font>
  <w:font w:name="Hiragino Sans">
    <w:panose1 w:val="020B0300000000000000"/>
    <w:charset w:val="80"/>
    <w:family w:val="auto"/>
    <w:pitch w:val="default"/>
    <w:sig w:usb0="E00002FF" w:usb1="7AE7FFFF" w:usb2="00000012" w:usb3="00000000" w:csb0="0002000D" w:csb1="00000000"/>
  </w:font>
  <w:font w:name="宋体-简">
    <w:panose1 w:val="02010800040101010101"/>
    <w:charset w:val="86"/>
    <w:family w:val="auto"/>
    <w:pitch w:val="default"/>
    <w:sig w:usb0="00000001" w:usb1="080F0000" w:usb2="00000000" w:usb3="00000000" w:csb0="00040000" w:csb1="00000000"/>
  </w:font>
  <w:font w:name="ＭＳ ゴシック">
    <w:altName w:val="苹方-简"/>
    <w:panose1 w:val="00000000000000000000"/>
    <w:charset w:val="00"/>
    <w:family w:val="auto"/>
    <w:pitch w:val="default"/>
    <w:sig w:usb0="00000000" w:usb1="00000000" w:usb2="00000000" w:usb3="00000000" w:csb0="00000000" w:csb1="00000000"/>
  </w:font>
  <w:font w:name="苹方-简">
    <w:panose1 w:val="020B0400000000000000"/>
    <w:charset w:val="86"/>
    <w:family w:val="auto"/>
    <w:pitch w:val="default"/>
    <w:sig w:usb0="A00002FF" w:usb1="7ACFFDFB" w:usb2="00000017" w:usb3="00000000" w:csb0="00040001" w:csb1="00000000"/>
  </w:font>
  <w:font w:name="Helvetica Neue">
    <w:panose1 w:val="02000503000000020004"/>
    <w:charset w:val="00"/>
    <w:family w:val="auto"/>
    <w:pitch w:val="default"/>
    <w:sig w:usb0="E50002FF" w:usb1="500079DB" w:usb2="00000010" w:usb3="00000000" w:csb0="00000000" w:csb1="00000000"/>
  </w:font>
  <w:font w:name="汉仪书宋二KW">
    <w:panose1 w:val="00020600040101010101"/>
    <w:charset w:val="86"/>
    <w:family w:val="auto"/>
    <w:pitch w:val="default"/>
    <w:sig w:usb0="A00002BF" w:usb1="18EF7CFA" w:usb2="00000016" w:usb3="00000000" w:csb0="00040000"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2"/>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ZTk1NmNjNmU0ZTA4NWEyNzIzYTFhODU2Y2JkZmFjNmEifQ=="/>
  </w:docVars>
  <w:rsids>
    <w:rsidRoot w:val="00B47730"/>
    <w:rsid w:val="00034616"/>
    <w:rsid w:val="0006063C"/>
    <w:rsid w:val="0015074B"/>
    <w:rsid w:val="0029639D"/>
    <w:rsid w:val="00326F90"/>
    <w:rsid w:val="00AA1D8D"/>
    <w:rsid w:val="00B47730"/>
    <w:rsid w:val="00CB0664"/>
    <w:rsid w:val="00FC693F"/>
    <w:rsid w:val="3AFE9740"/>
    <w:rsid w:val="7FD62E56"/>
    <w:rsid w:val="7FFBE12F"/>
    <w:rsid w:val="BC871B4E"/>
    <w:rsid w:val="F7760F83"/>
    <w:rsid w:val="FAE7F9E3"/>
    <w:rsid w:val="FE399DF3"/>
    <w:rsid w:val="FEDB3F83"/>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Arial" w:hAnsi="Arial" w:eastAsia="Arial" w:cstheme="minorBidi"/>
      <w:color w:val="000000"/>
      <w:sz w:val="21"/>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000000"/>
      <w:sz w:val="28"/>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000000"/>
      <w:sz w:val="26"/>
      <w:szCs w:val="26"/>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uiPriority w:val="1"/>
  </w:style>
  <w:style w:type="table" w:default="1" w:styleId="32">
    <w:name w:val="Normal Table"/>
    <w:semiHidden/>
    <w:unhideWhenUsed/>
    <w:uiPriority w:val="99"/>
    <w:tblPr>
      <w:tblCellMar>
        <w:top w:w="0" w:type="dxa"/>
        <w:left w:w="108" w:type="dxa"/>
        <w:bottom w:w="0" w:type="dxa"/>
        <w:right w:w="108" w:type="dxa"/>
      </w:tblCellMar>
    </w:tblPr>
  </w:style>
  <w:style w:type="paragraph" w:styleId="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contextualSpacing/>
    </w:pPr>
  </w:style>
  <w:style w:type="paragraph" w:styleId="17">
    <w:name w:val="Body Text 3"/>
    <w:basedOn w:val="1"/>
    <w:link w:val="146"/>
    <w:unhideWhenUsed/>
    <w:uiPriority w:val="99"/>
    <w:pPr>
      <w:spacing w:after="120"/>
    </w:pPr>
    <w:rPr>
      <w:sz w:val="16"/>
      <w:szCs w:val="16"/>
    </w:rPr>
  </w:style>
  <w:style w:type="paragraph" w:styleId="18">
    <w:name w:val="List Bullet 3"/>
    <w:basedOn w:val="1"/>
    <w:unhideWhenUsed/>
    <w:uiPriority w:val="99"/>
    <w:pPr>
      <w:numPr>
        <w:ilvl w:val="0"/>
        <w:numId w:val="4"/>
      </w:numPr>
      <w:contextualSpacing/>
    </w:pPr>
  </w:style>
  <w:style w:type="paragraph" w:styleId="19">
    <w:name w:val="Body Text"/>
    <w:basedOn w:val="1"/>
    <w:link w:val="144"/>
    <w:unhideWhenUsed/>
    <w:uiPriority w:val="99"/>
    <w:pPr>
      <w:spacing w:after="120"/>
    </w:pPr>
  </w:style>
  <w:style w:type="paragraph" w:styleId="20">
    <w:name w:val="List Number 3"/>
    <w:basedOn w:val="1"/>
    <w:unhideWhenUsed/>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footer"/>
    <w:basedOn w:val="1"/>
    <w:link w:val="136"/>
    <w:unhideWhenUsed/>
    <w:uiPriority w:val="99"/>
    <w:pPr>
      <w:tabs>
        <w:tab w:val="center" w:pos="4680"/>
        <w:tab w:val="right" w:pos="9360"/>
      </w:tabs>
      <w:spacing w:after="0" w:line="240" w:lineRule="auto"/>
    </w:pPr>
  </w:style>
  <w:style w:type="paragraph" w:styleId="25">
    <w:name w:val="header"/>
    <w:basedOn w:val="1"/>
    <w:link w:val="135"/>
    <w:unhideWhenUsed/>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uiPriority w:val="99"/>
    <w:pPr>
      <w:ind w:left="360" w:hanging="360"/>
      <w:contextualSpacing/>
    </w:pPr>
  </w:style>
  <w:style w:type="paragraph" w:styleId="28">
    <w:name w:val="Body Text 2"/>
    <w:basedOn w:val="1"/>
    <w:link w:val="145"/>
    <w:unhideWhenUsed/>
    <w:uiPriority w:val="99"/>
    <w:pPr>
      <w:spacing w:after="120" w:line="480" w:lineRule="auto"/>
    </w:pPr>
  </w:style>
  <w:style w:type="paragraph" w:styleId="29">
    <w:name w:val="List Continue 2"/>
    <w:basedOn w:val="1"/>
    <w:unhideWhenUsed/>
    <w:uiPriority w:val="99"/>
    <w:pPr>
      <w:spacing w:after="120"/>
      <w:ind w:left="720"/>
      <w:contextualSpacing/>
    </w:pPr>
  </w:style>
  <w:style w:type="paragraph" w:styleId="30">
    <w:name w:val="List Continue 3"/>
    <w:basedOn w:val="1"/>
    <w:unhideWhenUsed/>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uiPriority w:val="99"/>
  </w:style>
  <w:style w:type="character" w:customStyle="1" w:styleId="136">
    <w:name w:val="Footer Char"/>
    <w:basedOn w:val="132"/>
    <w:link w:val="24"/>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uiPriority w:val="99"/>
  </w:style>
  <w:style w:type="character" w:customStyle="1" w:styleId="145">
    <w:name w:val="Body Text 2 Char"/>
    <w:basedOn w:val="132"/>
    <w:link w:val="28"/>
    <w:uiPriority w:val="99"/>
  </w:style>
  <w:style w:type="character" w:customStyle="1" w:styleId="146">
    <w:name w:val="Body Text 3 Char"/>
    <w:basedOn w:val="132"/>
    <w:link w:val="17"/>
    <w:uiPriority w:val="99"/>
    <w:rPr>
      <w:sz w:val="16"/>
      <w:szCs w:val="16"/>
    </w:rPr>
  </w:style>
  <w:style w:type="character" w:customStyle="1" w:styleId="147">
    <w:name w:val="Macro Text Char"/>
    <w:basedOn w:val="132"/>
    <w:link w:val="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uiPriority w:val="29"/>
    <w:rPr>
      <w:i/>
      <w:iCs/>
      <w:color w:val="000000" w:themeColor="text1"/>
      <w14:textFill>
        <w14:solidFill>
          <w14:schemeClr w14:val="tx1"/>
        </w14:solidFill>
      </w14:textFill>
    </w:rPr>
  </w:style>
  <w:style w:type="character" w:customStyle="1" w:styleId="150">
    <w:name w:val="Heading 4 Char"/>
    <w:basedOn w:val="132"/>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12</TotalTime>
  <ScaleCrop>false</ScaleCrop>
  <LinksUpToDate>false</LinksUpToDate>
  <CharactersWithSpaces>0</CharactersWithSpaces>
  <Application>WPS Office_6.10.1.8873_F1E327BC-269C-435d-A152-05C5408002CA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2013-12-24T08:15:00Z</dcterms:created>
  <dc:creator>python-docx</dc:creator>
  <dc:description>generated by python-docx</dc:description>
  <cp:lastModifiedBy>WPS_1726898751</cp:lastModifiedBy>
  <dcterms:modified xsi:type="dcterms:W3CDTF">2026-04-25T02:52:59Z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2052-6.10.1.8873</vt:lpwstr>
  </property>
  <property fmtid="{D5CDD505-2E9C-101B-9397-08002B2CF9AE}" pid="3" name="ICV">
    <vt:lpwstr>766018FD9D50FA9F56ABEB691346EEAC_42</vt:lpwstr>
  </property>
</Properties>
</file>