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JARKOMDAT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LOG WEEK 07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color w:val="01857b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TASYA PUTRI 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SHABIRA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 - 1806191616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sz w:val="56"/>
          <w:szCs w:val="56"/>
          <w:rtl w:val="0"/>
        </w:rPr>
        <w:t xml:space="preserve">STATIC SUB-NETWORKING</w:t>
      </w:r>
      <w:r w:rsidDel="00000000" w:rsidR="00000000" w:rsidRPr="00000000">
        <w:rPr>
          <w:sz w:val="56"/>
          <w:szCs w:val="56"/>
          <w:rtl w:val="0"/>
        </w:rPr>
        <w:t xml:space="preserve"> &amp;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VLSM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shd w:fill="fff9ed" w:val="clear"/>
        </w:rPr>
      </w:pPr>
      <w:bookmarkStart w:colFirst="0" w:colLast="0" w:name="_e88tgcnkvahw" w:id="1"/>
      <w:bookmarkEnd w:id="1"/>
      <w:r w:rsidDel="00000000" w:rsidR="00000000" w:rsidRPr="00000000">
        <w:rPr>
          <w:shd w:fill="fff9ed" w:val="clear"/>
          <w:rtl w:val="0"/>
        </w:rPr>
        <w:t xml:space="preserve">STATIC SUB-NETWORKING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Network dibagi/dipecah menjadi subnet yang lebih kecil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IP: xxx.xxx.xxx.xxx (masing-masing 8 bit, sehingga maksimal xxx == 255)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pemecahan subnet (192.168.1.xxx):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Subnet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192.168.1.0 - 192.168.127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192.168.1.128 - 192.168.1.255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Subnet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192.168.1.0 - 192.168.63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192.168.1.64 - 192.168.127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192.168.1.128 - 192.168.1.191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before="0" w:beforeAutospacing="0"/>
        <w:ind w:left="2160" w:hanging="360"/>
      </w:pPr>
      <w:r w:rsidDel="00000000" w:rsidR="00000000" w:rsidRPr="00000000">
        <w:rPr>
          <w:rtl w:val="0"/>
        </w:rPr>
        <w:t xml:space="preserve">192.168.1.192 - 192.168.1.255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>
          <w:shd w:fill="fff9ed" w:val="clear"/>
        </w:rPr>
      </w:pPr>
      <w:bookmarkStart w:colFirst="0" w:colLast="0" w:name="_oo7lfvwejd1d" w:id="2"/>
      <w:bookmarkEnd w:id="2"/>
      <w:r w:rsidDel="00000000" w:rsidR="00000000" w:rsidRPr="00000000">
        <w:rPr>
          <w:shd w:fill="fff9ed" w:val="clear"/>
          <w:rtl w:val="0"/>
        </w:rPr>
        <w:t xml:space="preserve">VLSM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Pembagian network pada VLSM dipengaruhi kepadatan dan kebutuhan host setiap subnet. Pembagian dilakukan berdasarkan kebutuhan, sehingga network dapat di-reserve apabila tidak diperlukan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default"/>
      <w:footerReference r:id="rId9" w:type="first"/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>
        <w:color w:val="01857b"/>
      </w:rPr>
    </w:pPr>
    <w:r w:rsidDel="00000000" w:rsidR="00000000" w:rsidRPr="00000000">
      <w:rPr>
        <w:color w:val="01857b"/>
        <w:rtl w:val="0"/>
      </w:rPr>
      <w:t xml:space="preserve">1806191616_tasya_week_2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3"/>
    <w:bookmarkEnd w:id="3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3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trHeight w:val="160" w:hRule="atLeast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3">
          <w:pPr>
            <w:pStyle w:val="Heading5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4"/>
          <w:bookmarkEnd w:id="4"/>
          <w:r w:rsidDel="00000000" w:rsidR="00000000" w:rsidRPr="00000000">
            <w:rPr>
              <w:rtl w:val="0"/>
            </w:rPr>
          </w:r>
        </w:p>
      </w:tc>
    </w:tr>
    <w:tr>
      <w:trPr>
        <w:trHeight w:val="900" w:hRule="atLeast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pStyle w:val="Heading4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4"/>
          <w:bookmarkEnd w:id="4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6"/>
    <w:bookmarkEnd w:id="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