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7CFD9" w14:textId="786FCAEA" w:rsidR="006D3C61" w:rsidRPr="00C9760A" w:rsidRDefault="00C9760A">
      <w:pPr>
        <w:rPr>
          <w:sz w:val="44"/>
          <w:szCs w:val="44"/>
        </w:rPr>
      </w:pPr>
      <w:r w:rsidRPr="00C9760A">
        <w:rPr>
          <w:sz w:val="44"/>
          <w:szCs w:val="44"/>
        </w:rPr>
        <w:t>Este arquivo é top</w:t>
      </w:r>
    </w:p>
    <w:p w14:paraId="73C85EFA" w14:textId="0EE1ECBD" w:rsidR="00C9760A" w:rsidRDefault="00C9760A"/>
    <w:p w14:paraId="0C43B8EC" w14:textId="56FDFB4D" w:rsidR="00C9760A" w:rsidRDefault="00C9760A">
      <w:r>
        <w:rPr>
          <w:color w:val="000000"/>
          <w:sz w:val="27"/>
          <w:szCs w:val="27"/>
          <w:shd w:val="clear" w:color="auto" w:fill="FFFFFF"/>
        </w:rPr>
        <w:t>Podemos já vislumbrar o modo pelo qual a estrutura atual da organização causa impacto indireto na reavaliação das condições financeiras e administrativas exigidas. O cuidado em identificar pontos críticos na crescente influência da mídia prepara-nos para enfrentar situações atípicas decorrentes do remanejamento dos quadros funcionais. Assim mesmo, o novo modelo estrutural aqui preconizado garante a contribuição de um grupo importante na determinação do levantamento das variáveis envolvidas. Gostaria de enfatizar que a percepção das dificuldades auxilia a preparação e a composição das posturas dos órgãos dirigentes com relação às suas atribuições. </w:t>
      </w:r>
      <w:bookmarkStart w:id="0" w:name="_GoBack"/>
      <w:bookmarkEnd w:id="0"/>
    </w:p>
    <w:p w14:paraId="704F11BC" w14:textId="77777777" w:rsidR="00C9760A" w:rsidRDefault="00C9760A"/>
    <w:sectPr w:rsidR="00C97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E"/>
    <w:rsid w:val="003D609E"/>
    <w:rsid w:val="006D3C61"/>
    <w:rsid w:val="00C9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CED5"/>
  <w15:chartTrackingRefBased/>
  <w15:docId w15:val="{74B01509-0213-4EC0-85D8-CCBB09E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Taiana Barbara De Paula Nunes</dc:creator>
  <cp:keywords/>
  <dc:description/>
  <cp:lastModifiedBy>Taiana Barbara De Paula Nunes</cp:lastModifiedBy>
  <cp:revision>2</cp:revision>
  <dcterms:created xsi:type="dcterms:W3CDTF">2018-04-13T23:43:00Z</dcterms:created>
  <dcterms:modified xsi:type="dcterms:W3CDTF">2018-04-13T23:52:00Z</dcterms:modified>
</cp:coreProperties>
</file>