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2AF00" w14:textId="7C74CF35" w:rsidR="004337FC" w:rsidRPr="00706AE8" w:rsidRDefault="009D3315" w:rsidP="003B55DE">
      <w:pPr>
        <w:pStyle w:val="Grandtitre"/>
        <w:rPr>
          <w:sz w:val="28"/>
        </w:rPr>
      </w:pPr>
      <w:r>
        <w:rPr>
          <w:sz w:val="28"/>
        </w:rPr>
        <w:t xml:space="preserve">Transfert d’un modèle de Valeur Actualisée Nette développée sur Excel vers une page web : Une application au </w:t>
      </w:r>
      <w:r w:rsidR="008740C1" w:rsidRPr="00706AE8">
        <w:rPr>
          <w:sz w:val="28"/>
        </w:rPr>
        <w:t xml:space="preserve">taux effectif moyen d’imposition </w:t>
      </w:r>
      <w:r w:rsidR="00305423" w:rsidRPr="00706AE8">
        <w:rPr>
          <w:sz w:val="28"/>
        </w:rPr>
        <w:t xml:space="preserve">(TEMI) </w:t>
      </w:r>
      <w:r w:rsidR="00FA1D2F" w:rsidRPr="00706AE8">
        <w:rPr>
          <w:sz w:val="28"/>
        </w:rPr>
        <w:t>en Afrique</w:t>
      </w:r>
      <w:r w:rsidR="00841980">
        <w:rPr>
          <w:sz w:val="28"/>
        </w:rPr>
        <w:t>.</w:t>
      </w:r>
    </w:p>
    <w:p w14:paraId="3AF3C839" w14:textId="77777777" w:rsidR="00841980" w:rsidRDefault="00706AE8" w:rsidP="00841980">
      <w:pPr>
        <w:pStyle w:val="Grandsous-titre"/>
        <w:spacing w:after="0"/>
        <w:rPr>
          <w:i/>
        </w:rPr>
      </w:pPr>
      <w:r w:rsidRPr="00706AE8">
        <w:rPr>
          <w:i/>
        </w:rPr>
        <w:t>Proposition de stage</w:t>
      </w:r>
      <w:r w:rsidR="00841980">
        <w:rPr>
          <w:i/>
        </w:rPr>
        <w:t xml:space="preserve"> au CERDI-UCA-CNRS, </w:t>
      </w:r>
    </w:p>
    <w:p w14:paraId="4E7BF1AA" w14:textId="129988BB" w:rsidR="00841980" w:rsidRPr="00841980" w:rsidRDefault="00841980" w:rsidP="00841980">
      <w:pPr>
        <w:jc w:val="center"/>
        <w:rPr>
          <w:color w:val="auto"/>
        </w:rPr>
      </w:pPr>
      <w:r w:rsidRPr="00841980">
        <w:rPr>
          <w:color w:val="auto"/>
        </w:rPr>
        <w:t>65 bd François Mitter</w:t>
      </w:r>
      <w:r>
        <w:rPr>
          <w:color w:val="auto"/>
        </w:rPr>
        <w:t>r</w:t>
      </w:r>
      <w:r w:rsidRPr="00841980">
        <w:rPr>
          <w:color w:val="auto"/>
        </w:rPr>
        <w:t>and,</w:t>
      </w:r>
    </w:p>
    <w:p w14:paraId="00F05A30" w14:textId="528EE1DE" w:rsidR="00E96E9B" w:rsidRPr="00706AE8" w:rsidRDefault="00841980" w:rsidP="00841980">
      <w:pPr>
        <w:jc w:val="center"/>
      </w:pPr>
      <w:r w:rsidRPr="00841980">
        <w:rPr>
          <w:color w:val="auto"/>
        </w:rPr>
        <w:t>63000 Clermont-Ferrand</w:t>
      </w:r>
    </w:p>
    <w:p w14:paraId="0781E59C" w14:textId="77777777" w:rsidR="00841980" w:rsidRDefault="00841980" w:rsidP="00590B73">
      <w:pPr>
        <w:pStyle w:val="Texte"/>
      </w:pPr>
    </w:p>
    <w:p w14:paraId="77D52EE1" w14:textId="1C7723F8" w:rsidR="00B351D1" w:rsidRDefault="00590B73" w:rsidP="00590B73">
      <w:pPr>
        <w:pStyle w:val="Texte"/>
      </w:pPr>
      <w:r>
        <w:t>Le CERDI</w:t>
      </w:r>
      <w:r w:rsidR="00841980">
        <w:t xml:space="preserve">-UCA-CNRS est un centre </w:t>
      </w:r>
      <w:r w:rsidR="00B351D1">
        <w:t xml:space="preserve">mixte </w:t>
      </w:r>
      <w:r w:rsidR="00841980">
        <w:t>de recherche de l’</w:t>
      </w:r>
      <w:r w:rsidR="00B351D1">
        <w:t>U</w:t>
      </w:r>
      <w:r w:rsidR="00841980">
        <w:t>niversité Clermont</w:t>
      </w:r>
      <w:r w:rsidR="00B351D1">
        <w:t xml:space="preserve"> Auvergne</w:t>
      </w:r>
      <w:r>
        <w:t xml:space="preserve"> </w:t>
      </w:r>
      <w:r w:rsidR="00B351D1">
        <w:t xml:space="preserve">et du CNRS en sciences économiques. Le CERDI est l’un des centres de référence en Europe en économie du développement. Il est constitué de 30 enseignant-chercheurs et 82 doctorants. Le CERDI </w:t>
      </w:r>
      <w:r w:rsidR="001D2FE4">
        <w:t xml:space="preserve">entretient de multiples relations de collaboration scientifique ou d’expertise avec la Banque Mondiale, le Fonds Monétaire International, la Commission de l’Union Européenne, l’Agence Française du Développement ou le Ministère de l’Europe et des Affaires Etrangères. </w:t>
      </w:r>
    </w:p>
    <w:p w14:paraId="60FEB2BE" w14:textId="77777777" w:rsidR="00B351D1" w:rsidRDefault="00B351D1" w:rsidP="00590B73">
      <w:pPr>
        <w:pStyle w:val="Texte"/>
      </w:pPr>
    </w:p>
    <w:p w14:paraId="1FC0917C" w14:textId="1387EF94" w:rsidR="00642E91" w:rsidRDefault="00B351D1" w:rsidP="00590B73">
      <w:pPr>
        <w:pStyle w:val="Texte"/>
      </w:pPr>
      <w:r>
        <w:t xml:space="preserve">Le CERDI </w:t>
      </w:r>
      <w:r w:rsidR="00590B73" w:rsidRPr="000029B5">
        <w:t>souhaite mettre en ligne</w:t>
      </w:r>
      <w:r w:rsidR="00590B73">
        <w:t xml:space="preserve"> un modèle </w:t>
      </w:r>
      <w:r w:rsidR="00590B73" w:rsidRPr="000029B5">
        <w:t xml:space="preserve">qui permet de simuler </w:t>
      </w:r>
      <w:r w:rsidR="00590B73">
        <w:t>la charge fiscale effective qu’une entreprise supporte. Ce modèle a été</w:t>
      </w:r>
      <w:r w:rsidR="00642E91">
        <w:t xml:space="preserve"> </w:t>
      </w:r>
      <w:r w:rsidR="001E6840" w:rsidRPr="000029B5">
        <w:t xml:space="preserve">développé </w:t>
      </w:r>
      <w:r w:rsidR="00590B73">
        <w:t xml:space="preserve">pour apprécier le </w:t>
      </w:r>
      <w:r w:rsidR="00642E91">
        <w:t>taux effectif moyen d’imposition d’une entreprise dans les 16 pays de la zone Franc (Afrique). Ce modèle qui suit l’approche de la Banque Mondial</w:t>
      </w:r>
      <w:r w:rsidR="004D3EC7">
        <w:t>e (Doing Business) a été adapté</w:t>
      </w:r>
      <w:r w:rsidR="00642E91">
        <w:t xml:space="preserve"> à la fiscalité des pays de l’Union Economique et Monétaire de l’Ouest Africain (UEMOA : Bénin, Burkina Faso, Côte d’Ivoire, Guinée Bissau, Mali, Niger, Sénégal, Togo) et de la Communauté Economique et Monétaire de l’Afrique Centrale (CEMAC : Cameroun, Congo, Gabon, </w:t>
      </w:r>
      <w:r w:rsidR="00305423">
        <w:t xml:space="preserve">Guinée Equatoriale </w:t>
      </w:r>
      <w:r w:rsidR="00642E91">
        <w:t xml:space="preserve">République de Centrafrique, Tchad). </w:t>
      </w:r>
      <w:r w:rsidR="00305423">
        <w:t>Il pourra être étendu aux autre pays de l’espace OHADA.</w:t>
      </w:r>
    </w:p>
    <w:p w14:paraId="05F4D582" w14:textId="77777777" w:rsidR="00B351D1" w:rsidRDefault="00B351D1" w:rsidP="00706AE8">
      <w:pPr>
        <w:pStyle w:val="Texte"/>
      </w:pPr>
    </w:p>
    <w:p w14:paraId="631ADB07" w14:textId="28D4C776" w:rsidR="00706AE8" w:rsidRDefault="00E97ED8" w:rsidP="00706AE8">
      <w:pPr>
        <w:pStyle w:val="Texte"/>
      </w:pPr>
      <w:r w:rsidRPr="000029B5">
        <w:t>L</w:t>
      </w:r>
      <w:r w:rsidR="008F3332">
        <w:t>’</w:t>
      </w:r>
      <w:r w:rsidRPr="000029B5">
        <w:t xml:space="preserve">outil de simulation </w:t>
      </w:r>
      <w:r w:rsidR="00E43F5E" w:rsidRPr="000029B5">
        <w:t xml:space="preserve">existant </w:t>
      </w:r>
      <w:r w:rsidRPr="000029B5">
        <w:t>prend la forme d</w:t>
      </w:r>
      <w:r w:rsidR="008F3332">
        <w:t>’</w:t>
      </w:r>
      <w:r w:rsidRPr="000029B5">
        <w:t>un fichier Excel</w:t>
      </w:r>
      <w:r w:rsidR="00E43F5E" w:rsidRPr="000029B5">
        <w:t xml:space="preserve"> composé d</w:t>
      </w:r>
      <w:r w:rsidR="008F3332">
        <w:t>’</w:t>
      </w:r>
      <w:r w:rsidR="00E43F5E" w:rsidRPr="000029B5">
        <w:t>une base de données</w:t>
      </w:r>
      <w:r w:rsidR="006F15A2" w:rsidRPr="000029B5">
        <w:t xml:space="preserve"> et</w:t>
      </w:r>
      <w:r w:rsidR="00E43F5E" w:rsidRPr="000029B5">
        <w:t xml:space="preserve"> d</w:t>
      </w:r>
      <w:r w:rsidR="008F3332">
        <w:t>’</w:t>
      </w:r>
      <w:r w:rsidR="00E43F5E" w:rsidRPr="000029B5">
        <w:t xml:space="preserve">un modèle de </w:t>
      </w:r>
      <w:r w:rsidR="00305423">
        <w:t>flux financiers sur cinq années (valeur actuelle nette) d’une entreprise en distinguant les principaux impôts et le profit net de l’investisseur</w:t>
      </w:r>
      <w:r w:rsidR="00E43F5E" w:rsidRPr="000029B5">
        <w:t>.</w:t>
      </w:r>
      <w:r w:rsidR="00697302" w:rsidRPr="000029B5">
        <w:t xml:space="preserve"> </w:t>
      </w:r>
      <w:r w:rsidR="00E34C4A">
        <w:t xml:space="preserve">Le fichier </w:t>
      </w:r>
      <w:r w:rsidR="00D623C4">
        <w:t>Excel</w:t>
      </w:r>
      <w:r w:rsidR="00E34C4A">
        <w:t xml:space="preserve"> en pièce jointe présente le modèle, les caractéristiques de l’entreprise et la fiscalité des 16 pays africains. D’autres langages </w:t>
      </w:r>
      <w:r w:rsidR="004D3EC7">
        <w:t xml:space="preserve">informatiques </w:t>
      </w:r>
      <w:r w:rsidR="00E34C4A">
        <w:t>pourraient être utilisés.</w:t>
      </w:r>
    </w:p>
    <w:p w14:paraId="2F9F2A6E" w14:textId="77777777" w:rsidR="00B351D1" w:rsidRDefault="00B351D1" w:rsidP="007A3E75">
      <w:pPr>
        <w:pStyle w:val="Texte"/>
      </w:pPr>
    </w:p>
    <w:p w14:paraId="62E1FDA0" w14:textId="77777777" w:rsidR="00B351D1" w:rsidRDefault="00E34C4A" w:rsidP="007A3E75">
      <w:pPr>
        <w:pStyle w:val="Texte"/>
      </w:pPr>
      <w:r w:rsidRPr="00E34C4A">
        <w:t>Le résultat attend</w:t>
      </w:r>
      <w:r>
        <w:t>u est une page web qui sera attachée au site du CERDI et qui présentera les simulations de TEMI pour un ou plusieurs pays donnés</w:t>
      </w:r>
      <w:r w:rsidR="004D3EC7">
        <w:t xml:space="preserve"> au choix de l’utilisateur</w:t>
      </w:r>
      <w:r>
        <w:t xml:space="preserve">. </w:t>
      </w:r>
    </w:p>
    <w:p w14:paraId="0597F376" w14:textId="77777777" w:rsidR="00B351D1" w:rsidRDefault="00B351D1" w:rsidP="007A3E75">
      <w:pPr>
        <w:pStyle w:val="Texte"/>
      </w:pPr>
    </w:p>
    <w:p w14:paraId="0A3329B5" w14:textId="5EE4AB99" w:rsidR="007A3E75" w:rsidRDefault="00E34C4A" w:rsidP="007A3E75">
      <w:pPr>
        <w:pStyle w:val="Texte"/>
      </w:pPr>
      <w:r>
        <w:t>Des paramètres clés comme les taux des impôts ou la marge de l’entreprise devraient pouvoir être modifié</w:t>
      </w:r>
      <w:r w:rsidR="004D3EC7">
        <w:t>s</w:t>
      </w:r>
      <w:r>
        <w:t xml:space="preserve"> facilement par l’utilisateur afin qu’il puisse avoir sa propre simulation. </w:t>
      </w:r>
      <w:r w:rsidR="004D3EC7">
        <w:t>Certaines données de la Banque Mondiale et du Fonds Monétaire</w:t>
      </w:r>
      <w:r w:rsidR="00D623C4">
        <w:t xml:space="preserve"> Internationale</w:t>
      </w:r>
      <w:r w:rsidR="004D3EC7">
        <w:t xml:space="preserve"> (comme le PIB, le taux d’inflation…) pourraient être téléchargées automatiquement.</w:t>
      </w:r>
      <w:r w:rsidR="007A3E75">
        <w:t xml:space="preserve"> La(le)</w:t>
      </w:r>
      <w:r>
        <w:t xml:space="preserve"> stagiaire devra donc construire un modèle de valeur actualisée (très utilisée en finance) qui reprend les caractéristiques du fichier </w:t>
      </w:r>
      <w:r w:rsidR="00D623C4">
        <w:t>Excel</w:t>
      </w:r>
      <w:r>
        <w:t xml:space="preserve"> (page modèle).</w:t>
      </w:r>
      <w:r w:rsidR="00590B73">
        <w:t xml:space="preserve"> Il bénéficiera de toute l’assistance nécessaire en économie, fiscalité et comptabilité pour transférer le modèle sur une page web. </w:t>
      </w:r>
    </w:p>
    <w:p w14:paraId="063566D6" w14:textId="77777777" w:rsidR="00B351D1" w:rsidRDefault="00B351D1" w:rsidP="003B55DE">
      <w:pPr>
        <w:pStyle w:val="Texte"/>
      </w:pPr>
    </w:p>
    <w:p w14:paraId="67D3A80B" w14:textId="03D4FB35" w:rsidR="007A3E75" w:rsidRDefault="00E34C4A" w:rsidP="003B55DE">
      <w:pPr>
        <w:pStyle w:val="Texte"/>
      </w:pPr>
      <w:r>
        <w:lastRenderedPageBreak/>
        <w:t xml:space="preserve">Une visualisation sous forme d’histogramme </w:t>
      </w:r>
      <w:r w:rsidR="00B351D1">
        <w:t xml:space="preserve">(voire l’annexe) </w:t>
      </w:r>
      <w:r>
        <w:t>ou autres graphiques doit aussi apparaître.</w:t>
      </w:r>
      <w:r w:rsidR="007A3E75">
        <w:t xml:space="preserve"> </w:t>
      </w:r>
      <w:r w:rsidR="00A35371">
        <w:t xml:space="preserve">Une extraction en csv ou xls doit aussi être possible </w:t>
      </w:r>
      <w:r w:rsidR="004D3EC7">
        <w:t xml:space="preserve">pour </w:t>
      </w:r>
      <w:r w:rsidR="00A35371">
        <w:t xml:space="preserve">que </w:t>
      </w:r>
      <w:r w:rsidR="004D3EC7">
        <w:t>l</w:t>
      </w:r>
      <w:r w:rsidR="00A35371">
        <w:t xml:space="preserve">es chercheurs </w:t>
      </w:r>
      <w:r w:rsidR="004D3EC7">
        <w:t xml:space="preserve">ou décideurs publiques </w:t>
      </w:r>
      <w:r w:rsidR="00A35371">
        <w:t>puissent utiliser le résultat de leur simulation de politique fiscale.</w:t>
      </w:r>
    </w:p>
    <w:p w14:paraId="3DE29D0A" w14:textId="77777777" w:rsidR="00E34C4A" w:rsidRDefault="00EB1C36" w:rsidP="003B55DE">
      <w:pPr>
        <w:pStyle w:val="Texte"/>
      </w:pPr>
      <w:r>
        <w:t>Ce travail pourrait être élargi à d’autre pays et à plusieurs années (la loi de finance modifiant le taux d’imposition chaque année).</w:t>
      </w:r>
    </w:p>
    <w:p w14:paraId="39AF69D1" w14:textId="77777777" w:rsidR="004D3EC7" w:rsidRPr="004D3EC7" w:rsidRDefault="004D3EC7" w:rsidP="004D3EC7">
      <w:pPr>
        <w:rPr>
          <w:color w:val="auto"/>
        </w:rPr>
      </w:pPr>
      <w:r w:rsidRPr="004D3EC7">
        <w:rPr>
          <w:color w:val="auto"/>
        </w:rPr>
        <w:t>Le</w:t>
      </w:r>
      <w:r>
        <w:rPr>
          <w:color w:val="auto"/>
        </w:rPr>
        <w:t>s</w:t>
      </w:r>
      <w:r w:rsidRPr="004D3EC7">
        <w:rPr>
          <w:color w:val="auto"/>
        </w:rPr>
        <w:t xml:space="preserve"> site</w:t>
      </w:r>
      <w:r>
        <w:rPr>
          <w:color w:val="auto"/>
        </w:rPr>
        <w:t xml:space="preserve">s suivants </w:t>
      </w:r>
      <w:r w:rsidRPr="004D3EC7">
        <w:rPr>
          <w:color w:val="auto"/>
        </w:rPr>
        <w:t>pourrai</w:t>
      </w:r>
      <w:r>
        <w:rPr>
          <w:color w:val="auto"/>
        </w:rPr>
        <w:t>en</w:t>
      </w:r>
      <w:r w:rsidRPr="004D3EC7">
        <w:rPr>
          <w:color w:val="auto"/>
        </w:rPr>
        <w:t>t servir de référence comme produit attendu.</w:t>
      </w:r>
    </w:p>
    <w:p w14:paraId="197B40F5" w14:textId="77777777" w:rsidR="004D3EC7" w:rsidRPr="00B351D1" w:rsidRDefault="00DB17DA" w:rsidP="004D3EC7">
      <w:pPr>
        <w:rPr>
          <w:color w:val="0070C0"/>
        </w:rPr>
      </w:pPr>
      <w:hyperlink r:id="rId8" w:history="1">
        <w:r w:rsidR="004D3EC7" w:rsidRPr="00B351D1">
          <w:rPr>
            <w:rStyle w:val="Lienhypertexte"/>
            <w:color w:val="0070C0"/>
          </w:rPr>
          <w:t>http://www.revolution-fiscale.fr/simulez-votre-propre-reforme-fiscale</w:t>
        </w:r>
      </w:hyperlink>
    </w:p>
    <w:p w14:paraId="2877BC2A" w14:textId="77777777" w:rsidR="004D3EC7" w:rsidRDefault="00DB17DA" w:rsidP="004D3EC7">
      <w:pPr>
        <w:rPr>
          <w:color w:val="auto"/>
        </w:rPr>
      </w:pPr>
      <w:hyperlink r:id="rId9" w:history="1">
        <w:r w:rsidR="004D3EC7" w:rsidRPr="002F4DB4">
          <w:rPr>
            <w:rStyle w:val="Lienhypertexte"/>
          </w:rPr>
          <w:t>http://www.crfb.org/corporate/</w:t>
        </w:r>
      </w:hyperlink>
    </w:p>
    <w:p w14:paraId="147A63D6" w14:textId="77777777" w:rsidR="004D3EC7" w:rsidRDefault="00DB17DA" w:rsidP="004D3EC7">
      <w:pPr>
        <w:rPr>
          <w:color w:val="auto"/>
        </w:rPr>
      </w:pPr>
      <w:hyperlink r:id="rId10" w:history="1">
        <w:r w:rsidR="004D3EC7" w:rsidRPr="002F4DB4">
          <w:rPr>
            <w:rStyle w:val="Lienhypertexte"/>
          </w:rPr>
          <w:t>https://www.calcxml.com/calculators/trump-tax-reform-calculator</w:t>
        </w:r>
      </w:hyperlink>
    </w:p>
    <w:p w14:paraId="3654D4A5" w14:textId="77777777" w:rsidR="004D3EC7" w:rsidRDefault="004D3EC7" w:rsidP="004D3EC7">
      <w:pPr>
        <w:rPr>
          <w:color w:val="auto"/>
        </w:rPr>
      </w:pPr>
    </w:p>
    <w:p w14:paraId="6F6E97DA" w14:textId="17F64157" w:rsidR="00B323E4" w:rsidRDefault="00B323E4" w:rsidP="004D3EC7">
      <w:pPr>
        <w:rPr>
          <w:color w:val="auto"/>
        </w:rPr>
      </w:pPr>
      <w:r>
        <w:rPr>
          <w:color w:val="auto"/>
        </w:rPr>
        <w:t>L</w:t>
      </w:r>
      <w:r w:rsidR="007A3E75">
        <w:rPr>
          <w:color w:val="auto"/>
        </w:rPr>
        <w:t>a(l</w:t>
      </w:r>
      <w:r>
        <w:rPr>
          <w:color w:val="auto"/>
        </w:rPr>
        <w:t>e</w:t>
      </w:r>
      <w:r w:rsidR="007A3E75">
        <w:rPr>
          <w:color w:val="auto"/>
        </w:rPr>
        <w:t>)</w:t>
      </w:r>
      <w:r>
        <w:rPr>
          <w:color w:val="auto"/>
        </w:rPr>
        <w:t xml:space="preserve"> stagiaire travaillera directement sous la supervision de Grégoire Rota-Graziosi, Professeur de sciences économiques et Directeur du CERDI-UCA-CNRS. Il aura également des interactions avec les spécialistes des questions de fiscalité au CERDI-UCA-CNRS et à la FERDI</w:t>
      </w:r>
      <w:r w:rsidR="00590B73">
        <w:rPr>
          <w:color w:val="auto"/>
        </w:rPr>
        <w:t xml:space="preserve">, </w:t>
      </w:r>
      <w:r w:rsidR="007A3E75">
        <w:rPr>
          <w:color w:val="auto"/>
        </w:rPr>
        <w:t>avec les informaticiens du CERDI-UCA-CNRS et éventuellement avec les services informatiques centraux de l’UCA</w:t>
      </w:r>
      <w:r>
        <w:rPr>
          <w:color w:val="auto"/>
        </w:rPr>
        <w:t>.</w:t>
      </w:r>
    </w:p>
    <w:p w14:paraId="00C48534" w14:textId="77777777" w:rsidR="00B323E4" w:rsidRPr="004D3EC7" w:rsidRDefault="00B323E4" w:rsidP="004D3EC7">
      <w:pPr>
        <w:rPr>
          <w:color w:val="auto"/>
        </w:rPr>
      </w:pPr>
    </w:p>
    <w:p w14:paraId="548E16D1" w14:textId="77777777" w:rsidR="00B351D1" w:rsidRDefault="00B351D1">
      <w:pPr>
        <w:rPr>
          <w:color w:val="auto"/>
        </w:rPr>
      </w:pPr>
      <w:r>
        <w:rPr>
          <w:color w:val="auto"/>
        </w:rPr>
        <w:br w:type="page"/>
      </w:r>
      <w:bookmarkStart w:id="0" w:name="_GoBack"/>
      <w:bookmarkEnd w:id="0"/>
    </w:p>
    <w:p w14:paraId="0E36CAE0" w14:textId="0A5AB2E8" w:rsidR="00EB1C36" w:rsidRDefault="00EB1C36" w:rsidP="00EB1C36">
      <w:pPr>
        <w:rPr>
          <w:color w:val="auto"/>
        </w:rPr>
      </w:pPr>
      <w:r w:rsidRPr="00EB1C36">
        <w:rPr>
          <w:color w:val="auto"/>
        </w:rPr>
        <w:lastRenderedPageBreak/>
        <w:t xml:space="preserve">L’annexe </w:t>
      </w:r>
      <w:r w:rsidR="00B351D1">
        <w:rPr>
          <w:color w:val="auto"/>
        </w:rPr>
        <w:t xml:space="preserve">suivante </w:t>
      </w:r>
      <w:r w:rsidRPr="00EB1C36">
        <w:rPr>
          <w:color w:val="auto"/>
        </w:rPr>
        <w:t>présente le chapitre relatif à ce modèle du rapport commandé par le Trésor Français et la Commission de la CEMAC au CERDI sur l’harmonisation de la fiscalité en zone franc restitué aux ministres des finances en novembre dernier.</w:t>
      </w:r>
    </w:p>
    <w:p w14:paraId="6711A294" w14:textId="77777777" w:rsidR="00EB1C36" w:rsidRPr="004D3EC7" w:rsidRDefault="004D3EC7" w:rsidP="00EB1C36">
      <w:pPr>
        <w:rPr>
          <w:i/>
          <w:color w:val="auto"/>
        </w:rPr>
      </w:pPr>
      <w:r w:rsidRPr="004D3EC7">
        <w:rPr>
          <w:i/>
          <w:color w:val="auto"/>
        </w:rPr>
        <w:t>Extrait du rapport sur l’harmonisation de la fiscalité en Zone franc</w:t>
      </w:r>
    </w:p>
    <w:p w14:paraId="2A96FDBE" w14:textId="77777777" w:rsidR="00EB1C36" w:rsidRPr="00EB1C36" w:rsidRDefault="00EB1C36" w:rsidP="00EB1C36">
      <w:pPr>
        <w:pStyle w:val="Titreparties1"/>
        <w:spacing w:after="100" w:afterAutospacing="1"/>
      </w:pPr>
      <w:bookmarkStart w:id="1" w:name="_Toc496955750"/>
      <w:r w:rsidRPr="00EB1C36">
        <w:t>II. Au-delà de l’IS : le taux effectif moyen d’imposition en Zone Franc</w:t>
      </w:r>
      <w:bookmarkEnd w:id="1"/>
    </w:p>
    <w:p w14:paraId="7D912874" w14:textId="77777777" w:rsidR="00EB1C36" w:rsidRPr="00EB1C36" w:rsidRDefault="00EB1C36" w:rsidP="00EB1C36">
      <w:pPr>
        <w:pStyle w:val="Corpstexte"/>
      </w:pPr>
      <w:r w:rsidRPr="00EB1C36">
        <w:t>Au-delà de l’IS, les entreprises opérant dans la Zone Franc supportent divers impôts l’impôt sur le revenu des capitaux mobiliers (IRCM), la TVA, les droits de douanes, les patentes, les licences et droits d’enregistrement, les taxes foncières et les contributions forfaitaires employeurs (CFE). Ces différents prélèvements peuvent être appréciés par une mesure synthétique : le taux effectif moyen d’imposition (TEMI). Cette approche permet de comparer notamment le régime de droit commun avec celui du code des investissements en dépassant la simple appréciation des taux statutaire et d’en déduire l’importance des avantages accordés par les codes des investissements dans chaque pays de la Zone Franc. La méth</w:t>
      </w:r>
      <w:r>
        <w:t>odologie adoptée est décrite en annexe 1.</w:t>
      </w:r>
    </w:p>
    <w:p w14:paraId="44C9E074" w14:textId="77777777" w:rsidR="00EB1C36" w:rsidRPr="00EB1C36" w:rsidRDefault="00EB1C36" w:rsidP="00EB1C36">
      <w:pPr>
        <w:pStyle w:val="Corpstexte"/>
      </w:pPr>
      <w:r w:rsidRPr="00EB1C36">
        <w:t>Le régime fiscal simulé peut être celui du code général des impôts ou celui du code des investissements. Le TEMI est évalué à partir d’un modèle de flux de trésorerie suivant la méthodologie développée par Djankov et al. (2010). Les différents régimes fiscaux sont appliqués aux données comptables d’une entreprise représentative</w:t>
      </w:r>
      <w:r w:rsidRPr="00EB1C36">
        <w:rPr>
          <w:rStyle w:val="Appelnotedebasdep"/>
          <w:rFonts w:ascii="Times New Roman" w:hAnsi="Times New Roman"/>
          <w:sz w:val="24"/>
        </w:rPr>
        <w:footnoteReference w:id="1"/>
      </w:r>
      <w:r w:rsidRPr="00EB1C36">
        <w:t xml:space="preserve">. Cette entreprise est supposée être localisée dans la plus grande ville du pays, employer 60 salariés et vendre la totalité de sa production sur le marché local. La charge fiscale supportée par la société est calculée sur cinq ans et intègre quatre impôts (CFE, IS, IMF et IRCM). L’entreprise est modélisée d’après les coefficients de Djankov (2010). Ces coefficients sont multipliés par le PNB/tête des pays, dont les chiffres datent de 2014 et sont issus des World Development Indicators (Banque Mondiale). Le modèle ainsi construit permet de connaître le TEMI selon la législation de chaque pays. </w:t>
      </w:r>
    </w:p>
    <w:p w14:paraId="0FB494CA" w14:textId="77777777" w:rsidR="00EB1C36" w:rsidRPr="00EB1C36" w:rsidRDefault="00EB1C36" w:rsidP="00EB1C36">
      <w:pPr>
        <w:pStyle w:val="Corpstexte"/>
      </w:pPr>
      <w:r w:rsidRPr="00EB1C36">
        <w:t>Le TEMI s’interprète comme la part que représentent les impôts dans le bénéfice de l’entreprise. Un TEMI global est d’abord calculé en tenant compte des quatre impôts modélisés. Un TEMI IS est ensuite calculé en ne retenant que l’IS et l’IMF, de leur poids dans la charge fiscale de l’entreprise et des dérogations multiples qui les concernent. Plusieurs scénarios ont été développé selon deux critères : le régime fiscal et le taux marge de l’entreprise. L’entreprise est supposée éligible au régime dérogatoire le moins avantageux du code des investissements, ce qu’illustre le minimum des avantages accordés</w:t>
      </w:r>
      <w:r w:rsidRPr="00EB1C36">
        <w:rPr>
          <w:rStyle w:val="Appelnotedebasdep"/>
          <w:rFonts w:ascii="Times New Roman" w:hAnsi="Times New Roman"/>
          <w:sz w:val="24"/>
        </w:rPr>
        <w:footnoteReference w:id="2"/>
      </w:r>
      <w:r w:rsidRPr="00EB1C36">
        <w:t>. Une modification du taux de marge de l’entreprise permet de tester la sensibilité des résultats aux paramètres économique retenus. Les deux taux de marge avant impôts retenus sont 7,5% et 22,5%</w:t>
      </w:r>
      <w:r w:rsidRPr="00EB1C36">
        <w:rPr>
          <w:rStyle w:val="Appelnotedebasdep"/>
          <w:rFonts w:ascii="Times New Roman" w:hAnsi="Times New Roman"/>
          <w:sz w:val="24"/>
        </w:rPr>
        <w:footnoteReference w:id="3"/>
      </w:r>
      <w:r w:rsidRPr="00EB1C36">
        <w:t>.</w:t>
      </w:r>
    </w:p>
    <w:p w14:paraId="1DBCCA46" w14:textId="77777777" w:rsidR="00EB1C36" w:rsidRPr="00EB1C36" w:rsidRDefault="00EB1C36" w:rsidP="00EB1C36">
      <w:pPr>
        <w:pStyle w:val="Corpstexte"/>
      </w:pPr>
      <w:r w:rsidRPr="00EB1C36">
        <w:t xml:space="preserve">Sous le régime de droit commun, le TEMI varient de 31,1% en Côte d’Ivoire à 44,8% au Cameroun pour une entreprise dégageant un bénéfice avant impôts de 22,5% (cf. graphique 2). Ces résultats sont proches avec une entreprise représentative peu profitable dont le taux de marge est de 7,5%. Les TEMIs de la CEMAC sont significativement supérieurs à ceux de l’UEMOA, en moyenne de 6 points. </w:t>
      </w:r>
      <w:r w:rsidRPr="00EB1C36">
        <w:lastRenderedPageBreak/>
        <w:t>Cette différence entre pays résulte de politiques fiscales différentes entre les deux unions en particulier en matière de taux statutaire.</w:t>
      </w:r>
    </w:p>
    <w:p w14:paraId="6EA89E71" w14:textId="5966A283" w:rsidR="00EB1C36" w:rsidRPr="00EB1C36" w:rsidRDefault="00EB1C36" w:rsidP="00EB1C36">
      <w:pPr>
        <w:pStyle w:val="Corpstexte"/>
        <w:rPr>
          <w:rFonts w:eastAsia="Times New Roman"/>
          <w:b/>
          <w:lang w:eastAsia="fr-FR"/>
        </w:rPr>
      </w:pPr>
    </w:p>
    <w:p w14:paraId="55D34C09" w14:textId="2F7C80E2" w:rsidR="00EB1C36" w:rsidRPr="00EB1C36" w:rsidRDefault="00EB1C36" w:rsidP="00EB1C36">
      <w:pPr>
        <w:pStyle w:val="Graphiques"/>
      </w:pPr>
      <w:bookmarkStart w:id="2" w:name="_Toc496956787"/>
      <w:r w:rsidRPr="00EB1C36">
        <w:t>Graphique 2. TEMI global sous le régime de droit commun (4 impôts sur 5 ans).</w:t>
      </w:r>
      <w:bookmarkEnd w:id="2"/>
    </w:p>
    <w:p w14:paraId="2618E032" w14:textId="77777777" w:rsidR="00EB1C36" w:rsidRPr="00EB1C36" w:rsidRDefault="00EB1C36" w:rsidP="00EB1C36">
      <w:pPr>
        <w:jc w:val="center"/>
        <w:rPr>
          <w:color w:val="auto"/>
        </w:rPr>
      </w:pPr>
      <w:r w:rsidRPr="00EB1C36">
        <w:rPr>
          <w:noProof/>
          <w:color w:val="auto"/>
        </w:rPr>
        <w:drawing>
          <wp:inline distT="0" distB="0" distL="0" distR="0" wp14:anchorId="0E5C1CF1" wp14:editId="7ECF1526">
            <wp:extent cx="5272644" cy="2921329"/>
            <wp:effectExtent l="0" t="0" r="4445"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35D995C" w14:textId="77777777" w:rsidR="00EB1C36" w:rsidRPr="00EB1C36" w:rsidRDefault="00EB1C36" w:rsidP="00EB1C36">
      <w:pPr>
        <w:pStyle w:val="Sources"/>
        <w:ind w:firstLine="709"/>
      </w:pPr>
      <w:r w:rsidRPr="00EB1C36">
        <w:t>Source : Calcul des auteurs d’après la législation nationale</w:t>
      </w:r>
    </w:p>
    <w:p w14:paraId="58D124EE" w14:textId="77777777" w:rsidR="00EB1C36" w:rsidRPr="00EB1C36" w:rsidRDefault="00EB1C36" w:rsidP="00EB1C36">
      <w:pPr>
        <w:pStyle w:val="Graphiques"/>
        <w:tabs>
          <w:tab w:val="left" w:pos="795"/>
        </w:tabs>
        <w:jc w:val="left"/>
      </w:pPr>
    </w:p>
    <w:p w14:paraId="6A829560" w14:textId="77777777" w:rsidR="00EB1C36" w:rsidRPr="00EB1C36" w:rsidRDefault="00EB1C36" w:rsidP="00EB1C36">
      <w:pPr>
        <w:pStyle w:val="Graphiques"/>
      </w:pPr>
      <w:bookmarkStart w:id="3" w:name="_Toc496956788"/>
      <w:r w:rsidRPr="00EB1C36">
        <w:t>Graphique 3</w:t>
      </w:r>
      <w:r w:rsidRPr="00EB1C36">
        <w:rPr>
          <w:noProof/>
        </w:rPr>
        <w:t>.</w:t>
      </w:r>
      <w:r w:rsidRPr="00EB1C36">
        <w:t xml:space="preserve"> TEMI IS sous le régime de droit commun (IS et IMF sur 5 ans).</w:t>
      </w:r>
      <w:bookmarkEnd w:id="3"/>
    </w:p>
    <w:p w14:paraId="2EA978B1" w14:textId="77777777" w:rsidR="00EB1C36" w:rsidRPr="00EB1C36" w:rsidRDefault="00EB1C36" w:rsidP="00EB1C36">
      <w:pPr>
        <w:rPr>
          <w:color w:val="auto"/>
        </w:rPr>
      </w:pPr>
      <w:r w:rsidRPr="00EB1C36">
        <w:rPr>
          <w:noProof/>
          <w:color w:val="auto"/>
        </w:rPr>
        <w:drawing>
          <wp:inline distT="0" distB="0" distL="0" distR="0" wp14:anchorId="696B5D92" wp14:editId="56F1932A">
            <wp:extent cx="5605153" cy="3158837"/>
            <wp:effectExtent l="0" t="0" r="0" b="381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687D899" w14:textId="77777777" w:rsidR="00EB1C36" w:rsidRPr="00EB1C36" w:rsidRDefault="00EB1C36" w:rsidP="00EB1C36">
      <w:pPr>
        <w:pStyle w:val="Sources"/>
      </w:pPr>
      <w:r w:rsidRPr="00EB1C36">
        <w:t>Source : Calcul des auteurs d’après la législation nationale</w:t>
      </w:r>
    </w:p>
    <w:p w14:paraId="148D2533" w14:textId="77777777" w:rsidR="00EB1C36" w:rsidRPr="00EB1C36" w:rsidRDefault="00EB1C36" w:rsidP="00EB1C36">
      <w:pPr>
        <w:pStyle w:val="Sources"/>
      </w:pPr>
    </w:p>
    <w:p w14:paraId="05D8D12D" w14:textId="77777777" w:rsidR="00EB1C36" w:rsidRPr="00EB1C36" w:rsidRDefault="00EB1C36" w:rsidP="00EB1C36">
      <w:pPr>
        <w:pStyle w:val="Corpstexte"/>
      </w:pPr>
      <w:r w:rsidRPr="00EB1C36">
        <w:t xml:space="preserve">Les taux statutaires d’IS et d’IMF sont sensiblement plus élevés dans les pays de la CEMAC que dans ceux de l’UEMOA (cf. tableau 1). En effet, les taux d’IS sont compris entre 30% et 35% dans les pays de la CEMAC, tandis qu’ils sont compris entre 25% et 30% dans les pays de l’UEMOA. De façon similaire, </w:t>
      </w:r>
      <w:r w:rsidRPr="00EB1C36">
        <w:lastRenderedPageBreak/>
        <w:t>les taux statutaires d’IMF sont compris entre 1% et 2,2% dans la CEMAC, tandis qu’ils sont compris entre 0,5% et 1% dans l’UEMOA, à l’exception du Niger dont le taux est de 1,5%. (cf. tableau 1).</w:t>
      </w:r>
    </w:p>
    <w:p w14:paraId="69DD4EF0" w14:textId="77777777" w:rsidR="00EB1C36" w:rsidRPr="00EB1C36" w:rsidRDefault="00EB1C36" w:rsidP="00EB1C36">
      <w:pPr>
        <w:pStyle w:val="Corpstexte"/>
      </w:pPr>
      <w:r w:rsidRPr="00EB1C36">
        <w:t>Les taux statutaires des CFE et de l’IRCM sont très hétérogènes. Les taux de CFE varient de 2,5% au Cameroun à 8,7% au Tchad, à l’exception de la République centrafricaine où aucune taxe sur les salaires à la charge des employeurs n’a pu être identifiée. Les taux d’IRCM varient de 10% pour le Bénin, le Mali, le Niger ou le Sénégal à 20% au Gabon et au Tchad en ce qui concerne les dividendes et de 6% au Bénin à 25% au Burkina Faso en ce qui concerne les intérêts. Les CFE et l’IRCM ne font l’objet d’aucune directive communautaire, à l’exception des valeurs mobilières dans l’UEMOA</w:t>
      </w:r>
      <w:r w:rsidRPr="00EB1C36">
        <w:rPr>
          <w:rStyle w:val="Appelnotedebasdep"/>
          <w:rFonts w:ascii="Times New Roman" w:hAnsi="Times New Roman"/>
          <w:sz w:val="24"/>
        </w:rPr>
        <w:footnoteReference w:id="4"/>
      </w:r>
      <w:r w:rsidRPr="00EB1C36">
        <w:t xml:space="preserve"> (cf. annexe 3). Les taux de CFE ne sont pas significativement différents entre les deux zones, contrairement au taux de l’IRCM qui sont supérieurs pour les pays de la CEMAC par rapport à ceux de l’UEMOA (cf. annexe 2).</w:t>
      </w:r>
    </w:p>
    <w:p w14:paraId="6A2A31BD" w14:textId="77777777" w:rsidR="00EB1C36" w:rsidRPr="00EB1C36" w:rsidRDefault="00EB1C36" w:rsidP="00EB1C36">
      <w:pPr>
        <w:pStyle w:val="Corpstexte"/>
      </w:pPr>
      <w:r w:rsidRPr="00EB1C36">
        <w:t>La comparaison des seuls taux statutaires n’est cependant pas toujours pertinente.</w:t>
      </w:r>
      <w:r w:rsidRPr="00EB1C36">
        <w:rPr>
          <w:b/>
        </w:rPr>
        <w:t xml:space="preserve"> </w:t>
      </w:r>
      <w:r w:rsidRPr="00EB1C36">
        <w:t>Bien que les taux statutaires d’imposition restent un signal pour les entreprises, le calcul de la charge fiscale effective est d’autant plus important que l’assiette de l’IS diffère selon les charges déductibles autorisées par chaque Etat. Les règles fiscales les plus importantes concernent la déductibilité des amortissements, des provisions et les charges d’intérêts ainsi que les règles de report de déficit. Etant donné les caractéristiques économiques de l’entreprise modélisée, seul le cas des amortissements est étudié ici.  En effet, bien que les directives IS des deux unions permettent l’amortissement dégressif</w:t>
      </w:r>
      <w:r w:rsidRPr="00EB1C36">
        <w:rPr>
          <w:rStyle w:val="Appelnotedebasdep"/>
          <w:rFonts w:ascii="Times New Roman" w:hAnsi="Times New Roman"/>
          <w:sz w:val="24"/>
        </w:rPr>
        <w:footnoteReference w:id="5"/>
      </w:r>
      <w:r w:rsidRPr="00EB1C36">
        <w:t>, seuls les Etats membres de l’UEMOA l’ont introduit dans leurs codes des impôts. L’amortissement des biens d’équipement y est alors plus rapide, ce qui peut réduire le TEMI IS dans l’UEMOA par rapport à la CEMAC. L’impact est d’autant plus important que le taux de marge est faible</w:t>
      </w:r>
      <w:r w:rsidRPr="00EB1C36">
        <w:rPr>
          <w:rStyle w:val="Appelnotedebasdep"/>
          <w:rFonts w:ascii="Times New Roman" w:hAnsi="Times New Roman"/>
          <w:sz w:val="24"/>
        </w:rPr>
        <w:footnoteReference w:id="6"/>
      </w:r>
      <w:r w:rsidRPr="00EB1C36">
        <w:t xml:space="preserve">. </w:t>
      </w:r>
    </w:p>
    <w:p w14:paraId="6FC316B8" w14:textId="77777777" w:rsidR="00EB1C36" w:rsidRPr="00EB1C36" w:rsidRDefault="00EB1C36" w:rsidP="00EB1C36">
      <w:pPr>
        <w:pStyle w:val="Titreparties1"/>
        <w:spacing w:after="100" w:afterAutospacing="1"/>
        <w:rPr>
          <w:sz w:val="28"/>
          <w:szCs w:val="28"/>
        </w:rPr>
      </w:pPr>
      <w:bookmarkStart w:id="4" w:name="_Toc496955751"/>
      <w:r w:rsidRPr="00EB1C36">
        <w:t>III. Les codes des investissements en Zone Franc</w:t>
      </w:r>
      <w:bookmarkEnd w:id="4"/>
    </w:p>
    <w:p w14:paraId="2A4B82BD" w14:textId="77777777" w:rsidR="00EB1C36" w:rsidRPr="00EB1C36" w:rsidRDefault="00EB1C36" w:rsidP="00EB1C36">
      <w:pPr>
        <w:pStyle w:val="Corpstexte"/>
      </w:pPr>
      <w:r w:rsidRPr="00EB1C36">
        <w:t>Les efforts d’harmonisation fiscale décrits à la première section concernent la fiscalité de droit commun. Cependant, l’article 8 de la Directive  N°01/2008/CM/UEMOA</w:t>
      </w:r>
      <w:r w:rsidRPr="00EB1C36">
        <w:rPr>
          <w:rStyle w:val="Appelnotedebasdep"/>
          <w:rFonts w:ascii="Times New Roman" w:hAnsi="Times New Roman"/>
          <w:sz w:val="24"/>
        </w:rPr>
        <w:footnoteReference w:id="7"/>
      </w:r>
      <w:r w:rsidRPr="00EB1C36">
        <w:t xml:space="preserve"> autorise les Etats membres à exonérer de l’IS des entreprises relevant du code des Investissements ou de codes sectoriels (code minier, pétrolier ou autres). Une telle disposition peut s’expliquer par le processus de coordination fiscale qui ne peut pas être coercitif, mais doit se réaliser de façon unanime. Elle est une limite évidente à l’harmonisation fiscale en permettant une concurrence fiscale par les régimes dérogatoires en particulier par des codes des investissements plus ou moins généreux.</w:t>
      </w:r>
    </w:p>
    <w:p w14:paraId="2DE343BC" w14:textId="77777777" w:rsidR="00EB1C36" w:rsidRPr="00EB1C36" w:rsidRDefault="00EB1C36" w:rsidP="00EB1C36">
      <w:pPr>
        <w:pStyle w:val="Corpstexte"/>
      </w:pPr>
      <w:r w:rsidRPr="00EB1C36">
        <w:t xml:space="preserve">Ces régimes dérogatoires en matière de fiscalité sur les bénéfices visent principalement à attirer les investissements étrangers. Certains régimes dérogatoires s’appliquent à des secteurs d’activité </w:t>
      </w:r>
      <w:r w:rsidRPr="00EB1C36">
        <w:lastRenderedPageBreak/>
        <w:t xml:space="preserve">spécifiques (codes miniers, codes pétroliers, codes forestiers, codes des télécommunications,…), d’autres ont une portée plus générale comme le code des investissements. </w:t>
      </w:r>
    </w:p>
    <w:p w14:paraId="02AA4A2F" w14:textId="77777777" w:rsidR="00EB1C36" w:rsidRPr="00EB1C36" w:rsidRDefault="00EB1C36" w:rsidP="00EB1C36">
      <w:pPr>
        <w:pStyle w:val="Corpstexte"/>
      </w:pPr>
      <w:r w:rsidRPr="00EB1C36">
        <w:t xml:space="preserve">Le graphique 4 présente les TEMI résultant de l’application des codes des investissements nationaux à une entreprise représentative. Il apparaît une grande hétérogénéité de ces TEMI entre les pays de la Zone Franc. Ceux-là varient ainsi de 9,5% au Bénin à 34,4% au Niger pour un taux de marge de 22,5% et de 15,5% en Côte d’Ivoire à 36% au Cameroun pour un taux de marge de 7,5%. </w:t>
      </w:r>
    </w:p>
    <w:p w14:paraId="59EC9A1B" w14:textId="77777777" w:rsidR="00EB1C36" w:rsidRPr="00EB1C36" w:rsidRDefault="00EB1C36" w:rsidP="00EB1C36">
      <w:pPr>
        <w:pStyle w:val="Graphiques"/>
      </w:pPr>
      <w:bookmarkStart w:id="5" w:name="_Toc496956789"/>
      <w:r w:rsidRPr="00EB1C36">
        <w:t>Graphique 4. TEMI global sous le régime dérogatoire du code des investissements (4 impôts sur 5 ans).</w:t>
      </w:r>
      <w:bookmarkEnd w:id="5"/>
    </w:p>
    <w:p w14:paraId="64E0DE04" w14:textId="77777777" w:rsidR="00EB1C36" w:rsidRPr="00EB1C36" w:rsidRDefault="00EB1C36" w:rsidP="00EB1C36">
      <w:pPr>
        <w:jc w:val="center"/>
        <w:rPr>
          <w:color w:val="auto"/>
        </w:rPr>
      </w:pPr>
      <w:r w:rsidRPr="00EB1C36">
        <w:rPr>
          <w:noProof/>
          <w:color w:val="auto"/>
        </w:rPr>
        <w:drawing>
          <wp:inline distT="0" distB="0" distL="0" distR="0" wp14:anchorId="0CA78608" wp14:editId="11CD973B">
            <wp:extent cx="4904509" cy="2636322"/>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B238FD" w14:textId="77777777" w:rsidR="00EB1C36" w:rsidRPr="00EB1C36" w:rsidRDefault="00EB1C36" w:rsidP="00EB1C36">
      <w:pPr>
        <w:pStyle w:val="Sources"/>
      </w:pPr>
      <w:r w:rsidRPr="00EB1C36">
        <w:t>Source : Calcul des auteurs d’après la législation nationale</w:t>
      </w:r>
    </w:p>
    <w:p w14:paraId="4D410D36" w14:textId="77777777" w:rsidR="00EB1C36" w:rsidRPr="00610DC1" w:rsidRDefault="00EB1C36" w:rsidP="00EB1C36">
      <w:pPr>
        <w:pStyle w:val="Sources"/>
      </w:pPr>
    </w:p>
    <w:p w14:paraId="53A4BF83" w14:textId="77777777" w:rsidR="00EB1C36" w:rsidRPr="00610DC1" w:rsidRDefault="00EB1C36" w:rsidP="00EB1C36">
      <w:pPr>
        <w:pStyle w:val="Corpstexte"/>
      </w:pPr>
      <w:r w:rsidRPr="00610DC1">
        <w:t>Les avantages accordés par les régimes des investissements en matière d’IS et d’IMF impactent le TEMI IS de manière très différente selon les dispositions retenues par chacun des pays de la Zone Franc :</w:t>
      </w:r>
    </w:p>
    <w:p w14:paraId="7253D7D5" w14:textId="77777777" w:rsidR="00EB1C36" w:rsidRPr="00610DC1" w:rsidRDefault="00EB1C36" w:rsidP="00EB1C36">
      <w:pPr>
        <w:pStyle w:val="Corpstexte"/>
        <w:numPr>
          <w:ilvl w:val="0"/>
          <w:numId w:val="29"/>
        </w:numPr>
      </w:pPr>
      <w:r w:rsidRPr="00610DC1">
        <w:t>L’exonération d’IS seule est plus avantageuse dans l’UEMOA où les taux statutaires d’IMF sont déjà plus bas (Côte d’Ivoire, Bénin) que dans la CEMAC (Gabon, Congo, Centrafrique). L’exonération d’IS seule est d’autant plus attractive que la marge des entreprises est élevée et que le taux statutaire d’IMF est faible.</w:t>
      </w:r>
    </w:p>
    <w:p w14:paraId="158BFF04" w14:textId="77777777" w:rsidR="00EB1C36" w:rsidRPr="00610DC1" w:rsidRDefault="00EB1C36" w:rsidP="00EB1C36">
      <w:pPr>
        <w:pStyle w:val="Corpstexte"/>
        <w:numPr>
          <w:ilvl w:val="0"/>
          <w:numId w:val="29"/>
        </w:numPr>
      </w:pPr>
      <w:r w:rsidRPr="00610DC1">
        <w:t>Au Niger, l’exonération d’IMF seule ne bénéficie qu’aux entreprises déficitaires ou réalisant un faible bénéfice. Elle est donc peu attractive et permet principalement de soulager la trésorerie des entreprises en période d’investissement mais n’a que peu d’impact à moyen et long terme sur les TEMIs. Il faudrait par exemple que l’entreprise modélisée dégage un taux de marge avant impôts inférieur à 6,3% pour que l’exonération d’IMF réduise le TEMI IS.</w:t>
      </w:r>
    </w:p>
    <w:p w14:paraId="36C30103" w14:textId="77777777" w:rsidR="00EB1C36" w:rsidRPr="00610DC1" w:rsidRDefault="00EB1C36" w:rsidP="00EB1C36">
      <w:pPr>
        <w:pStyle w:val="Corpstexte"/>
        <w:numPr>
          <w:ilvl w:val="0"/>
          <w:numId w:val="29"/>
        </w:numPr>
      </w:pPr>
      <w:r w:rsidRPr="00610DC1">
        <w:t>Au Tchad, l’exonération simultanée d’IS et d’IMF bénéficie à toutes les entreprises, quelle que soit leur marge. C’est une mesure d’autant plus attractive que le taux de marge est élevé.</w:t>
      </w:r>
    </w:p>
    <w:p w14:paraId="720AB1A5" w14:textId="77777777" w:rsidR="00EB1C36" w:rsidRPr="00610DC1" w:rsidRDefault="00EB1C36" w:rsidP="00EB1C36">
      <w:pPr>
        <w:pStyle w:val="Corpstexte"/>
        <w:numPr>
          <w:ilvl w:val="0"/>
          <w:numId w:val="29"/>
        </w:numPr>
      </w:pPr>
      <w:r w:rsidRPr="00610DC1">
        <w:t>Les taux réduits d’IS, appliqués au Cameroun, au Mali et au Togo, sont d’autant plus attractifs que la marge de l’entreprise est élevée et que le taux réduit est faible. Le taux réduit entraine une diminution de la charge fiscale d’IS entre le régime général et le code des investissements de 16,5 point au Cameroun et de 5 points au Mali.</w:t>
      </w:r>
    </w:p>
    <w:p w14:paraId="1F4DF3D1" w14:textId="77777777" w:rsidR="00EB1C36" w:rsidRPr="00610DC1" w:rsidRDefault="00EB1C36" w:rsidP="00EB1C36">
      <w:pPr>
        <w:pStyle w:val="Corpstexte"/>
        <w:numPr>
          <w:ilvl w:val="0"/>
          <w:numId w:val="29"/>
        </w:numPr>
      </w:pPr>
      <w:r w:rsidRPr="00610DC1">
        <w:lastRenderedPageBreak/>
        <w:t>L’autorisation de déduire de l’assiette de l’IS une partie du montant de l’investissement réalisé, comme c’est le cas au Burkina Faso, au Togo et au Sénégal, est d’autant plus attractif que l’investissement est important et que le taux de marge de l’entreprise est faible. En effet, la déduction  n’a que peu d’incidence sur le TEMI IS du projet dès lors que la déduction s’opère en intégralité sur la première année du projet.</w:t>
      </w:r>
    </w:p>
    <w:p w14:paraId="0C8F498F" w14:textId="77777777" w:rsidR="00EB1C36" w:rsidRPr="00610DC1" w:rsidRDefault="00EB1C36" w:rsidP="00EB1C36">
      <w:pPr>
        <w:pStyle w:val="Corpstexte"/>
      </w:pPr>
      <w:r w:rsidRPr="00610DC1">
        <w:t>Le calcul du TEMI IS (cf. graphique 5) illustre également les effets variés de chacune de ces mesures dérogatoires. La différence de TEMI IS entre le régime général et le code des investissements est faible pour les entreprises à taux de marge élevé (cf. annexe 1). Cette situation s’explique par l’utilisation différenciée des mesures dérogatoires portant sur l’IS et/ou l’IMF par les pays des deux unions.</w:t>
      </w:r>
    </w:p>
    <w:p w14:paraId="7005A200" w14:textId="77777777" w:rsidR="00EB1C36" w:rsidRPr="00610DC1" w:rsidRDefault="00EB1C36" w:rsidP="00EB1C36">
      <w:pPr>
        <w:pStyle w:val="Graphiques"/>
      </w:pPr>
      <w:bookmarkStart w:id="6" w:name="_Toc496956790"/>
      <w:r w:rsidRPr="00610DC1">
        <w:t>Graphique 5. TEMI IS sous les régimes dérogatoires des codes des investissements (IS et IMF sur 5 ans).</w:t>
      </w:r>
      <w:bookmarkEnd w:id="6"/>
    </w:p>
    <w:p w14:paraId="2324DCE7" w14:textId="77777777" w:rsidR="00EB1C36" w:rsidRPr="00610DC1" w:rsidRDefault="00EB1C36" w:rsidP="00EB1C36">
      <w:pPr>
        <w:jc w:val="center"/>
        <w:rPr>
          <w:color w:val="auto"/>
        </w:rPr>
      </w:pPr>
      <w:r w:rsidRPr="00610DC1">
        <w:rPr>
          <w:noProof/>
          <w:color w:val="auto"/>
        </w:rPr>
        <w:drawing>
          <wp:inline distT="0" distB="0" distL="0" distR="0" wp14:anchorId="172F805D" wp14:editId="145C1FAB">
            <wp:extent cx="5070763" cy="2873828"/>
            <wp:effectExtent l="0" t="0" r="0" b="317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83B49FB" w14:textId="77777777" w:rsidR="00EB1C36" w:rsidRPr="00610DC1" w:rsidRDefault="00EB1C36" w:rsidP="00EB1C36">
      <w:pPr>
        <w:ind w:left="708"/>
        <w:rPr>
          <w:color w:val="auto"/>
        </w:rPr>
      </w:pPr>
      <w:r w:rsidRPr="00610DC1">
        <w:rPr>
          <w:color w:val="auto"/>
        </w:rPr>
        <w:t>Source : Calcul des auteurs d’après la législation nationale</w:t>
      </w:r>
    </w:p>
    <w:p w14:paraId="759207A2" w14:textId="77777777" w:rsidR="00610DC1" w:rsidRDefault="00610DC1">
      <w:pPr>
        <w:rPr>
          <w:color w:val="auto"/>
        </w:rPr>
      </w:pPr>
      <w:r>
        <w:rPr>
          <w:color w:val="auto"/>
        </w:rPr>
        <w:br w:type="page"/>
      </w:r>
    </w:p>
    <w:p w14:paraId="7E3BCFCD" w14:textId="77777777" w:rsidR="00610DC1" w:rsidRPr="00610DC1" w:rsidRDefault="00610DC1" w:rsidP="00EB1C36">
      <w:pPr>
        <w:ind w:left="708"/>
        <w:rPr>
          <w:color w:val="auto"/>
        </w:rPr>
      </w:pPr>
    </w:p>
    <w:p w14:paraId="579FF8B6" w14:textId="77777777" w:rsidR="00610DC1" w:rsidRPr="00610DC1" w:rsidRDefault="00610DC1" w:rsidP="00610DC1">
      <w:pPr>
        <w:pStyle w:val="Titreparties1"/>
      </w:pPr>
      <w:bookmarkStart w:id="7" w:name="_Ref452996208"/>
      <w:bookmarkStart w:id="8" w:name="_Toc496955814"/>
      <w:r w:rsidRPr="00610DC1">
        <w:t>Annexe </w:t>
      </w:r>
      <w:bookmarkEnd w:id="7"/>
      <w:r w:rsidRPr="00610DC1">
        <w:t>1 – Données économiques de l’entreprise représentative</w:t>
      </w:r>
      <w:bookmarkEnd w:id="8"/>
    </w:p>
    <w:p w14:paraId="2F154718" w14:textId="77777777" w:rsidR="00610DC1" w:rsidRPr="00610DC1" w:rsidRDefault="00610DC1" w:rsidP="00610DC1">
      <w:pPr>
        <w:rPr>
          <w:color w:val="auto"/>
        </w:rPr>
      </w:pPr>
      <w:r w:rsidRPr="00610DC1">
        <w:rPr>
          <w:color w:val="auto"/>
        </w:rPr>
        <w:t>Le bilan à l’ouverture de l’entreprise s’élève à 250×PNB/tête.</w:t>
      </w:r>
    </w:p>
    <w:tbl>
      <w:tblPr>
        <w:tblW w:w="9212" w:type="dxa"/>
        <w:tblLook w:val="04A0" w:firstRow="1" w:lastRow="0" w:firstColumn="1" w:lastColumn="0" w:noHBand="0" w:noVBand="1"/>
      </w:tblPr>
      <w:tblGrid>
        <w:gridCol w:w="2868"/>
        <w:gridCol w:w="1737"/>
        <w:gridCol w:w="2868"/>
        <w:gridCol w:w="1739"/>
      </w:tblGrid>
      <w:tr w:rsidR="00610DC1" w:rsidRPr="00610DC1" w14:paraId="0A750459" w14:textId="77777777" w:rsidTr="00706AE8">
        <w:tc>
          <w:tcPr>
            <w:tcW w:w="4605" w:type="dxa"/>
            <w:gridSpan w:val="2"/>
            <w:tcBorders>
              <w:bottom w:val="single" w:sz="4" w:space="0" w:color="auto"/>
            </w:tcBorders>
            <w:shd w:val="clear" w:color="auto" w:fill="auto"/>
          </w:tcPr>
          <w:p w14:paraId="5E55298D" w14:textId="77777777" w:rsidR="00610DC1" w:rsidRPr="00610DC1" w:rsidRDefault="00610DC1" w:rsidP="00706AE8">
            <w:pPr>
              <w:rPr>
                <w:b/>
                <w:color w:val="auto"/>
              </w:rPr>
            </w:pPr>
            <w:r w:rsidRPr="00610DC1">
              <w:rPr>
                <w:b/>
                <w:color w:val="auto"/>
              </w:rPr>
              <w:t>ACTIF</w:t>
            </w:r>
          </w:p>
        </w:tc>
        <w:tc>
          <w:tcPr>
            <w:tcW w:w="4607" w:type="dxa"/>
            <w:gridSpan w:val="2"/>
            <w:tcBorders>
              <w:bottom w:val="single" w:sz="4" w:space="0" w:color="auto"/>
            </w:tcBorders>
            <w:shd w:val="clear" w:color="auto" w:fill="auto"/>
          </w:tcPr>
          <w:p w14:paraId="0427EB28" w14:textId="77777777" w:rsidR="00610DC1" w:rsidRPr="00610DC1" w:rsidRDefault="00610DC1" w:rsidP="00706AE8">
            <w:pPr>
              <w:rPr>
                <w:b/>
                <w:color w:val="auto"/>
              </w:rPr>
            </w:pPr>
            <w:r w:rsidRPr="00610DC1">
              <w:rPr>
                <w:b/>
                <w:color w:val="auto"/>
              </w:rPr>
              <w:t>PASSIF</w:t>
            </w:r>
          </w:p>
        </w:tc>
      </w:tr>
      <w:tr w:rsidR="00610DC1" w:rsidRPr="00610DC1" w14:paraId="6F052E5E" w14:textId="77777777" w:rsidTr="00706AE8">
        <w:tc>
          <w:tcPr>
            <w:tcW w:w="4605" w:type="dxa"/>
            <w:gridSpan w:val="2"/>
            <w:tcBorders>
              <w:bottom w:val="nil"/>
            </w:tcBorders>
            <w:shd w:val="clear" w:color="auto" w:fill="auto"/>
          </w:tcPr>
          <w:p w14:paraId="46348141" w14:textId="77777777" w:rsidR="00610DC1" w:rsidRPr="00610DC1" w:rsidRDefault="00610DC1" w:rsidP="00706AE8">
            <w:pPr>
              <w:rPr>
                <w:b/>
                <w:color w:val="auto"/>
              </w:rPr>
            </w:pPr>
            <w:r w:rsidRPr="00610DC1">
              <w:rPr>
                <w:b/>
                <w:color w:val="auto"/>
              </w:rPr>
              <w:t>Actif immobilisé</w:t>
            </w:r>
          </w:p>
        </w:tc>
        <w:tc>
          <w:tcPr>
            <w:tcW w:w="4607" w:type="dxa"/>
            <w:gridSpan w:val="2"/>
            <w:tcBorders>
              <w:bottom w:val="nil"/>
            </w:tcBorders>
            <w:shd w:val="clear" w:color="auto" w:fill="auto"/>
          </w:tcPr>
          <w:p w14:paraId="674F79EC" w14:textId="77777777" w:rsidR="00610DC1" w:rsidRPr="00610DC1" w:rsidRDefault="00610DC1" w:rsidP="00706AE8">
            <w:pPr>
              <w:rPr>
                <w:b/>
                <w:color w:val="auto"/>
              </w:rPr>
            </w:pPr>
            <w:r w:rsidRPr="00610DC1">
              <w:rPr>
                <w:b/>
                <w:color w:val="auto"/>
              </w:rPr>
              <w:t>Capitaux propres</w:t>
            </w:r>
          </w:p>
        </w:tc>
      </w:tr>
      <w:tr w:rsidR="00610DC1" w:rsidRPr="00610DC1" w14:paraId="60FB1354" w14:textId="77777777" w:rsidTr="00706AE8">
        <w:tc>
          <w:tcPr>
            <w:tcW w:w="2868" w:type="dxa"/>
            <w:tcBorders>
              <w:top w:val="nil"/>
              <w:bottom w:val="nil"/>
              <w:right w:val="nil"/>
            </w:tcBorders>
            <w:shd w:val="clear" w:color="auto" w:fill="auto"/>
          </w:tcPr>
          <w:p w14:paraId="34D0D1F9" w14:textId="77777777" w:rsidR="00610DC1" w:rsidRPr="00610DC1" w:rsidRDefault="00610DC1" w:rsidP="00706AE8">
            <w:pPr>
              <w:rPr>
                <w:color w:val="auto"/>
              </w:rPr>
            </w:pPr>
            <w:r w:rsidRPr="00610DC1">
              <w:rPr>
                <w:color w:val="auto"/>
              </w:rPr>
              <w:t>– Terrain :</w:t>
            </w:r>
          </w:p>
        </w:tc>
        <w:tc>
          <w:tcPr>
            <w:tcW w:w="1737" w:type="dxa"/>
            <w:tcBorders>
              <w:top w:val="nil"/>
              <w:left w:val="nil"/>
              <w:bottom w:val="nil"/>
            </w:tcBorders>
            <w:shd w:val="clear" w:color="auto" w:fill="auto"/>
          </w:tcPr>
          <w:p w14:paraId="4A1400D1" w14:textId="77777777" w:rsidR="00610DC1" w:rsidRPr="00610DC1" w:rsidRDefault="00610DC1" w:rsidP="00706AE8">
            <w:pPr>
              <w:rPr>
                <w:color w:val="auto"/>
              </w:rPr>
            </w:pPr>
            <w:r w:rsidRPr="00610DC1">
              <w:rPr>
                <w:color w:val="auto"/>
              </w:rPr>
              <w:t>30×PNB/tête</w:t>
            </w:r>
          </w:p>
        </w:tc>
        <w:tc>
          <w:tcPr>
            <w:tcW w:w="2868" w:type="dxa"/>
            <w:tcBorders>
              <w:top w:val="nil"/>
              <w:bottom w:val="nil"/>
              <w:right w:val="nil"/>
            </w:tcBorders>
            <w:shd w:val="clear" w:color="auto" w:fill="auto"/>
          </w:tcPr>
          <w:p w14:paraId="7C703713" w14:textId="77777777" w:rsidR="00610DC1" w:rsidRPr="00610DC1" w:rsidRDefault="00610DC1" w:rsidP="00706AE8">
            <w:pPr>
              <w:rPr>
                <w:color w:val="auto"/>
              </w:rPr>
            </w:pPr>
            <w:r w:rsidRPr="00610DC1">
              <w:rPr>
                <w:color w:val="auto"/>
              </w:rPr>
              <w:t>– Capital social :</w:t>
            </w:r>
          </w:p>
        </w:tc>
        <w:tc>
          <w:tcPr>
            <w:tcW w:w="1739" w:type="dxa"/>
            <w:tcBorders>
              <w:top w:val="nil"/>
              <w:left w:val="nil"/>
              <w:bottom w:val="nil"/>
            </w:tcBorders>
            <w:shd w:val="clear" w:color="auto" w:fill="auto"/>
          </w:tcPr>
          <w:p w14:paraId="77FDDC58" w14:textId="77777777" w:rsidR="00610DC1" w:rsidRPr="00610DC1" w:rsidRDefault="00610DC1" w:rsidP="00706AE8">
            <w:pPr>
              <w:rPr>
                <w:color w:val="auto"/>
              </w:rPr>
            </w:pPr>
            <w:r w:rsidRPr="00610DC1">
              <w:rPr>
                <w:color w:val="auto"/>
              </w:rPr>
              <w:t>102×PNB/tête</w:t>
            </w:r>
          </w:p>
        </w:tc>
      </w:tr>
      <w:tr w:rsidR="00610DC1" w:rsidRPr="00610DC1" w14:paraId="07EE3A06" w14:textId="77777777" w:rsidTr="00706AE8">
        <w:tc>
          <w:tcPr>
            <w:tcW w:w="2868" w:type="dxa"/>
            <w:tcBorders>
              <w:top w:val="nil"/>
              <w:bottom w:val="nil"/>
              <w:right w:val="nil"/>
            </w:tcBorders>
            <w:shd w:val="clear" w:color="auto" w:fill="auto"/>
          </w:tcPr>
          <w:p w14:paraId="1B2164FF" w14:textId="77777777" w:rsidR="00610DC1" w:rsidRPr="00610DC1" w:rsidRDefault="00610DC1" w:rsidP="00706AE8">
            <w:pPr>
              <w:rPr>
                <w:color w:val="auto"/>
              </w:rPr>
            </w:pPr>
            <w:r w:rsidRPr="00610DC1">
              <w:rPr>
                <w:color w:val="auto"/>
              </w:rPr>
              <w:t>– Constructions :</w:t>
            </w:r>
          </w:p>
        </w:tc>
        <w:tc>
          <w:tcPr>
            <w:tcW w:w="1737" w:type="dxa"/>
            <w:tcBorders>
              <w:top w:val="nil"/>
              <w:left w:val="nil"/>
              <w:bottom w:val="nil"/>
            </w:tcBorders>
            <w:shd w:val="clear" w:color="auto" w:fill="auto"/>
          </w:tcPr>
          <w:p w14:paraId="6B2C3831" w14:textId="77777777" w:rsidR="00610DC1" w:rsidRPr="00610DC1" w:rsidRDefault="00610DC1" w:rsidP="00706AE8">
            <w:pPr>
              <w:rPr>
                <w:color w:val="auto"/>
              </w:rPr>
            </w:pPr>
            <w:r w:rsidRPr="00610DC1">
              <w:rPr>
                <w:color w:val="auto"/>
              </w:rPr>
              <w:t>40×PNB/tête</w:t>
            </w:r>
          </w:p>
        </w:tc>
        <w:tc>
          <w:tcPr>
            <w:tcW w:w="2868" w:type="dxa"/>
            <w:tcBorders>
              <w:top w:val="nil"/>
              <w:bottom w:val="nil"/>
              <w:right w:val="nil"/>
            </w:tcBorders>
            <w:shd w:val="clear" w:color="auto" w:fill="auto"/>
          </w:tcPr>
          <w:p w14:paraId="1A749A6D"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06550D5C" w14:textId="77777777" w:rsidR="00610DC1" w:rsidRPr="00610DC1" w:rsidRDefault="00610DC1" w:rsidP="00706AE8">
            <w:pPr>
              <w:rPr>
                <w:color w:val="auto"/>
              </w:rPr>
            </w:pPr>
          </w:p>
        </w:tc>
      </w:tr>
      <w:tr w:rsidR="00610DC1" w:rsidRPr="00610DC1" w14:paraId="3AC522CB" w14:textId="77777777" w:rsidTr="00706AE8">
        <w:tc>
          <w:tcPr>
            <w:tcW w:w="2868" w:type="dxa"/>
            <w:tcBorders>
              <w:top w:val="nil"/>
              <w:bottom w:val="nil"/>
              <w:right w:val="nil"/>
            </w:tcBorders>
            <w:shd w:val="clear" w:color="auto" w:fill="auto"/>
          </w:tcPr>
          <w:p w14:paraId="5934A31D" w14:textId="77777777" w:rsidR="00610DC1" w:rsidRPr="00610DC1" w:rsidRDefault="00610DC1" w:rsidP="00706AE8">
            <w:pPr>
              <w:rPr>
                <w:color w:val="auto"/>
              </w:rPr>
            </w:pPr>
            <w:r w:rsidRPr="00610DC1">
              <w:rPr>
                <w:color w:val="auto"/>
              </w:rPr>
              <w:t>– Equipements :</w:t>
            </w:r>
          </w:p>
        </w:tc>
        <w:tc>
          <w:tcPr>
            <w:tcW w:w="1737" w:type="dxa"/>
            <w:tcBorders>
              <w:top w:val="nil"/>
              <w:left w:val="nil"/>
              <w:bottom w:val="nil"/>
            </w:tcBorders>
            <w:shd w:val="clear" w:color="auto" w:fill="auto"/>
          </w:tcPr>
          <w:p w14:paraId="53626C72" w14:textId="77777777" w:rsidR="00610DC1" w:rsidRPr="00610DC1" w:rsidRDefault="00610DC1" w:rsidP="00706AE8">
            <w:pPr>
              <w:rPr>
                <w:color w:val="auto"/>
              </w:rPr>
            </w:pPr>
            <w:r w:rsidRPr="00610DC1">
              <w:rPr>
                <w:color w:val="auto"/>
              </w:rPr>
              <w:t>60×PNB/tête</w:t>
            </w:r>
          </w:p>
        </w:tc>
        <w:tc>
          <w:tcPr>
            <w:tcW w:w="2868" w:type="dxa"/>
            <w:tcBorders>
              <w:top w:val="nil"/>
              <w:bottom w:val="nil"/>
              <w:right w:val="nil"/>
            </w:tcBorders>
            <w:shd w:val="clear" w:color="auto" w:fill="auto"/>
          </w:tcPr>
          <w:p w14:paraId="01E73440"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1DCC1EC5" w14:textId="77777777" w:rsidR="00610DC1" w:rsidRPr="00610DC1" w:rsidRDefault="00610DC1" w:rsidP="00706AE8">
            <w:pPr>
              <w:rPr>
                <w:color w:val="auto"/>
              </w:rPr>
            </w:pPr>
          </w:p>
        </w:tc>
      </w:tr>
      <w:tr w:rsidR="00610DC1" w:rsidRPr="00610DC1" w14:paraId="03FDFDBE" w14:textId="77777777" w:rsidTr="00706AE8">
        <w:tc>
          <w:tcPr>
            <w:tcW w:w="2868" w:type="dxa"/>
            <w:tcBorders>
              <w:top w:val="nil"/>
              <w:bottom w:val="nil"/>
              <w:right w:val="nil"/>
            </w:tcBorders>
            <w:shd w:val="clear" w:color="auto" w:fill="auto"/>
          </w:tcPr>
          <w:p w14:paraId="37D48B35" w14:textId="77777777" w:rsidR="00610DC1" w:rsidRPr="00610DC1" w:rsidRDefault="00610DC1" w:rsidP="00706AE8">
            <w:pPr>
              <w:rPr>
                <w:color w:val="auto"/>
              </w:rPr>
            </w:pPr>
            <w:r w:rsidRPr="00610DC1">
              <w:rPr>
                <w:color w:val="auto"/>
              </w:rPr>
              <w:t>– Camion :</w:t>
            </w:r>
          </w:p>
        </w:tc>
        <w:tc>
          <w:tcPr>
            <w:tcW w:w="1737" w:type="dxa"/>
            <w:tcBorders>
              <w:top w:val="nil"/>
              <w:left w:val="nil"/>
              <w:bottom w:val="nil"/>
            </w:tcBorders>
            <w:shd w:val="clear" w:color="auto" w:fill="auto"/>
          </w:tcPr>
          <w:p w14:paraId="6FED3257" w14:textId="77777777" w:rsidR="00610DC1" w:rsidRPr="00610DC1" w:rsidRDefault="00610DC1" w:rsidP="00706AE8">
            <w:pPr>
              <w:rPr>
                <w:color w:val="auto"/>
              </w:rPr>
            </w:pPr>
            <w:r w:rsidRPr="00610DC1">
              <w:rPr>
                <w:color w:val="auto"/>
              </w:rPr>
              <w:t>5×PNB/tête</w:t>
            </w:r>
          </w:p>
        </w:tc>
        <w:tc>
          <w:tcPr>
            <w:tcW w:w="2868" w:type="dxa"/>
            <w:tcBorders>
              <w:top w:val="nil"/>
              <w:bottom w:val="nil"/>
              <w:right w:val="nil"/>
            </w:tcBorders>
            <w:shd w:val="clear" w:color="auto" w:fill="auto"/>
          </w:tcPr>
          <w:p w14:paraId="79B11562"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198E5274" w14:textId="77777777" w:rsidR="00610DC1" w:rsidRPr="00610DC1" w:rsidRDefault="00610DC1" w:rsidP="00706AE8">
            <w:pPr>
              <w:rPr>
                <w:color w:val="auto"/>
              </w:rPr>
            </w:pPr>
          </w:p>
        </w:tc>
      </w:tr>
      <w:tr w:rsidR="00610DC1" w:rsidRPr="00610DC1" w14:paraId="4B9AD269" w14:textId="77777777" w:rsidTr="00706AE8">
        <w:tc>
          <w:tcPr>
            <w:tcW w:w="2868" w:type="dxa"/>
            <w:tcBorders>
              <w:top w:val="nil"/>
              <w:bottom w:val="nil"/>
              <w:right w:val="nil"/>
            </w:tcBorders>
            <w:shd w:val="clear" w:color="auto" w:fill="auto"/>
          </w:tcPr>
          <w:p w14:paraId="41FC0E15" w14:textId="77777777" w:rsidR="00610DC1" w:rsidRPr="00610DC1" w:rsidRDefault="00610DC1" w:rsidP="00706AE8">
            <w:pPr>
              <w:rPr>
                <w:color w:val="auto"/>
              </w:rPr>
            </w:pPr>
            <w:r w:rsidRPr="00610DC1">
              <w:rPr>
                <w:color w:val="auto"/>
              </w:rPr>
              <w:t>– Informatique :</w:t>
            </w:r>
          </w:p>
        </w:tc>
        <w:tc>
          <w:tcPr>
            <w:tcW w:w="1737" w:type="dxa"/>
            <w:tcBorders>
              <w:top w:val="nil"/>
              <w:left w:val="nil"/>
              <w:bottom w:val="nil"/>
            </w:tcBorders>
            <w:shd w:val="clear" w:color="auto" w:fill="auto"/>
          </w:tcPr>
          <w:p w14:paraId="7DB50DF9" w14:textId="77777777" w:rsidR="00610DC1" w:rsidRPr="00610DC1" w:rsidRDefault="00610DC1" w:rsidP="00706AE8">
            <w:pPr>
              <w:rPr>
                <w:color w:val="auto"/>
              </w:rPr>
            </w:pPr>
            <w:r w:rsidRPr="00610DC1">
              <w:rPr>
                <w:color w:val="auto"/>
              </w:rPr>
              <w:t>5×PNB/tête</w:t>
            </w:r>
          </w:p>
        </w:tc>
        <w:tc>
          <w:tcPr>
            <w:tcW w:w="2868" w:type="dxa"/>
            <w:tcBorders>
              <w:top w:val="nil"/>
              <w:bottom w:val="nil"/>
              <w:right w:val="nil"/>
            </w:tcBorders>
            <w:shd w:val="clear" w:color="auto" w:fill="auto"/>
          </w:tcPr>
          <w:p w14:paraId="25E5FB33" w14:textId="77777777" w:rsidR="00610DC1" w:rsidRPr="00610DC1" w:rsidRDefault="00610DC1" w:rsidP="00706AE8">
            <w:pPr>
              <w:rPr>
                <w:color w:val="auto"/>
              </w:rPr>
            </w:pPr>
          </w:p>
        </w:tc>
        <w:tc>
          <w:tcPr>
            <w:tcW w:w="1739" w:type="dxa"/>
            <w:tcBorders>
              <w:top w:val="nil"/>
              <w:left w:val="nil"/>
              <w:bottom w:val="nil"/>
            </w:tcBorders>
            <w:shd w:val="clear" w:color="auto" w:fill="auto"/>
          </w:tcPr>
          <w:p w14:paraId="02E2A32E" w14:textId="77777777" w:rsidR="00610DC1" w:rsidRPr="00610DC1" w:rsidRDefault="00610DC1" w:rsidP="00706AE8">
            <w:pPr>
              <w:rPr>
                <w:color w:val="auto"/>
              </w:rPr>
            </w:pPr>
          </w:p>
        </w:tc>
      </w:tr>
      <w:tr w:rsidR="00610DC1" w:rsidRPr="00610DC1" w14:paraId="2C266FAB" w14:textId="77777777" w:rsidTr="00706AE8">
        <w:tc>
          <w:tcPr>
            <w:tcW w:w="2868" w:type="dxa"/>
            <w:tcBorders>
              <w:top w:val="nil"/>
              <w:bottom w:val="single" w:sz="4" w:space="0" w:color="auto"/>
              <w:right w:val="nil"/>
            </w:tcBorders>
            <w:shd w:val="clear" w:color="auto" w:fill="auto"/>
          </w:tcPr>
          <w:p w14:paraId="0D86D08E" w14:textId="77777777" w:rsidR="00610DC1" w:rsidRPr="00610DC1" w:rsidRDefault="00610DC1" w:rsidP="00706AE8">
            <w:pPr>
              <w:rPr>
                <w:color w:val="auto"/>
              </w:rPr>
            </w:pPr>
            <w:r w:rsidRPr="00610DC1">
              <w:rPr>
                <w:color w:val="auto"/>
              </w:rPr>
              <w:t>– Bureau :</w:t>
            </w:r>
          </w:p>
        </w:tc>
        <w:tc>
          <w:tcPr>
            <w:tcW w:w="1737" w:type="dxa"/>
            <w:tcBorders>
              <w:top w:val="nil"/>
              <w:left w:val="nil"/>
              <w:bottom w:val="single" w:sz="4" w:space="0" w:color="auto"/>
            </w:tcBorders>
            <w:shd w:val="clear" w:color="auto" w:fill="auto"/>
          </w:tcPr>
          <w:p w14:paraId="07FB89DE" w14:textId="77777777" w:rsidR="00610DC1" w:rsidRPr="00610DC1" w:rsidRDefault="00610DC1" w:rsidP="00706AE8">
            <w:pPr>
              <w:rPr>
                <w:color w:val="auto"/>
              </w:rPr>
            </w:pPr>
            <w:r w:rsidRPr="00610DC1">
              <w:rPr>
                <w:color w:val="auto"/>
              </w:rPr>
              <w:t>5×PNB/tête</w:t>
            </w:r>
          </w:p>
        </w:tc>
        <w:tc>
          <w:tcPr>
            <w:tcW w:w="2868" w:type="dxa"/>
            <w:tcBorders>
              <w:top w:val="nil"/>
              <w:bottom w:val="single" w:sz="4" w:space="0" w:color="auto"/>
              <w:right w:val="nil"/>
            </w:tcBorders>
            <w:shd w:val="clear" w:color="auto" w:fill="auto"/>
          </w:tcPr>
          <w:p w14:paraId="57E4B88D" w14:textId="77777777" w:rsidR="00610DC1" w:rsidRPr="00610DC1" w:rsidRDefault="00610DC1" w:rsidP="00706AE8">
            <w:pPr>
              <w:rPr>
                <w:color w:val="auto"/>
              </w:rPr>
            </w:pPr>
          </w:p>
        </w:tc>
        <w:tc>
          <w:tcPr>
            <w:tcW w:w="1739" w:type="dxa"/>
            <w:tcBorders>
              <w:top w:val="nil"/>
              <w:left w:val="nil"/>
              <w:bottom w:val="single" w:sz="4" w:space="0" w:color="auto"/>
            </w:tcBorders>
            <w:shd w:val="clear" w:color="auto" w:fill="auto"/>
          </w:tcPr>
          <w:p w14:paraId="7C88EE2F" w14:textId="77777777" w:rsidR="00610DC1" w:rsidRPr="00610DC1" w:rsidRDefault="00610DC1" w:rsidP="00706AE8">
            <w:pPr>
              <w:rPr>
                <w:color w:val="auto"/>
              </w:rPr>
            </w:pPr>
          </w:p>
        </w:tc>
      </w:tr>
      <w:tr w:rsidR="00610DC1" w:rsidRPr="00610DC1" w14:paraId="22649A57" w14:textId="77777777" w:rsidTr="00706AE8">
        <w:tc>
          <w:tcPr>
            <w:tcW w:w="4605" w:type="dxa"/>
            <w:gridSpan w:val="2"/>
            <w:tcBorders>
              <w:bottom w:val="nil"/>
            </w:tcBorders>
            <w:shd w:val="clear" w:color="auto" w:fill="auto"/>
          </w:tcPr>
          <w:p w14:paraId="5996D0DB" w14:textId="77777777" w:rsidR="00610DC1" w:rsidRPr="00610DC1" w:rsidRDefault="00610DC1" w:rsidP="00706AE8">
            <w:pPr>
              <w:rPr>
                <w:b/>
                <w:color w:val="auto"/>
              </w:rPr>
            </w:pPr>
            <w:r w:rsidRPr="00610DC1">
              <w:rPr>
                <w:b/>
                <w:color w:val="auto"/>
              </w:rPr>
              <w:t>Actif circulant</w:t>
            </w:r>
          </w:p>
        </w:tc>
        <w:tc>
          <w:tcPr>
            <w:tcW w:w="4607" w:type="dxa"/>
            <w:gridSpan w:val="2"/>
            <w:tcBorders>
              <w:bottom w:val="nil"/>
            </w:tcBorders>
            <w:shd w:val="clear" w:color="auto" w:fill="auto"/>
          </w:tcPr>
          <w:p w14:paraId="09D74451" w14:textId="77777777" w:rsidR="00610DC1" w:rsidRPr="00610DC1" w:rsidRDefault="00610DC1" w:rsidP="00706AE8">
            <w:pPr>
              <w:rPr>
                <w:b/>
                <w:color w:val="auto"/>
              </w:rPr>
            </w:pPr>
            <w:r w:rsidRPr="00610DC1">
              <w:rPr>
                <w:b/>
                <w:color w:val="auto"/>
              </w:rPr>
              <w:t>Dettes</w:t>
            </w:r>
          </w:p>
        </w:tc>
      </w:tr>
      <w:tr w:rsidR="00610DC1" w:rsidRPr="00610DC1" w14:paraId="5CC3C754" w14:textId="77777777" w:rsidTr="00706AE8">
        <w:tc>
          <w:tcPr>
            <w:tcW w:w="2868" w:type="dxa"/>
            <w:tcBorders>
              <w:top w:val="nil"/>
              <w:bottom w:val="nil"/>
              <w:right w:val="nil"/>
            </w:tcBorders>
            <w:shd w:val="clear" w:color="auto" w:fill="auto"/>
          </w:tcPr>
          <w:p w14:paraId="0881B6F4" w14:textId="77777777" w:rsidR="00610DC1" w:rsidRPr="00610DC1" w:rsidRDefault="00610DC1" w:rsidP="00706AE8">
            <w:pPr>
              <w:rPr>
                <w:color w:val="auto"/>
              </w:rPr>
            </w:pPr>
            <w:r w:rsidRPr="00610DC1">
              <w:rPr>
                <w:color w:val="auto"/>
              </w:rPr>
              <w:t>– Stocks :</w:t>
            </w:r>
          </w:p>
        </w:tc>
        <w:tc>
          <w:tcPr>
            <w:tcW w:w="1737" w:type="dxa"/>
            <w:tcBorders>
              <w:top w:val="nil"/>
              <w:left w:val="nil"/>
              <w:bottom w:val="nil"/>
            </w:tcBorders>
            <w:shd w:val="clear" w:color="auto" w:fill="auto"/>
          </w:tcPr>
          <w:p w14:paraId="73545CB8" w14:textId="77777777" w:rsidR="00610DC1" w:rsidRPr="00610DC1" w:rsidRDefault="00610DC1" w:rsidP="00706AE8">
            <w:pPr>
              <w:rPr>
                <w:color w:val="auto"/>
              </w:rPr>
            </w:pPr>
            <w:r w:rsidRPr="00610DC1">
              <w:rPr>
                <w:color w:val="auto"/>
              </w:rPr>
              <w:t>35×PNB/tête</w:t>
            </w:r>
          </w:p>
        </w:tc>
        <w:tc>
          <w:tcPr>
            <w:tcW w:w="2869" w:type="dxa"/>
            <w:tcBorders>
              <w:top w:val="nil"/>
              <w:bottom w:val="nil"/>
              <w:right w:val="nil"/>
            </w:tcBorders>
            <w:shd w:val="clear" w:color="auto" w:fill="auto"/>
          </w:tcPr>
          <w:p w14:paraId="0675F3E3" w14:textId="77777777" w:rsidR="00610DC1" w:rsidRPr="00610DC1" w:rsidRDefault="00610DC1" w:rsidP="00706AE8">
            <w:pPr>
              <w:rPr>
                <w:color w:val="auto"/>
              </w:rPr>
            </w:pPr>
            <w:r w:rsidRPr="00610DC1">
              <w:rPr>
                <w:color w:val="auto"/>
              </w:rPr>
              <w:t>– Dettes à long terme :</w:t>
            </w:r>
          </w:p>
        </w:tc>
        <w:tc>
          <w:tcPr>
            <w:tcW w:w="1735" w:type="dxa"/>
            <w:tcBorders>
              <w:top w:val="nil"/>
              <w:left w:val="nil"/>
              <w:bottom w:val="nil"/>
            </w:tcBorders>
            <w:shd w:val="clear" w:color="auto" w:fill="auto"/>
          </w:tcPr>
          <w:p w14:paraId="7619F473" w14:textId="77777777" w:rsidR="00610DC1" w:rsidRPr="00610DC1" w:rsidRDefault="00610DC1" w:rsidP="00706AE8">
            <w:pPr>
              <w:rPr>
                <w:color w:val="auto"/>
              </w:rPr>
            </w:pPr>
            <w:r w:rsidRPr="00610DC1">
              <w:rPr>
                <w:color w:val="auto"/>
              </w:rPr>
              <w:t>43×PNB/tête</w:t>
            </w:r>
          </w:p>
        </w:tc>
      </w:tr>
      <w:tr w:rsidR="00610DC1" w:rsidRPr="00610DC1" w14:paraId="109E56E6" w14:textId="77777777" w:rsidTr="00706AE8">
        <w:tc>
          <w:tcPr>
            <w:tcW w:w="2868" w:type="dxa"/>
            <w:tcBorders>
              <w:top w:val="nil"/>
              <w:bottom w:val="nil"/>
              <w:right w:val="nil"/>
            </w:tcBorders>
            <w:shd w:val="clear" w:color="auto" w:fill="auto"/>
          </w:tcPr>
          <w:p w14:paraId="5DC2BC8D" w14:textId="77777777" w:rsidR="00610DC1" w:rsidRPr="00610DC1" w:rsidRDefault="00610DC1" w:rsidP="00706AE8">
            <w:pPr>
              <w:rPr>
                <w:color w:val="auto"/>
              </w:rPr>
            </w:pPr>
            <w:r w:rsidRPr="00610DC1">
              <w:rPr>
                <w:color w:val="auto"/>
              </w:rPr>
              <w:t>– Créances clients :</w:t>
            </w:r>
          </w:p>
        </w:tc>
        <w:tc>
          <w:tcPr>
            <w:tcW w:w="1737" w:type="dxa"/>
            <w:tcBorders>
              <w:top w:val="nil"/>
              <w:left w:val="nil"/>
              <w:bottom w:val="nil"/>
            </w:tcBorders>
            <w:shd w:val="clear" w:color="auto" w:fill="auto"/>
          </w:tcPr>
          <w:p w14:paraId="12C861AA" w14:textId="77777777" w:rsidR="00610DC1" w:rsidRPr="00610DC1" w:rsidRDefault="00610DC1" w:rsidP="00706AE8">
            <w:pPr>
              <w:rPr>
                <w:color w:val="auto"/>
              </w:rPr>
            </w:pPr>
            <w:r w:rsidRPr="00610DC1">
              <w:rPr>
                <w:color w:val="auto"/>
              </w:rPr>
              <w:t>50×PNB/tête</w:t>
            </w:r>
          </w:p>
        </w:tc>
        <w:tc>
          <w:tcPr>
            <w:tcW w:w="2869" w:type="dxa"/>
            <w:tcBorders>
              <w:top w:val="nil"/>
              <w:bottom w:val="nil"/>
              <w:right w:val="nil"/>
            </w:tcBorders>
            <w:shd w:val="clear" w:color="auto" w:fill="auto"/>
          </w:tcPr>
          <w:p w14:paraId="2C577493" w14:textId="77777777" w:rsidR="00610DC1" w:rsidRPr="00610DC1" w:rsidRDefault="00610DC1" w:rsidP="00706AE8">
            <w:pPr>
              <w:rPr>
                <w:color w:val="auto"/>
              </w:rPr>
            </w:pPr>
            <w:r w:rsidRPr="00610DC1">
              <w:rPr>
                <w:color w:val="auto"/>
              </w:rPr>
              <w:t>– Dettes à court terme :</w:t>
            </w:r>
          </w:p>
        </w:tc>
        <w:tc>
          <w:tcPr>
            <w:tcW w:w="1735" w:type="dxa"/>
            <w:tcBorders>
              <w:top w:val="nil"/>
              <w:left w:val="nil"/>
              <w:bottom w:val="nil"/>
            </w:tcBorders>
            <w:shd w:val="clear" w:color="auto" w:fill="auto"/>
          </w:tcPr>
          <w:p w14:paraId="321FFF9F" w14:textId="77777777" w:rsidR="00610DC1" w:rsidRPr="00610DC1" w:rsidRDefault="00610DC1" w:rsidP="00706AE8">
            <w:pPr>
              <w:rPr>
                <w:color w:val="auto"/>
              </w:rPr>
            </w:pPr>
            <w:r w:rsidRPr="00610DC1">
              <w:rPr>
                <w:color w:val="auto"/>
              </w:rPr>
              <w:t>55×PNB/tête</w:t>
            </w:r>
          </w:p>
        </w:tc>
      </w:tr>
      <w:tr w:rsidR="00610DC1" w:rsidRPr="00610DC1" w14:paraId="27579FB8" w14:textId="77777777" w:rsidTr="00706AE8">
        <w:trPr>
          <w:trHeight w:val="58"/>
        </w:trPr>
        <w:tc>
          <w:tcPr>
            <w:tcW w:w="2868" w:type="dxa"/>
            <w:tcBorders>
              <w:top w:val="nil"/>
              <w:bottom w:val="single" w:sz="4" w:space="0" w:color="auto"/>
              <w:right w:val="nil"/>
            </w:tcBorders>
            <w:shd w:val="clear" w:color="auto" w:fill="auto"/>
          </w:tcPr>
          <w:p w14:paraId="25786AC1" w14:textId="77777777" w:rsidR="00610DC1" w:rsidRPr="00610DC1" w:rsidRDefault="00610DC1" w:rsidP="00706AE8">
            <w:pPr>
              <w:rPr>
                <w:color w:val="auto"/>
              </w:rPr>
            </w:pPr>
            <w:r w:rsidRPr="00610DC1">
              <w:rPr>
                <w:color w:val="auto"/>
              </w:rPr>
              <w:t>– Disponibilités :</w:t>
            </w:r>
          </w:p>
        </w:tc>
        <w:tc>
          <w:tcPr>
            <w:tcW w:w="1737" w:type="dxa"/>
            <w:tcBorders>
              <w:top w:val="nil"/>
              <w:left w:val="nil"/>
            </w:tcBorders>
            <w:shd w:val="clear" w:color="auto" w:fill="auto"/>
          </w:tcPr>
          <w:p w14:paraId="17A4469B" w14:textId="77777777" w:rsidR="00610DC1" w:rsidRPr="00610DC1" w:rsidRDefault="00610DC1" w:rsidP="00706AE8">
            <w:pPr>
              <w:rPr>
                <w:color w:val="auto"/>
              </w:rPr>
            </w:pPr>
            <w:r w:rsidRPr="00610DC1">
              <w:rPr>
                <w:color w:val="auto"/>
              </w:rPr>
              <w:t>20×PNB/tête</w:t>
            </w:r>
          </w:p>
        </w:tc>
        <w:tc>
          <w:tcPr>
            <w:tcW w:w="2869" w:type="dxa"/>
            <w:tcBorders>
              <w:top w:val="nil"/>
              <w:bottom w:val="single" w:sz="4" w:space="0" w:color="auto"/>
              <w:right w:val="nil"/>
            </w:tcBorders>
            <w:shd w:val="clear" w:color="auto" w:fill="auto"/>
          </w:tcPr>
          <w:p w14:paraId="14356FA5" w14:textId="77777777" w:rsidR="00610DC1" w:rsidRPr="00610DC1" w:rsidRDefault="00610DC1" w:rsidP="00706AE8">
            <w:pPr>
              <w:rPr>
                <w:color w:val="auto"/>
              </w:rPr>
            </w:pPr>
            <w:r w:rsidRPr="00610DC1">
              <w:rPr>
                <w:color w:val="auto"/>
              </w:rPr>
              <w:t>– Dettes fournisseurs :</w:t>
            </w:r>
          </w:p>
        </w:tc>
        <w:tc>
          <w:tcPr>
            <w:tcW w:w="1735" w:type="dxa"/>
            <w:tcBorders>
              <w:top w:val="nil"/>
              <w:left w:val="nil"/>
            </w:tcBorders>
            <w:shd w:val="clear" w:color="auto" w:fill="auto"/>
          </w:tcPr>
          <w:p w14:paraId="6108BD6B" w14:textId="77777777" w:rsidR="00610DC1" w:rsidRPr="00610DC1" w:rsidRDefault="00610DC1" w:rsidP="00706AE8">
            <w:pPr>
              <w:rPr>
                <w:color w:val="auto"/>
              </w:rPr>
            </w:pPr>
            <w:r w:rsidRPr="00610DC1">
              <w:rPr>
                <w:color w:val="auto"/>
              </w:rPr>
              <w:t>50×PNB/tête</w:t>
            </w:r>
          </w:p>
        </w:tc>
      </w:tr>
      <w:tr w:rsidR="00610DC1" w:rsidRPr="00610DC1" w14:paraId="425DBC84" w14:textId="77777777" w:rsidTr="00706AE8">
        <w:tc>
          <w:tcPr>
            <w:tcW w:w="2868" w:type="dxa"/>
            <w:tcBorders>
              <w:right w:val="nil"/>
            </w:tcBorders>
            <w:shd w:val="clear" w:color="auto" w:fill="auto"/>
          </w:tcPr>
          <w:p w14:paraId="67971442" w14:textId="77777777" w:rsidR="00610DC1" w:rsidRPr="00610DC1" w:rsidRDefault="00610DC1" w:rsidP="00706AE8">
            <w:pPr>
              <w:rPr>
                <w:b/>
                <w:color w:val="auto"/>
              </w:rPr>
            </w:pPr>
            <w:r w:rsidRPr="00610DC1">
              <w:rPr>
                <w:b/>
                <w:color w:val="auto"/>
              </w:rPr>
              <w:t>Total actif</w:t>
            </w:r>
          </w:p>
        </w:tc>
        <w:tc>
          <w:tcPr>
            <w:tcW w:w="1737" w:type="dxa"/>
            <w:tcBorders>
              <w:left w:val="nil"/>
            </w:tcBorders>
            <w:shd w:val="clear" w:color="auto" w:fill="auto"/>
          </w:tcPr>
          <w:p w14:paraId="29F10D95" w14:textId="77777777" w:rsidR="00610DC1" w:rsidRPr="00610DC1" w:rsidRDefault="00610DC1" w:rsidP="00706AE8">
            <w:pPr>
              <w:rPr>
                <w:b/>
                <w:color w:val="auto"/>
              </w:rPr>
            </w:pPr>
            <w:r w:rsidRPr="00610DC1">
              <w:rPr>
                <w:b/>
                <w:color w:val="auto"/>
              </w:rPr>
              <w:t>250×PNB/tête</w:t>
            </w:r>
          </w:p>
        </w:tc>
        <w:tc>
          <w:tcPr>
            <w:tcW w:w="2869" w:type="dxa"/>
            <w:tcBorders>
              <w:right w:val="nil"/>
            </w:tcBorders>
            <w:shd w:val="clear" w:color="auto" w:fill="auto"/>
          </w:tcPr>
          <w:p w14:paraId="1FA2CC4C" w14:textId="77777777" w:rsidR="00610DC1" w:rsidRPr="00610DC1" w:rsidRDefault="00610DC1" w:rsidP="00706AE8">
            <w:pPr>
              <w:rPr>
                <w:b/>
                <w:color w:val="auto"/>
              </w:rPr>
            </w:pPr>
            <w:r w:rsidRPr="00610DC1">
              <w:rPr>
                <w:b/>
                <w:color w:val="auto"/>
              </w:rPr>
              <w:t>Total passif</w:t>
            </w:r>
          </w:p>
        </w:tc>
        <w:tc>
          <w:tcPr>
            <w:tcW w:w="1735" w:type="dxa"/>
            <w:tcBorders>
              <w:left w:val="nil"/>
            </w:tcBorders>
            <w:shd w:val="clear" w:color="auto" w:fill="auto"/>
          </w:tcPr>
          <w:p w14:paraId="438437CE" w14:textId="77777777" w:rsidR="00610DC1" w:rsidRPr="00610DC1" w:rsidRDefault="00610DC1" w:rsidP="00706AE8">
            <w:pPr>
              <w:rPr>
                <w:b/>
                <w:color w:val="auto"/>
              </w:rPr>
            </w:pPr>
            <w:r w:rsidRPr="00610DC1">
              <w:rPr>
                <w:b/>
                <w:color w:val="auto"/>
              </w:rPr>
              <w:t>250×PNB/tête</w:t>
            </w:r>
          </w:p>
        </w:tc>
      </w:tr>
    </w:tbl>
    <w:p w14:paraId="2115F643" w14:textId="77777777" w:rsidR="00610DC1" w:rsidRPr="00610DC1" w:rsidRDefault="00610DC1" w:rsidP="00610DC1">
      <w:pPr>
        <w:rPr>
          <w:color w:val="auto"/>
        </w:rPr>
      </w:pPr>
      <w:r w:rsidRPr="00610DC1">
        <w:rPr>
          <w:color w:val="auto"/>
        </w:rPr>
        <w:t>L’entreprise emploie 60 salariés.</w:t>
      </w:r>
    </w:p>
    <w:tbl>
      <w:tblPr>
        <w:tblW w:w="0" w:type="auto"/>
        <w:tblLook w:val="04A0" w:firstRow="1" w:lastRow="0" w:firstColumn="1" w:lastColumn="0" w:noHBand="0" w:noVBand="1"/>
      </w:tblPr>
      <w:tblGrid>
        <w:gridCol w:w="2270"/>
        <w:gridCol w:w="2262"/>
        <w:gridCol w:w="2262"/>
        <w:gridCol w:w="2278"/>
      </w:tblGrid>
      <w:tr w:rsidR="00610DC1" w:rsidRPr="00610DC1" w14:paraId="3967B65E" w14:textId="77777777" w:rsidTr="00706AE8">
        <w:tc>
          <w:tcPr>
            <w:tcW w:w="2302" w:type="dxa"/>
            <w:tcBorders>
              <w:bottom w:val="single" w:sz="4" w:space="0" w:color="auto"/>
            </w:tcBorders>
          </w:tcPr>
          <w:p w14:paraId="629527CD" w14:textId="77777777" w:rsidR="00610DC1" w:rsidRPr="00610DC1" w:rsidRDefault="00610DC1" w:rsidP="00706AE8">
            <w:pPr>
              <w:rPr>
                <w:b/>
                <w:color w:val="auto"/>
              </w:rPr>
            </w:pPr>
            <w:r w:rsidRPr="00610DC1">
              <w:rPr>
                <w:b/>
                <w:color w:val="auto"/>
              </w:rPr>
              <w:t>Salariés</w:t>
            </w:r>
          </w:p>
        </w:tc>
        <w:tc>
          <w:tcPr>
            <w:tcW w:w="2302" w:type="dxa"/>
            <w:tcBorders>
              <w:bottom w:val="single" w:sz="4" w:space="0" w:color="auto"/>
            </w:tcBorders>
          </w:tcPr>
          <w:p w14:paraId="0F24DDE9" w14:textId="77777777" w:rsidR="00610DC1" w:rsidRPr="00610DC1" w:rsidRDefault="00610DC1" w:rsidP="00706AE8">
            <w:pPr>
              <w:rPr>
                <w:b/>
                <w:color w:val="auto"/>
              </w:rPr>
            </w:pPr>
            <w:r w:rsidRPr="00610DC1">
              <w:rPr>
                <w:b/>
                <w:color w:val="auto"/>
              </w:rPr>
              <w:t>Effectif</w:t>
            </w:r>
          </w:p>
        </w:tc>
        <w:tc>
          <w:tcPr>
            <w:tcW w:w="2302" w:type="dxa"/>
            <w:tcBorders>
              <w:bottom w:val="single" w:sz="4" w:space="0" w:color="auto"/>
            </w:tcBorders>
          </w:tcPr>
          <w:p w14:paraId="1461DF7B" w14:textId="77777777" w:rsidR="00610DC1" w:rsidRPr="00610DC1" w:rsidRDefault="00610DC1" w:rsidP="00706AE8">
            <w:pPr>
              <w:rPr>
                <w:b/>
                <w:color w:val="auto"/>
              </w:rPr>
            </w:pPr>
            <w:r w:rsidRPr="00610DC1">
              <w:rPr>
                <w:b/>
                <w:color w:val="auto"/>
              </w:rPr>
              <w:t>Indice salarial</w:t>
            </w:r>
          </w:p>
        </w:tc>
        <w:tc>
          <w:tcPr>
            <w:tcW w:w="2302" w:type="dxa"/>
            <w:tcBorders>
              <w:bottom w:val="single" w:sz="4" w:space="0" w:color="auto"/>
            </w:tcBorders>
          </w:tcPr>
          <w:p w14:paraId="09C72F21" w14:textId="77777777" w:rsidR="00610DC1" w:rsidRPr="00610DC1" w:rsidRDefault="00610DC1" w:rsidP="00706AE8">
            <w:pPr>
              <w:rPr>
                <w:b/>
                <w:color w:val="auto"/>
              </w:rPr>
            </w:pPr>
            <w:r w:rsidRPr="00610DC1">
              <w:rPr>
                <w:b/>
                <w:color w:val="auto"/>
              </w:rPr>
              <w:t>Masse salariale</w:t>
            </w:r>
          </w:p>
        </w:tc>
      </w:tr>
      <w:tr w:rsidR="00610DC1" w:rsidRPr="00610DC1" w14:paraId="5A8BCDCA" w14:textId="77777777" w:rsidTr="00706AE8">
        <w:tc>
          <w:tcPr>
            <w:tcW w:w="2302" w:type="dxa"/>
            <w:tcBorders>
              <w:bottom w:val="nil"/>
            </w:tcBorders>
          </w:tcPr>
          <w:p w14:paraId="5ACC0286" w14:textId="77777777" w:rsidR="00610DC1" w:rsidRPr="00610DC1" w:rsidRDefault="00610DC1" w:rsidP="00706AE8">
            <w:pPr>
              <w:rPr>
                <w:color w:val="auto"/>
              </w:rPr>
            </w:pPr>
            <w:r w:rsidRPr="00610DC1">
              <w:rPr>
                <w:color w:val="auto"/>
              </w:rPr>
              <w:t>Cadres</w:t>
            </w:r>
          </w:p>
        </w:tc>
        <w:tc>
          <w:tcPr>
            <w:tcW w:w="2302" w:type="dxa"/>
            <w:tcBorders>
              <w:bottom w:val="nil"/>
            </w:tcBorders>
          </w:tcPr>
          <w:p w14:paraId="5F89A85E" w14:textId="77777777" w:rsidR="00610DC1" w:rsidRPr="00610DC1" w:rsidRDefault="00610DC1" w:rsidP="00706AE8">
            <w:pPr>
              <w:rPr>
                <w:color w:val="auto"/>
              </w:rPr>
            </w:pPr>
            <w:r w:rsidRPr="00610DC1">
              <w:rPr>
                <w:color w:val="auto"/>
              </w:rPr>
              <w:t>4</w:t>
            </w:r>
          </w:p>
        </w:tc>
        <w:tc>
          <w:tcPr>
            <w:tcW w:w="2302" w:type="dxa"/>
            <w:tcBorders>
              <w:bottom w:val="nil"/>
            </w:tcBorders>
          </w:tcPr>
          <w:p w14:paraId="3F0D083F" w14:textId="77777777" w:rsidR="00610DC1" w:rsidRPr="00610DC1" w:rsidRDefault="00610DC1" w:rsidP="00706AE8">
            <w:pPr>
              <w:rPr>
                <w:color w:val="auto"/>
              </w:rPr>
            </w:pPr>
            <w:r w:rsidRPr="00610DC1">
              <w:rPr>
                <w:color w:val="auto"/>
              </w:rPr>
              <w:t>2,25</w:t>
            </w:r>
          </w:p>
        </w:tc>
        <w:tc>
          <w:tcPr>
            <w:tcW w:w="2302" w:type="dxa"/>
            <w:tcBorders>
              <w:bottom w:val="nil"/>
            </w:tcBorders>
          </w:tcPr>
          <w:p w14:paraId="72023A84" w14:textId="77777777" w:rsidR="00610DC1" w:rsidRPr="00610DC1" w:rsidRDefault="00610DC1" w:rsidP="00706AE8">
            <w:pPr>
              <w:rPr>
                <w:color w:val="auto"/>
              </w:rPr>
            </w:pPr>
            <w:r w:rsidRPr="00610DC1">
              <w:rPr>
                <w:color w:val="auto"/>
              </w:rPr>
              <w:t>9×PNB/tête</w:t>
            </w:r>
          </w:p>
        </w:tc>
      </w:tr>
      <w:tr w:rsidR="00610DC1" w:rsidRPr="00610DC1" w14:paraId="3792DB36" w14:textId="77777777" w:rsidTr="00706AE8">
        <w:tc>
          <w:tcPr>
            <w:tcW w:w="2302" w:type="dxa"/>
            <w:tcBorders>
              <w:top w:val="nil"/>
              <w:bottom w:val="nil"/>
            </w:tcBorders>
          </w:tcPr>
          <w:p w14:paraId="4062B7B1" w14:textId="77777777" w:rsidR="00610DC1" w:rsidRPr="00610DC1" w:rsidRDefault="00610DC1" w:rsidP="00706AE8">
            <w:pPr>
              <w:rPr>
                <w:color w:val="auto"/>
              </w:rPr>
            </w:pPr>
            <w:r w:rsidRPr="00610DC1">
              <w:rPr>
                <w:color w:val="auto"/>
              </w:rPr>
              <w:t>Secrétaires</w:t>
            </w:r>
          </w:p>
        </w:tc>
        <w:tc>
          <w:tcPr>
            <w:tcW w:w="2302" w:type="dxa"/>
            <w:tcBorders>
              <w:top w:val="nil"/>
              <w:bottom w:val="nil"/>
            </w:tcBorders>
          </w:tcPr>
          <w:p w14:paraId="262DDE10" w14:textId="77777777" w:rsidR="00610DC1" w:rsidRPr="00610DC1" w:rsidRDefault="00610DC1" w:rsidP="00706AE8">
            <w:pPr>
              <w:rPr>
                <w:color w:val="auto"/>
              </w:rPr>
            </w:pPr>
            <w:r w:rsidRPr="00610DC1">
              <w:rPr>
                <w:color w:val="auto"/>
              </w:rPr>
              <w:t>8</w:t>
            </w:r>
          </w:p>
        </w:tc>
        <w:tc>
          <w:tcPr>
            <w:tcW w:w="2302" w:type="dxa"/>
            <w:tcBorders>
              <w:top w:val="nil"/>
              <w:bottom w:val="nil"/>
            </w:tcBorders>
          </w:tcPr>
          <w:p w14:paraId="48ACE0B5" w14:textId="77777777" w:rsidR="00610DC1" w:rsidRPr="00610DC1" w:rsidRDefault="00610DC1" w:rsidP="00706AE8">
            <w:pPr>
              <w:rPr>
                <w:color w:val="auto"/>
              </w:rPr>
            </w:pPr>
            <w:r w:rsidRPr="00610DC1">
              <w:rPr>
                <w:color w:val="auto"/>
              </w:rPr>
              <w:t>1,25</w:t>
            </w:r>
          </w:p>
        </w:tc>
        <w:tc>
          <w:tcPr>
            <w:tcW w:w="2302" w:type="dxa"/>
            <w:tcBorders>
              <w:top w:val="nil"/>
              <w:bottom w:val="nil"/>
            </w:tcBorders>
          </w:tcPr>
          <w:p w14:paraId="2B3551E0" w14:textId="77777777" w:rsidR="00610DC1" w:rsidRPr="00610DC1" w:rsidRDefault="00610DC1" w:rsidP="00706AE8">
            <w:pPr>
              <w:rPr>
                <w:color w:val="auto"/>
              </w:rPr>
            </w:pPr>
            <w:r w:rsidRPr="00610DC1">
              <w:rPr>
                <w:color w:val="auto"/>
              </w:rPr>
              <w:t>10×PNB/tête</w:t>
            </w:r>
          </w:p>
        </w:tc>
      </w:tr>
      <w:tr w:rsidR="00610DC1" w:rsidRPr="00610DC1" w14:paraId="637303CB" w14:textId="77777777" w:rsidTr="00706AE8">
        <w:tc>
          <w:tcPr>
            <w:tcW w:w="2302" w:type="dxa"/>
            <w:tcBorders>
              <w:top w:val="nil"/>
            </w:tcBorders>
          </w:tcPr>
          <w:p w14:paraId="17F0827B" w14:textId="77777777" w:rsidR="00610DC1" w:rsidRPr="00610DC1" w:rsidRDefault="00610DC1" w:rsidP="00706AE8">
            <w:pPr>
              <w:rPr>
                <w:color w:val="auto"/>
              </w:rPr>
            </w:pPr>
            <w:r w:rsidRPr="00610DC1">
              <w:rPr>
                <w:color w:val="auto"/>
              </w:rPr>
              <w:t>Ouvriers</w:t>
            </w:r>
          </w:p>
        </w:tc>
        <w:tc>
          <w:tcPr>
            <w:tcW w:w="2302" w:type="dxa"/>
            <w:tcBorders>
              <w:top w:val="nil"/>
            </w:tcBorders>
          </w:tcPr>
          <w:p w14:paraId="00CA76B0" w14:textId="77777777" w:rsidR="00610DC1" w:rsidRPr="00610DC1" w:rsidRDefault="00610DC1" w:rsidP="00706AE8">
            <w:pPr>
              <w:rPr>
                <w:color w:val="auto"/>
              </w:rPr>
            </w:pPr>
            <w:r w:rsidRPr="00610DC1">
              <w:rPr>
                <w:color w:val="auto"/>
              </w:rPr>
              <w:t>48</w:t>
            </w:r>
          </w:p>
        </w:tc>
        <w:tc>
          <w:tcPr>
            <w:tcW w:w="2302" w:type="dxa"/>
            <w:tcBorders>
              <w:top w:val="nil"/>
            </w:tcBorders>
          </w:tcPr>
          <w:p w14:paraId="7237F4C8" w14:textId="77777777" w:rsidR="00610DC1" w:rsidRPr="00610DC1" w:rsidRDefault="00610DC1" w:rsidP="00706AE8">
            <w:pPr>
              <w:rPr>
                <w:color w:val="auto"/>
              </w:rPr>
            </w:pPr>
            <w:r w:rsidRPr="00610DC1">
              <w:rPr>
                <w:color w:val="auto"/>
              </w:rPr>
              <w:t>1,00</w:t>
            </w:r>
          </w:p>
        </w:tc>
        <w:tc>
          <w:tcPr>
            <w:tcW w:w="2302" w:type="dxa"/>
            <w:tcBorders>
              <w:top w:val="nil"/>
            </w:tcBorders>
          </w:tcPr>
          <w:p w14:paraId="67B69B5C" w14:textId="77777777" w:rsidR="00610DC1" w:rsidRPr="00610DC1" w:rsidRDefault="00610DC1" w:rsidP="00706AE8">
            <w:pPr>
              <w:rPr>
                <w:color w:val="auto"/>
              </w:rPr>
            </w:pPr>
            <w:r w:rsidRPr="00610DC1">
              <w:rPr>
                <w:color w:val="auto"/>
              </w:rPr>
              <w:t>48×PNB/tête</w:t>
            </w:r>
          </w:p>
        </w:tc>
      </w:tr>
      <w:tr w:rsidR="00610DC1" w:rsidRPr="00610DC1" w14:paraId="32B29924" w14:textId="77777777" w:rsidTr="00706AE8">
        <w:tc>
          <w:tcPr>
            <w:tcW w:w="2302" w:type="dxa"/>
          </w:tcPr>
          <w:p w14:paraId="4E6567C0" w14:textId="77777777" w:rsidR="00610DC1" w:rsidRPr="00610DC1" w:rsidRDefault="00610DC1" w:rsidP="00706AE8">
            <w:pPr>
              <w:rPr>
                <w:b/>
                <w:color w:val="auto"/>
              </w:rPr>
            </w:pPr>
            <w:r w:rsidRPr="00610DC1">
              <w:rPr>
                <w:b/>
                <w:color w:val="auto"/>
              </w:rPr>
              <w:t>Total</w:t>
            </w:r>
          </w:p>
        </w:tc>
        <w:tc>
          <w:tcPr>
            <w:tcW w:w="2302" w:type="dxa"/>
          </w:tcPr>
          <w:p w14:paraId="234A04E6" w14:textId="77777777" w:rsidR="00610DC1" w:rsidRPr="00610DC1" w:rsidRDefault="00610DC1" w:rsidP="00706AE8">
            <w:pPr>
              <w:rPr>
                <w:b/>
                <w:color w:val="auto"/>
              </w:rPr>
            </w:pPr>
            <w:r w:rsidRPr="00610DC1">
              <w:rPr>
                <w:b/>
                <w:color w:val="auto"/>
              </w:rPr>
              <w:t>60</w:t>
            </w:r>
          </w:p>
        </w:tc>
        <w:tc>
          <w:tcPr>
            <w:tcW w:w="2302" w:type="dxa"/>
          </w:tcPr>
          <w:p w14:paraId="69AA9E5B" w14:textId="77777777" w:rsidR="00610DC1" w:rsidRPr="00610DC1" w:rsidRDefault="00610DC1" w:rsidP="00706AE8">
            <w:pPr>
              <w:rPr>
                <w:b/>
                <w:color w:val="auto"/>
              </w:rPr>
            </w:pPr>
          </w:p>
        </w:tc>
        <w:tc>
          <w:tcPr>
            <w:tcW w:w="2302" w:type="dxa"/>
          </w:tcPr>
          <w:p w14:paraId="5189E8BE" w14:textId="77777777" w:rsidR="00610DC1" w:rsidRPr="00610DC1" w:rsidRDefault="00610DC1" w:rsidP="00706AE8">
            <w:pPr>
              <w:rPr>
                <w:b/>
                <w:color w:val="auto"/>
              </w:rPr>
            </w:pPr>
            <w:r w:rsidRPr="00610DC1">
              <w:rPr>
                <w:b/>
                <w:color w:val="auto"/>
              </w:rPr>
              <w:t>67×PNB/tête</w:t>
            </w:r>
          </w:p>
        </w:tc>
      </w:tr>
    </w:tbl>
    <w:p w14:paraId="08A9C4EF" w14:textId="77777777" w:rsidR="00610DC1" w:rsidRPr="00610DC1" w:rsidRDefault="00610DC1" w:rsidP="00610DC1">
      <w:pPr>
        <w:rPr>
          <w:color w:val="auto"/>
        </w:rPr>
      </w:pPr>
      <w:r w:rsidRPr="00610DC1">
        <w:rPr>
          <w:color w:val="auto"/>
        </w:rPr>
        <w:t>Le compte de résultat de l’entreprise dégage, avant impôts et amortissements, un bénéfice comptable annuel identique pendant 5 ans. Il s’établit à 79×PNB/tête lorsque le taux de marge avant impôts est de 7,5% et à 234×PNB/tête lorsque le taux de marge avant impôts est de 22,5%.</w:t>
      </w:r>
    </w:p>
    <w:p w14:paraId="73F4C9E8" w14:textId="77777777" w:rsidR="00610DC1" w:rsidRPr="00610DC1" w:rsidRDefault="00610DC1" w:rsidP="00610DC1">
      <w:pPr>
        <w:rPr>
          <w:color w:val="auto"/>
        </w:rPr>
      </w:pPr>
    </w:p>
    <w:tbl>
      <w:tblPr>
        <w:tblW w:w="9212" w:type="dxa"/>
        <w:tblLook w:val="04A0" w:firstRow="1" w:lastRow="0" w:firstColumn="1" w:lastColumn="0" w:noHBand="0" w:noVBand="1"/>
      </w:tblPr>
      <w:tblGrid>
        <w:gridCol w:w="2852"/>
        <w:gridCol w:w="1765"/>
        <w:gridCol w:w="2841"/>
        <w:gridCol w:w="1754"/>
      </w:tblGrid>
      <w:tr w:rsidR="00610DC1" w:rsidRPr="00610DC1" w14:paraId="54787CA0" w14:textId="77777777" w:rsidTr="00706AE8">
        <w:tc>
          <w:tcPr>
            <w:tcW w:w="4617" w:type="dxa"/>
            <w:gridSpan w:val="2"/>
            <w:tcBorders>
              <w:bottom w:val="single" w:sz="4" w:space="0" w:color="auto"/>
            </w:tcBorders>
            <w:shd w:val="clear" w:color="auto" w:fill="auto"/>
          </w:tcPr>
          <w:p w14:paraId="10F2B542" w14:textId="77777777" w:rsidR="00610DC1" w:rsidRPr="00610DC1" w:rsidRDefault="00610DC1" w:rsidP="00706AE8">
            <w:pPr>
              <w:rPr>
                <w:b/>
                <w:color w:val="auto"/>
              </w:rPr>
            </w:pPr>
            <w:r w:rsidRPr="00610DC1">
              <w:rPr>
                <w:b/>
                <w:color w:val="auto"/>
              </w:rPr>
              <w:t>CHARGES</w:t>
            </w:r>
          </w:p>
        </w:tc>
        <w:tc>
          <w:tcPr>
            <w:tcW w:w="4595" w:type="dxa"/>
            <w:gridSpan w:val="2"/>
            <w:tcBorders>
              <w:bottom w:val="single" w:sz="4" w:space="0" w:color="auto"/>
            </w:tcBorders>
            <w:shd w:val="clear" w:color="auto" w:fill="auto"/>
          </w:tcPr>
          <w:p w14:paraId="4A204EB6" w14:textId="77777777" w:rsidR="00610DC1" w:rsidRPr="00610DC1" w:rsidRDefault="00610DC1" w:rsidP="00706AE8">
            <w:pPr>
              <w:rPr>
                <w:b/>
                <w:color w:val="auto"/>
              </w:rPr>
            </w:pPr>
            <w:r w:rsidRPr="00610DC1">
              <w:rPr>
                <w:b/>
                <w:color w:val="auto"/>
              </w:rPr>
              <w:t>PRODUITS</w:t>
            </w:r>
          </w:p>
        </w:tc>
      </w:tr>
      <w:tr w:rsidR="00610DC1" w:rsidRPr="00610DC1" w14:paraId="7325D36E" w14:textId="77777777" w:rsidTr="00706AE8">
        <w:tc>
          <w:tcPr>
            <w:tcW w:w="4617" w:type="dxa"/>
            <w:gridSpan w:val="2"/>
            <w:tcBorders>
              <w:bottom w:val="nil"/>
            </w:tcBorders>
            <w:shd w:val="clear" w:color="auto" w:fill="auto"/>
          </w:tcPr>
          <w:p w14:paraId="2D51DE2B" w14:textId="77777777" w:rsidR="00610DC1" w:rsidRPr="00610DC1" w:rsidRDefault="00610DC1" w:rsidP="00706AE8">
            <w:pPr>
              <w:rPr>
                <w:b/>
                <w:color w:val="auto"/>
              </w:rPr>
            </w:pPr>
            <w:r w:rsidRPr="00610DC1">
              <w:rPr>
                <w:b/>
                <w:color w:val="auto"/>
              </w:rPr>
              <w:t>Achats de biens et services</w:t>
            </w:r>
          </w:p>
        </w:tc>
        <w:tc>
          <w:tcPr>
            <w:tcW w:w="4595" w:type="dxa"/>
            <w:gridSpan w:val="2"/>
            <w:tcBorders>
              <w:bottom w:val="nil"/>
            </w:tcBorders>
            <w:shd w:val="clear" w:color="auto" w:fill="auto"/>
          </w:tcPr>
          <w:p w14:paraId="38C4DB82" w14:textId="77777777" w:rsidR="00610DC1" w:rsidRPr="00610DC1" w:rsidRDefault="00610DC1" w:rsidP="00706AE8">
            <w:pPr>
              <w:rPr>
                <w:b/>
                <w:color w:val="auto"/>
              </w:rPr>
            </w:pPr>
            <w:r w:rsidRPr="00610DC1">
              <w:rPr>
                <w:b/>
                <w:color w:val="auto"/>
              </w:rPr>
              <w:t>Ventes</w:t>
            </w:r>
          </w:p>
        </w:tc>
      </w:tr>
      <w:tr w:rsidR="00610DC1" w:rsidRPr="00610DC1" w14:paraId="56CC8F83" w14:textId="77777777" w:rsidTr="00706AE8">
        <w:tc>
          <w:tcPr>
            <w:tcW w:w="2852" w:type="dxa"/>
            <w:tcBorders>
              <w:top w:val="nil"/>
              <w:bottom w:val="nil"/>
              <w:right w:val="nil"/>
            </w:tcBorders>
            <w:shd w:val="clear" w:color="auto" w:fill="auto"/>
          </w:tcPr>
          <w:p w14:paraId="0D2D0E90" w14:textId="77777777" w:rsidR="00610DC1" w:rsidRPr="00610DC1" w:rsidRDefault="00610DC1" w:rsidP="00706AE8">
            <w:pPr>
              <w:rPr>
                <w:color w:val="auto"/>
              </w:rPr>
            </w:pPr>
            <w:r w:rsidRPr="00610DC1">
              <w:rPr>
                <w:color w:val="auto"/>
              </w:rPr>
              <w:t>– Achats :</w:t>
            </w:r>
          </w:p>
        </w:tc>
        <w:tc>
          <w:tcPr>
            <w:tcW w:w="1765" w:type="dxa"/>
            <w:tcBorders>
              <w:top w:val="nil"/>
              <w:left w:val="nil"/>
              <w:bottom w:val="nil"/>
            </w:tcBorders>
            <w:shd w:val="clear" w:color="auto" w:fill="auto"/>
          </w:tcPr>
          <w:p w14:paraId="1494577F" w14:textId="77777777" w:rsidR="00610DC1" w:rsidRPr="00610DC1" w:rsidRDefault="00610DC1" w:rsidP="00706AE8">
            <w:pPr>
              <w:rPr>
                <w:color w:val="auto"/>
              </w:rPr>
            </w:pPr>
            <w:r w:rsidRPr="00610DC1">
              <w:rPr>
                <w:color w:val="auto"/>
              </w:rPr>
              <w:t>875×PNB/tête</w:t>
            </w:r>
            <w:r w:rsidRPr="00610DC1">
              <w:rPr>
                <w:rStyle w:val="Appelnotedebasdep"/>
                <w:color w:val="auto"/>
              </w:rPr>
              <w:footnoteReference w:id="8"/>
            </w:r>
          </w:p>
        </w:tc>
        <w:tc>
          <w:tcPr>
            <w:tcW w:w="2841" w:type="dxa"/>
            <w:tcBorders>
              <w:top w:val="nil"/>
              <w:bottom w:val="nil"/>
              <w:right w:val="nil"/>
            </w:tcBorders>
            <w:shd w:val="clear" w:color="auto" w:fill="auto"/>
          </w:tcPr>
          <w:p w14:paraId="19ED6AEC" w14:textId="77777777" w:rsidR="00610DC1" w:rsidRPr="00610DC1" w:rsidRDefault="00610DC1" w:rsidP="00706AE8">
            <w:pPr>
              <w:rPr>
                <w:color w:val="auto"/>
              </w:rPr>
            </w:pPr>
            <w:r w:rsidRPr="00610DC1">
              <w:rPr>
                <w:color w:val="auto"/>
              </w:rPr>
              <w:t>– Ventes :</w:t>
            </w:r>
          </w:p>
        </w:tc>
        <w:tc>
          <w:tcPr>
            <w:tcW w:w="1754" w:type="dxa"/>
            <w:tcBorders>
              <w:top w:val="nil"/>
              <w:left w:val="nil"/>
              <w:bottom w:val="nil"/>
            </w:tcBorders>
            <w:shd w:val="clear" w:color="auto" w:fill="auto"/>
          </w:tcPr>
          <w:p w14:paraId="442B93A9" w14:textId="77777777" w:rsidR="00610DC1" w:rsidRPr="00610DC1" w:rsidRDefault="00610DC1" w:rsidP="00706AE8">
            <w:pPr>
              <w:rPr>
                <w:color w:val="auto"/>
              </w:rPr>
            </w:pPr>
            <w:r w:rsidRPr="00610DC1">
              <w:rPr>
                <w:color w:val="auto"/>
              </w:rPr>
              <w:t>1050×PNB/tête</w:t>
            </w:r>
          </w:p>
        </w:tc>
      </w:tr>
      <w:tr w:rsidR="00610DC1" w:rsidRPr="00610DC1" w14:paraId="22F40599" w14:textId="77777777" w:rsidTr="00706AE8">
        <w:tc>
          <w:tcPr>
            <w:tcW w:w="2852" w:type="dxa"/>
            <w:tcBorders>
              <w:top w:val="nil"/>
              <w:bottom w:val="nil"/>
              <w:right w:val="nil"/>
            </w:tcBorders>
            <w:shd w:val="clear" w:color="auto" w:fill="auto"/>
          </w:tcPr>
          <w:p w14:paraId="00AA7B9F" w14:textId="77777777" w:rsidR="00610DC1" w:rsidRPr="00610DC1" w:rsidRDefault="00610DC1" w:rsidP="00706AE8">
            <w:pPr>
              <w:rPr>
                <w:color w:val="auto"/>
              </w:rPr>
            </w:pPr>
            <w:r w:rsidRPr="00610DC1">
              <w:rPr>
                <w:color w:val="auto"/>
              </w:rPr>
              <w:t>– Dép administratives :</w:t>
            </w:r>
          </w:p>
        </w:tc>
        <w:tc>
          <w:tcPr>
            <w:tcW w:w="1765" w:type="dxa"/>
            <w:tcBorders>
              <w:top w:val="nil"/>
              <w:left w:val="nil"/>
              <w:bottom w:val="nil"/>
            </w:tcBorders>
            <w:shd w:val="clear" w:color="auto" w:fill="auto"/>
          </w:tcPr>
          <w:p w14:paraId="27552CE0" w14:textId="77777777" w:rsidR="00610DC1" w:rsidRPr="00610DC1" w:rsidRDefault="00610DC1" w:rsidP="00706AE8">
            <w:pPr>
              <w:rPr>
                <w:color w:val="auto"/>
              </w:rPr>
            </w:pPr>
            <w:r w:rsidRPr="00610DC1">
              <w:rPr>
                <w:color w:val="auto"/>
              </w:rPr>
              <w:t>10×PNB/tête</w:t>
            </w:r>
          </w:p>
        </w:tc>
        <w:tc>
          <w:tcPr>
            <w:tcW w:w="2841" w:type="dxa"/>
            <w:tcBorders>
              <w:top w:val="nil"/>
              <w:bottom w:val="nil"/>
              <w:right w:val="nil"/>
            </w:tcBorders>
            <w:shd w:val="clear" w:color="auto" w:fill="auto"/>
          </w:tcPr>
          <w:p w14:paraId="09A74401"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70E882EF" w14:textId="77777777" w:rsidR="00610DC1" w:rsidRPr="00610DC1" w:rsidRDefault="00610DC1" w:rsidP="00706AE8">
            <w:pPr>
              <w:rPr>
                <w:color w:val="auto"/>
              </w:rPr>
            </w:pPr>
          </w:p>
        </w:tc>
      </w:tr>
      <w:tr w:rsidR="00610DC1" w:rsidRPr="00610DC1" w14:paraId="40209ED2" w14:textId="77777777" w:rsidTr="00706AE8">
        <w:tc>
          <w:tcPr>
            <w:tcW w:w="2852" w:type="dxa"/>
            <w:tcBorders>
              <w:top w:val="nil"/>
              <w:bottom w:val="nil"/>
              <w:right w:val="nil"/>
            </w:tcBorders>
            <w:shd w:val="clear" w:color="auto" w:fill="auto"/>
          </w:tcPr>
          <w:p w14:paraId="068776B5" w14:textId="77777777" w:rsidR="00610DC1" w:rsidRPr="00610DC1" w:rsidRDefault="00610DC1" w:rsidP="00706AE8">
            <w:pPr>
              <w:rPr>
                <w:color w:val="auto"/>
              </w:rPr>
            </w:pPr>
            <w:r w:rsidRPr="00610DC1">
              <w:rPr>
                <w:color w:val="auto"/>
              </w:rPr>
              <w:t>– Dép publicitaires :</w:t>
            </w:r>
          </w:p>
        </w:tc>
        <w:tc>
          <w:tcPr>
            <w:tcW w:w="1765" w:type="dxa"/>
            <w:tcBorders>
              <w:top w:val="nil"/>
              <w:left w:val="nil"/>
              <w:bottom w:val="nil"/>
            </w:tcBorders>
            <w:shd w:val="clear" w:color="auto" w:fill="auto"/>
          </w:tcPr>
          <w:p w14:paraId="15E1B31B" w14:textId="77777777" w:rsidR="00610DC1" w:rsidRPr="00610DC1" w:rsidRDefault="00610DC1" w:rsidP="00706AE8">
            <w:pPr>
              <w:rPr>
                <w:color w:val="auto"/>
              </w:rPr>
            </w:pPr>
            <w:r w:rsidRPr="00610DC1">
              <w:rPr>
                <w:color w:val="auto"/>
              </w:rPr>
              <w:t>10,5×PNB/tête</w:t>
            </w:r>
          </w:p>
        </w:tc>
        <w:tc>
          <w:tcPr>
            <w:tcW w:w="2841" w:type="dxa"/>
            <w:tcBorders>
              <w:top w:val="nil"/>
              <w:bottom w:val="nil"/>
              <w:right w:val="nil"/>
            </w:tcBorders>
            <w:shd w:val="clear" w:color="auto" w:fill="auto"/>
          </w:tcPr>
          <w:p w14:paraId="0EA0D2E0"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4AC69A77" w14:textId="77777777" w:rsidR="00610DC1" w:rsidRPr="00610DC1" w:rsidRDefault="00610DC1" w:rsidP="00706AE8">
            <w:pPr>
              <w:rPr>
                <w:color w:val="auto"/>
              </w:rPr>
            </w:pPr>
          </w:p>
        </w:tc>
      </w:tr>
      <w:tr w:rsidR="00610DC1" w:rsidRPr="00610DC1" w14:paraId="421A737A" w14:textId="77777777" w:rsidTr="00706AE8">
        <w:tc>
          <w:tcPr>
            <w:tcW w:w="2852" w:type="dxa"/>
            <w:tcBorders>
              <w:top w:val="nil"/>
              <w:right w:val="nil"/>
            </w:tcBorders>
            <w:shd w:val="clear" w:color="auto" w:fill="auto"/>
          </w:tcPr>
          <w:p w14:paraId="3E79C517" w14:textId="77777777" w:rsidR="00610DC1" w:rsidRPr="00610DC1" w:rsidRDefault="00610DC1" w:rsidP="00706AE8">
            <w:pPr>
              <w:rPr>
                <w:color w:val="auto"/>
              </w:rPr>
            </w:pPr>
            <w:r w:rsidRPr="00610DC1">
              <w:rPr>
                <w:color w:val="auto"/>
              </w:rPr>
              <w:t>– Dép d’entretien :</w:t>
            </w:r>
          </w:p>
        </w:tc>
        <w:tc>
          <w:tcPr>
            <w:tcW w:w="1765" w:type="dxa"/>
            <w:tcBorders>
              <w:top w:val="nil"/>
              <w:left w:val="nil"/>
            </w:tcBorders>
            <w:shd w:val="clear" w:color="auto" w:fill="auto"/>
          </w:tcPr>
          <w:p w14:paraId="608AE549" w14:textId="77777777" w:rsidR="00610DC1" w:rsidRPr="00610DC1" w:rsidRDefault="00610DC1" w:rsidP="00706AE8">
            <w:pPr>
              <w:jc w:val="right"/>
              <w:rPr>
                <w:color w:val="auto"/>
              </w:rPr>
            </w:pPr>
            <w:r w:rsidRPr="00610DC1">
              <w:rPr>
                <w:color w:val="auto"/>
              </w:rPr>
              <w:t>3×PNB/tête</w:t>
            </w:r>
          </w:p>
        </w:tc>
        <w:tc>
          <w:tcPr>
            <w:tcW w:w="2841" w:type="dxa"/>
            <w:tcBorders>
              <w:top w:val="nil"/>
              <w:bottom w:val="nil"/>
              <w:right w:val="nil"/>
            </w:tcBorders>
            <w:shd w:val="clear" w:color="auto" w:fill="auto"/>
          </w:tcPr>
          <w:p w14:paraId="4B8B0ADE"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302CCF53" w14:textId="77777777" w:rsidR="00610DC1" w:rsidRPr="00610DC1" w:rsidRDefault="00610DC1" w:rsidP="00706AE8">
            <w:pPr>
              <w:rPr>
                <w:color w:val="auto"/>
              </w:rPr>
            </w:pPr>
          </w:p>
        </w:tc>
      </w:tr>
      <w:tr w:rsidR="00610DC1" w:rsidRPr="00610DC1" w14:paraId="6533B433" w14:textId="77777777" w:rsidTr="00706AE8">
        <w:tc>
          <w:tcPr>
            <w:tcW w:w="4617" w:type="dxa"/>
            <w:gridSpan w:val="2"/>
            <w:tcBorders>
              <w:bottom w:val="single" w:sz="4" w:space="0" w:color="auto"/>
            </w:tcBorders>
            <w:shd w:val="clear" w:color="auto" w:fill="auto"/>
          </w:tcPr>
          <w:p w14:paraId="0BCCDE60" w14:textId="77777777" w:rsidR="00610DC1" w:rsidRPr="00610DC1" w:rsidRDefault="00610DC1" w:rsidP="00706AE8">
            <w:pPr>
              <w:rPr>
                <w:b/>
                <w:color w:val="auto"/>
              </w:rPr>
            </w:pPr>
            <w:r w:rsidRPr="00610DC1">
              <w:rPr>
                <w:b/>
                <w:color w:val="auto"/>
              </w:rPr>
              <w:t>Impôts et taxes</w:t>
            </w:r>
          </w:p>
        </w:tc>
        <w:tc>
          <w:tcPr>
            <w:tcW w:w="2841" w:type="dxa"/>
            <w:tcBorders>
              <w:top w:val="nil"/>
              <w:bottom w:val="nil"/>
              <w:right w:val="nil"/>
            </w:tcBorders>
            <w:shd w:val="clear" w:color="auto" w:fill="auto"/>
          </w:tcPr>
          <w:p w14:paraId="4D7BAE30"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1CD652D0" w14:textId="77777777" w:rsidR="00610DC1" w:rsidRPr="00610DC1" w:rsidRDefault="00610DC1" w:rsidP="00706AE8">
            <w:pPr>
              <w:rPr>
                <w:color w:val="auto"/>
              </w:rPr>
            </w:pPr>
          </w:p>
        </w:tc>
      </w:tr>
      <w:tr w:rsidR="00610DC1" w:rsidRPr="00610DC1" w14:paraId="7A61AFEA" w14:textId="77777777" w:rsidTr="00706AE8">
        <w:tc>
          <w:tcPr>
            <w:tcW w:w="4617" w:type="dxa"/>
            <w:gridSpan w:val="2"/>
            <w:tcBorders>
              <w:bottom w:val="nil"/>
            </w:tcBorders>
            <w:shd w:val="clear" w:color="auto" w:fill="auto"/>
          </w:tcPr>
          <w:p w14:paraId="0B95030A" w14:textId="77777777" w:rsidR="00610DC1" w:rsidRPr="00610DC1" w:rsidRDefault="00610DC1" w:rsidP="00706AE8">
            <w:pPr>
              <w:rPr>
                <w:b/>
                <w:color w:val="auto"/>
              </w:rPr>
            </w:pPr>
            <w:r w:rsidRPr="00610DC1">
              <w:rPr>
                <w:b/>
                <w:color w:val="auto"/>
              </w:rPr>
              <w:t>Masse salariale</w:t>
            </w:r>
          </w:p>
        </w:tc>
        <w:tc>
          <w:tcPr>
            <w:tcW w:w="2841" w:type="dxa"/>
            <w:tcBorders>
              <w:top w:val="nil"/>
              <w:bottom w:val="nil"/>
              <w:right w:val="nil"/>
            </w:tcBorders>
            <w:shd w:val="clear" w:color="auto" w:fill="auto"/>
          </w:tcPr>
          <w:p w14:paraId="6EA2496F"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62E80701" w14:textId="77777777" w:rsidR="00610DC1" w:rsidRPr="00610DC1" w:rsidRDefault="00610DC1" w:rsidP="00706AE8">
            <w:pPr>
              <w:rPr>
                <w:color w:val="auto"/>
              </w:rPr>
            </w:pPr>
          </w:p>
        </w:tc>
      </w:tr>
      <w:tr w:rsidR="00610DC1" w:rsidRPr="00610DC1" w14:paraId="30F8144D" w14:textId="77777777" w:rsidTr="00706AE8">
        <w:tc>
          <w:tcPr>
            <w:tcW w:w="2852" w:type="dxa"/>
            <w:tcBorders>
              <w:top w:val="nil"/>
              <w:bottom w:val="nil"/>
              <w:right w:val="nil"/>
            </w:tcBorders>
            <w:shd w:val="clear" w:color="auto" w:fill="auto"/>
          </w:tcPr>
          <w:p w14:paraId="10A69C32" w14:textId="77777777" w:rsidR="00610DC1" w:rsidRPr="00610DC1" w:rsidRDefault="00610DC1" w:rsidP="00706AE8">
            <w:pPr>
              <w:rPr>
                <w:color w:val="auto"/>
              </w:rPr>
            </w:pPr>
            <w:r w:rsidRPr="00610DC1">
              <w:rPr>
                <w:color w:val="auto"/>
              </w:rPr>
              <w:t>– Cadres :</w:t>
            </w:r>
          </w:p>
        </w:tc>
        <w:tc>
          <w:tcPr>
            <w:tcW w:w="1765" w:type="dxa"/>
            <w:tcBorders>
              <w:top w:val="nil"/>
              <w:left w:val="nil"/>
              <w:bottom w:val="nil"/>
            </w:tcBorders>
            <w:shd w:val="clear" w:color="auto" w:fill="auto"/>
          </w:tcPr>
          <w:p w14:paraId="62C2EB20" w14:textId="77777777" w:rsidR="00610DC1" w:rsidRPr="00610DC1" w:rsidRDefault="00610DC1" w:rsidP="00706AE8">
            <w:pPr>
              <w:jc w:val="right"/>
              <w:rPr>
                <w:color w:val="auto"/>
              </w:rPr>
            </w:pPr>
            <w:r w:rsidRPr="00610DC1">
              <w:rPr>
                <w:color w:val="auto"/>
              </w:rPr>
              <w:t>9×PNB/tête</w:t>
            </w:r>
          </w:p>
        </w:tc>
        <w:tc>
          <w:tcPr>
            <w:tcW w:w="2841" w:type="dxa"/>
            <w:tcBorders>
              <w:top w:val="nil"/>
              <w:bottom w:val="nil"/>
              <w:right w:val="nil"/>
            </w:tcBorders>
            <w:shd w:val="clear" w:color="auto" w:fill="auto"/>
          </w:tcPr>
          <w:p w14:paraId="6AC316F8"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59551AF5" w14:textId="77777777" w:rsidR="00610DC1" w:rsidRPr="00610DC1" w:rsidRDefault="00610DC1" w:rsidP="00706AE8">
            <w:pPr>
              <w:rPr>
                <w:color w:val="auto"/>
              </w:rPr>
            </w:pPr>
          </w:p>
        </w:tc>
      </w:tr>
      <w:tr w:rsidR="00610DC1" w:rsidRPr="00610DC1" w14:paraId="00F01C2E" w14:textId="77777777" w:rsidTr="00706AE8">
        <w:tc>
          <w:tcPr>
            <w:tcW w:w="2852" w:type="dxa"/>
            <w:tcBorders>
              <w:top w:val="nil"/>
              <w:bottom w:val="nil"/>
              <w:right w:val="nil"/>
            </w:tcBorders>
          </w:tcPr>
          <w:p w14:paraId="382FAC02" w14:textId="77777777" w:rsidR="00610DC1" w:rsidRPr="00610DC1" w:rsidRDefault="00610DC1" w:rsidP="00706AE8">
            <w:pPr>
              <w:rPr>
                <w:color w:val="auto"/>
              </w:rPr>
            </w:pPr>
            <w:r w:rsidRPr="00610DC1">
              <w:rPr>
                <w:color w:val="auto"/>
              </w:rPr>
              <w:t>– Secrétaires :</w:t>
            </w:r>
          </w:p>
        </w:tc>
        <w:tc>
          <w:tcPr>
            <w:tcW w:w="1765" w:type="dxa"/>
            <w:tcBorders>
              <w:top w:val="nil"/>
              <w:left w:val="nil"/>
              <w:bottom w:val="nil"/>
            </w:tcBorders>
          </w:tcPr>
          <w:p w14:paraId="17E6A0FF" w14:textId="77777777" w:rsidR="00610DC1" w:rsidRPr="00610DC1" w:rsidRDefault="00610DC1" w:rsidP="00706AE8">
            <w:pPr>
              <w:jc w:val="right"/>
              <w:rPr>
                <w:color w:val="auto"/>
              </w:rPr>
            </w:pPr>
            <w:r w:rsidRPr="00610DC1">
              <w:rPr>
                <w:color w:val="auto"/>
              </w:rPr>
              <w:t>10×PNB/tête</w:t>
            </w:r>
          </w:p>
        </w:tc>
        <w:tc>
          <w:tcPr>
            <w:tcW w:w="2841" w:type="dxa"/>
            <w:tcBorders>
              <w:top w:val="nil"/>
              <w:bottom w:val="nil"/>
              <w:right w:val="nil"/>
            </w:tcBorders>
          </w:tcPr>
          <w:p w14:paraId="05BB0911" w14:textId="77777777" w:rsidR="00610DC1" w:rsidRPr="00610DC1" w:rsidRDefault="00610DC1" w:rsidP="00706AE8">
            <w:pPr>
              <w:rPr>
                <w:color w:val="auto"/>
              </w:rPr>
            </w:pPr>
          </w:p>
        </w:tc>
        <w:tc>
          <w:tcPr>
            <w:tcW w:w="1754" w:type="dxa"/>
            <w:tcBorders>
              <w:top w:val="nil"/>
              <w:left w:val="nil"/>
              <w:bottom w:val="nil"/>
            </w:tcBorders>
          </w:tcPr>
          <w:p w14:paraId="73578E04" w14:textId="77777777" w:rsidR="00610DC1" w:rsidRPr="00610DC1" w:rsidRDefault="00610DC1" w:rsidP="00706AE8">
            <w:pPr>
              <w:rPr>
                <w:color w:val="auto"/>
              </w:rPr>
            </w:pPr>
          </w:p>
        </w:tc>
      </w:tr>
      <w:tr w:rsidR="00610DC1" w:rsidRPr="00610DC1" w14:paraId="48E64562" w14:textId="77777777" w:rsidTr="00706AE8">
        <w:tc>
          <w:tcPr>
            <w:tcW w:w="2852" w:type="dxa"/>
            <w:tcBorders>
              <w:top w:val="nil"/>
              <w:right w:val="nil"/>
            </w:tcBorders>
          </w:tcPr>
          <w:p w14:paraId="1675B368" w14:textId="77777777" w:rsidR="00610DC1" w:rsidRPr="00610DC1" w:rsidRDefault="00610DC1" w:rsidP="00706AE8">
            <w:pPr>
              <w:rPr>
                <w:color w:val="auto"/>
              </w:rPr>
            </w:pPr>
            <w:r w:rsidRPr="00610DC1">
              <w:rPr>
                <w:color w:val="auto"/>
              </w:rPr>
              <w:t>– Ouvriers :</w:t>
            </w:r>
          </w:p>
        </w:tc>
        <w:tc>
          <w:tcPr>
            <w:tcW w:w="1765" w:type="dxa"/>
            <w:tcBorders>
              <w:top w:val="nil"/>
              <w:left w:val="nil"/>
            </w:tcBorders>
          </w:tcPr>
          <w:p w14:paraId="3C705414" w14:textId="77777777" w:rsidR="00610DC1" w:rsidRPr="00610DC1" w:rsidRDefault="00610DC1" w:rsidP="00706AE8">
            <w:pPr>
              <w:jc w:val="right"/>
              <w:rPr>
                <w:color w:val="auto"/>
              </w:rPr>
            </w:pPr>
            <w:r w:rsidRPr="00610DC1">
              <w:rPr>
                <w:color w:val="auto"/>
              </w:rPr>
              <w:t>48×PNB/tête</w:t>
            </w:r>
          </w:p>
        </w:tc>
        <w:tc>
          <w:tcPr>
            <w:tcW w:w="2841" w:type="dxa"/>
            <w:tcBorders>
              <w:top w:val="nil"/>
              <w:right w:val="nil"/>
            </w:tcBorders>
          </w:tcPr>
          <w:p w14:paraId="3C566A8E" w14:textId="77777777" w:rsidR="00610DC1" w:rsidRPr="00610DC1" w:rsidRDefault="00610DC1" w:rsidP="00706AE8">
            <w:pPr>
              <w:rPr>
                <w:color w:val="auto"/>
              </w:rPr>
            </w:pPr>
          </w:p>
        </w:tc>
        <w:tc>
          <w:tcPr>
            <w:tcW w:w="1754" w:type="dxa"/>
            <w:tcBorders>
              <w:top w:val="nil"/>
              <w:left w:val="nil"/>
            </w:tcBorders>
          </w:tcPr>
          <w:p w14:paraId="5A429F4D" w14:textId="77777777" w:rsidR="00610DC1" w:rsidRPr="00610DC1" w:rsidRDefault="00610DC1" w:rsidP="00706AE8">
            <w:pPr>
              <w:rPr>
                <w:color w:val="auto"/>
              </w:rPr>
            </w:pPr>
          </w:p>
        </w:tc>
      </w:tr>
      <w:tr w:rsidR="00610DC1" w:rsidRPr="00610DC1" w14:paraId="102EED10" w14:textId="77777777" w:rsidTr="00706AE8">
        <w:tc>
          <w:tcPr>
            <w:tcW w:w="4617" w:type="dxa"/>
            <w:gridSpan w:val="2"/>
            <w:tcBorders>
              <w:bottom w:val="nil"/>
            </w:tcBorders>
            <w:shd w:val="clear" w:color="auto" w:fill="auto"/>
          </w:tcPr>
          <w:p w14:paraId="45009678" w14:textId="77777777" w:rsidR="00610DC1" w:rsidRPr="00610DC1" w:rsidRDefault="00610DC1" w:rsidP="00706AE8">
            <w:pPr>
              <w:rPr>
                <w:b/>
                <w:color w:val="auto"/>
              </w:rPr>
            </w:pPr>
            <w:r w:rsidRPr="00610DC1">
              <w:rPr>
                <w:b/>
                <w:color w:val="auto"/>
              </w:rPr>
              <w:t>Charges financières</w:t>
            </w:r>
          </w:p>
        </w:tc>
        <w:tc>
          <w:tcPr>
            <w:tcW w:w="2841" w:type="dxa"/>
            <w:tcBorders>
              <w:top w:val="nil"/>
              <w:bottom w:val="nil"/>
              <w:right w:val="nil"/>
            </w:tcBorders>
            <w:shd w:val="clear" w:color="auto" w:fill="auto"/>
          </w:tcPr>
          <w:p w14:paraId="42995994"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100E5065" w14:textId="77777777" w:rsidR="00610DC1" w:rsidRPr="00610DC1" w:rsidRDefault="00610DC1" w:rsidP="00706AE8">
            <w:pPr>
              <w:rPr>
                <w:color w:val="auto"/>
              </w:rPr>
            </w:pPr>
          </w:p>
        </w:tc>
      </w:tr>
      <w:tr w:rsidR="00610DC1" w:rsidRPr="00610DC1" w14:paraId="190F1419" w14:textId="77777777" w:rsidTr="00706AE8">
        <w:tc>
          <w:tcPr>
            <w:tcW w:w="2852" w:type="dxa"/>
            <w:tcBorders>
              <w:top w:val="nil"/>
              <w:bottom w:val="nil"/>
              <w:right w:val="nil"/>
            </w:tcBorders>
            <w:shd w:val="clear" w:color="auto" w:fill="auto"/>
          </w:tcPr>
          <w:p w14:paraId="73494564" w14:textId="77777777" w:rsidR="00610DC1" w:rsidRPr="00610DC1" w:rsidRDefault="00610DC1" w:rsidP="00706AE8">
            <w:pPr>
              <w:rPr>
                <w:color w:val="auto"/>
              </w:rPr>
            </w:pPr>
            <w:r w:rsidRPr="00610DC1">
              <w:rPr>
                <w:color w:val="auto"/>
              </w:rPr>
              <w:t>– Charges financières :</w:t>
            </w:r>
          </w:p>
        </w:tc>
        <w:tc>
          <w:tcPr>
            <w:tcW w:w="1765" w:type="dxa"/>
            <w:tcBorders>
              <w:top w:val="nil"/>
              <w:left w:val="nil"/>
              <w:bottom w:val="nil"/>
            </w:tcBorders>
            <w:shd w:val="clear" w:color="auto" w:fill="auto"/>
          </w:tcPr>
          <w:p w14:paraId="5CF81193" w14:textId="77777777" w:rsidR="00610DC1" w:rsidRPr="00610DC1" w:rsidRDefault="00610DC1" w:rsidP="00706AE8">
            <w:pPr>
              <w:jc w:val="right"/>
              <w:rPr>
                <w:color w:val="auto"/>
              </w:rPr>
            </w:pPr>
            <w:r w:rsidRPr="00610DC1">
              <w:rPr>
                <w:color w:val="auto"/>
              </w:rPr>
              <w:t>5,5×PNB/tête</w:t>
            </w:r>
          </w:p>
        </w:tc>
        <w:tc>
          <w:tcPr>
            <w:tcW w:w="2841" w:type="dxa"/>
            <w:tcBorders>
              <w:top w:val="nil"/>
              <w:bottom w:val="nil"/>
              <w:right w:val="nil"/>
            </w:tcBorders>
            <w:shd w:val="clear" w:color="auto" w:fill="auto"/>
          </w:tcPr>
          <w:p w14:paraId="33C7252C" w14:textId="77777777" w:rsidR="00610DC1" w:rsidRPr="00610DC1" w:rsidRDefault="00610DC1" w:rsidP="00706AE8">
            <w:pPr>
              <w:rPr>
                <w:color w:val="auto"/>
              </w:rPr>
            </w:pPr>
          </w:p>
        </w:tc>
        <w:tc>
          <w:tcPr>
            <w:tcW w:w="1754" w:type="dxa"/>
            <w:tcBorders>
              <w:top w:val="nil"/>
              <w:left w:val="nil"/>
              <w:bottom w:val="nil"/>
            </w:tcBorders>
            <w:shd w:val="clear" w:color="auto" w:fill="auto"/>
          </w:tcPr>
          <w:p w14:paraId="79E9CA9E" w14:textId="77777777" w:rsidR="00610DC1" w:rsidRPr="00610DC1" w:rsidRDefault="00610DC1" w:rsidP="00706AE8">
            <w:pPr>
              <w:rPr>
                <w:color w:val="auto"/>
              </w:rPr>
            </w:pPr>
          </w:p>
        </w:tc>
      </w:tr>
      <w:tr w:rsidR="00610DC1" w:rsidRPr="00610DC1" w14:paraId="662B8B82" w14:textId="77777777" w:rsidTr="00706AE8">
        <w:tc>
          <w:tcPr>
            <w:tcW w:w="4617" w:type="dxa"/>
            <w:gridSpan w:val="2"/>
            <w:tcBorders>
              <w:bottom w:val="single" w:sz="4" w:space="0" w:color="auto"/>
            </w:tcBorders>
            <w:shd w:val="clear" w:color="auto" w:fill="auto"/>
          </w:tcPr>
          <w:p w14:paraId="7282D0EE" w14:textId="77777777" w:rsidR="00610DC1" w:rsidRPr="00610DC1" w:rsidRDefault="00610DC1" w:rsidP="00706AE8">
            <w:pPr>
              <w:rPr>
                <w:b/>
                <w:color w:val="auto"/>
              </w:rPr>
            </w:pPr>
            <w:r w:rsidRPr="00610DC1">
              <w:rPr>
                <w:b/>
                <w:color w:val="auto"/>
              </w:rPr>
              <w:t>Charges d’amortissement</w:t>
            </w:r>
          </w:p>
        </w:tc>
        <w:tc>
          <w:tcPr>
            <w:tcW w:w="2841" w:type="dxa"/>
            <w:tcBorders>
              <w:top w:val="nil"/>
              <w:bottom w:val="single" w:sz="4" w:space="0" w:color="auto"/>
              <w:right w:val="nil"/>
            </w:tcBorders>
            <w:shd w:val="clear" w:color="auto" w:fill="auto"/>
          </w:tcPr>
          <w:p w14:paraId="1F96301A" w14:textId="77777777" w:rsidR="00610DC1" w:rsidRPr="00610DC1" w:rsidRDefault="00610DC1" w:rsidP="00706AE8">
            <w:pPr>
              <w:rPr>
                <w:color w:val="auto"/>
              </w:rPr>
            </w:pPr>
          </w:p>
        </w:tc>
        <w:tc>
          <w:tcPr>
            <w:tcW w:w="1754" w:type="dxa"/>
            <w:tcBorders>
              <w:top w:val="nil"/>
              <w:left w:val="nil"/>
              <w:bottom w:val="single" w:sz="4" w:space="0" w:color="auto"/>
            </w:tcBorders>
            <w:shd w:val="clear" w:color="auto" w:fill="auto"/>
          </w:tcPr>
          <w:p w14:paraId="5FC00FD0" w14:textId="77777777" w:rsidR="00610DC1" w:rsidRPr="00610DC1" w:rsidRDefault="00610DC1" w:rsidP="00706AE8">
            <w:pPr>
              <w:rPr>
                <w:color w:val="auto"/>
              </w:rPr>
            </w:pPr>
          </w:p>
        </w:tc>
      </w:tr>
      <w:tr w:rsidR="00610DC1" w:rsidRPr="00610DC1" w14:paraId="7AE4B580" w14:textId="77777777" w:rsidTr="00706AE8">
        <w:tc>
          <w:tcPr>
            <w:tcW w:w="2852" w:type="dxa"/>
            <w:tcBorders>
              <w:top w:val="single" w:sz="4" w:space="0" w:color="auto"/>
              <w:bottom w:val="single" w:sz="4" w:space="0" w:color="auto"/>
              <w:right w:val="nil"/>
            </w:tcBorders>
            <w:shd w:val="clear" w:color="auto" w:fill="auto"/>
          </w:tcPr>
          <w:p w14:paraId="2F93D81D" w14:textId="77777777" w:rsidR="00610DC1" w:rsidRPr="00610DC1" w:rsidRDefault="00610DC1" w:rsidP="00706AE8">
            <w:pPr>
              <w:rPr>
                <w:b/>
                <w:color w:val="auto"/>
              </w:rPr>
            </w:pPr>
            <w:r w:rsidRPr="00610DC1">
              <w:rPr>
                <w:b/>
                <w:color w:val="auto"/>
              </w:rPr>
              <w:t>Total charges</w:t>
            </w:r>
          </w:p>
        </w:tc>
        <w:tc>
          <w:tcPr>
            <w:tcW w:w="1765" w:type="dxa"/>
            <w:tcBorders>
              <w:top w:val="single" w:sz="4" w:space="0" w:color="auto"/>
              <w:left w:val="nil"/>
              <w:bottom w:val="single" w:sz="4" w:space="0" w:color="auto"/>
            </w:tcBorders>
            <w:shd w:val="clear" w:color="auto" w:fill="auto"/>
          </w:tcPr>
          <w:p w14:paraId="55D69ADD" w14:textId="77777777" w:rsidR="00610DC1" w:rsidRPr="00610DC1" w:rsidRDefault="00610DC1" w:rsidP="00706AE8">
            <w:pPr>
              <w:jc w:val="right"/>
              <w:rPr>
                <w:b/>
                <w:color w:val="auto"/>
              </w:rPr>
            </w:pPr>
            <w:r w:rsidRPr="00610DC1">
              <w:rPr>
                <w:b/>
                <w:color w:val="auto"/>
              </w:rPr>
              <w:t>971×PNB/tête</w:t>
            </w:r>
          </w:p>
        </w:tc>
        <w:tc>
          <w:tcPr>
            <w:tcW w:w="2841" w:type="dxa"/>
            <w:tcBorders>
              <w:top w:val="single" w:sz="4" w:space="0" w:color="auto"/>
              <w:bottom w:val="single" w:sz="4" w:space="0" w:color="auto"/>
              <w:right w:val="nil"/>
            </w:tcBorders>
            <w:shd w:val="clear" w:color="auto" w:fill="auto"/>
          </w:tcPr>
          <w:p w14:paraId="24FFF152" w14:textId="77777777" w:rsidR="00610DC1" w:rsidRPr="00610DC1" w:rsidRDefault="00610DC1" w:rsidP="00706AE8">
            <w:pPr>
              <w:rPr>
                <w:b/>
                <w:color w:val="auto"/>
              </w:rPr>
            </w:pPr>
            <w:r w:rsidRPr="00610DC1">
              <w:rPr>
                <w:b/>
                <w:color w:val="auto"/>
              </w:rPr>
              <w:t>Total produits</w:t>
            </w:r>
          </w:p>
        </w:tc>
        <w:tc>
          <w:tcPr>
            <w:tcW w:w="1754" w:type="dxa"/>
            <w:tcBorders>
              <w:top w:val="single" w:sz="4" w:space="0" w:color="auto"/>
              <w:left w:val="nil"/>
              <w:bottom w:val="single" w:sz="4" w:space="0" w:color="auto"/>
            </w:tcBorders>
            <w:shd w:val="clear" w:color="auto" w:fill="auto"/>
          </w:tcPr>
          <w:p w14:paraId="09D992E3" w14:textId="77777777" w:rsidR="00610DC1" w:rsidRPr="00610DC1" w:rsidRDefault="00610DC1" w:rsidP="00706AE8">
            <w:pPr>
              <w:jc w:val="right"/>
              <w:rPr>
                <w:b/>
                <w:color w:val="auto"/>
              </w:rPr>
            </w:pPr>
            <w:r w:rsidRPr="00610DC1">
              <w:rPr>
                <w:b/>
                <w:color w:val="auto"/>
              </w:rPr>
              <w:t>1050×PNB/tête</w:t>
            </w:r>
          </w:p>
        </w:tc>
      </w:tr>
    </w:tbl>
    <w:p w14:paraId="3313E1B1" w14:textId="77777777" w:rsidR="00610DC1" w:rsidRPr="00610DC1" w:rsidRDefault="00610DC1" w:rsidP="00610DC1">
      <w:pPr>
        <w:rPr>
          <w:color w:val="auto"/>
        </w:rPr>
      </w:pPr>
      <w:bookmarkStart w:id="9" w:name="_Ref452996425"/>
    </w:p>
    <w:p w14:paraId="1CC61640" w14:textId="77777777" w:rsidR="00610DC1" w:rsidRPr="00610DC1" w:rsidRDefault="00610DC1" w:rsidP="00610DC1">
      <w:pPr>
        <w:rPr>
          <w:rFonts w:eastAsiaTheme="majorEastAsia" w:cstheme="majorBidi"/>
          <w:b/>
          <w:bCs/>
          <w:color w:val="auto"/>
          <w:sz w:val="26"/>
          <w:szCs w:val="26"/>
        </w:rPr>
      </w:pPr>
    </w:p>
    <w:p w14:paraId="76504BA5" w14:textId="77777777" w:rsidR="00610DC1" w:rsidRPr="00610DC1" w:rsidRDefault="00610DC1" w:rsidP="00610DC1">
      <w:pPr>
        <w:pStyle w:val="Titreparties1"/>
      </w:pPr>
      <w:bookmarkStart w:id="10" w:name="_Toc496955815"/>
      <w:r w:rsidRPr="00610DC1">
        <w:lastRenderedPageBreak/>
        <w:t>Annexe </w:t>
      </w:r>
      <w:bookmarkEnd w:id="9"/>
      <w:r w:rsidRPr="00610DC1">
        <w:t>2 - Les régimes dérogatoires des codes des investissements</w:t>
      </w:r>
      <w:bookmarkEnd w:id="10"/>
    </w:p>
    <w:p w14:paraId="0172F434" w14:textId="77777777" w:rsidR="00610DC1" w:rsidRPr="00610DC1" w:rsidRDefault="00610DC1" w:rsidP="00610DC1">
      <w:pPr>
        <w:rPr>
          <w:color w:val="auto"/>
        </w:rPr>
      </w:pPr>
      <w:r w:rsidRPr="00610DC1">
        <w:rPr>
          <w:color w:val="auto"/>
        </w:rPr>
        <w:t>La formulation de plusieurs hypothèses a été nécessaire afin de déterminer à quel régime privilégié l’entreprise modélisée peut prétendre. (a) L’investissement concerne une entreprise nouvelle. Il ne s’agit pas d’un investissement d’extension des capacités de production d’une entreprise déjà existante. (b) Le montant d’investissement éligible au code des investissements correspond à l’actif immobilisé de l’entreprise, soit 145×PNB/tête. (c) L’entreprise est située dans la capitale du pays. (d) L’entreprise crée 60 emplois. (e) L’entreprise n’est pas exportatrice. Elle vend la totalité de sa production sur le marché national. (f) L’entreprise commence sa phase d’exploitation : les cinq années modélisées sont les cinq premières années d’exploitation de l’entreprise nouvelle, l’investissement a déjà eu lieu.</w:t>
      </w:r>
    </w:p>
    <w:p w14:paraId="320F1ABA" w14:textId="77777777" w:rsidR="00610DC1" w:rsidRDefault="00610DC1" w:rsidP="00610DC1">
      <w:pPr>
        <w:rPr>
          <w:color w:val="auto"/>
        </w:rPr>
      </w:pPr>
      <w:r w:rsidRPr="00610DC1">
        <w:rPr>
          <w:color w:val="auto"/>
        </w:rPr>
        <w:t>Ces hypothèses conduisent généralement à retenir le régime du code des investissements le moins avantageux fiscalement (souvent appelé régime A), car la taille de l’entreprise est insuffisante pour être éligible aux régimes supérieurs.</w:t>
      </w:r>
    </w:p>
    <w:p w14:paraId="08810F04" w14:textId="77777777" w:rsidR="00610DC1" w:rsidRPr="00610DC1" w:rsidRDefault="00610DC1" w:rsidP="00610DC1">
      <w:pPr>
        <w:rPr>
          <w:color w:val="auto"/>
        </w:rPr>
      </w:pPr>
    </w:p>
    <w:tbl>
      <w:tblPr>
        <w:tblW w:w="9219" w:type="dxa"/>
        <w:tblLook w:val="04A0" w:firstRow="1" w:lastRow="0" w:firstColumn="1" w:lastColumn="0" w:noHBand="0" w:noVBand="1"/>
      </w:tblPr>
      <w:tblGrid>
        <w:gridCol w:w="1701"/>
        <w:gridCol w:w="3759"/>
        <w:gridCol w:w="3759"/>
      </w:tblGrid>
      <w:tr w:rsidR="00610DC1" w:rsidRPr="00610DC1" w14:paraId="6E01CCC2" w14:textId="77777777" w:rsidTr="00706AE8">
        <w:tc>
          <w:tcPr>
            <w:tcW w:w="1701" w:type="dxa"/>
          </w:tcPr>
          <w:p w14:paraId="5A29C955" w14:textId="77777777" w:rsidR="00610DC1" w:rsidRPr="00610DC1" w:rsidRDefault="00610DC1" w:rsidP="00706AE8">
            <w:pPr>
              <w:rPr>
                <w:b/>
                <w:color w:val="auto"/>
              </w:rPr>
            </w:pPr>
            <w:r w:rsidRPr="00610DC1">
              <w:rPr>
                <w:b/>
                <w:color w:val="auto"/>
              </w:rPr>
              <w:t>Pays</w:t>
            </w:r>
          </w:p>
        </w:tc>
        <w:tc>
          <w:tcPr>
            <w:tcW w:w="3759" w:type="dxa"/>
          </w:tcPr>
          <w:p w14:paraId="101D9EE8" w14:textId="77777777" w:rsidR="00610DC1" w:rsidRPr="00610DC1" w:rsidRDefault="00610DC1" w:rsidP="00706AE8">
            <w:pPr>
              <w:rPr>
                <w:b/>
                <w:color w:val="auto"/>
              </w:rPr>
            </w:pPr>
            <w:r w:rsidRPr="00610DC1">
              <w:rPr>
                <w:b/>
                <w:color w:val="auto"/>
              </w:rPr>
              <w:t>Dispositions dérogatoires</w:t>
            </w:r>
          </w:p>
        </w:tc>
        <w:tc>
          <w:tcPr>
            <w:tcW w:w="3759" w:type="dxa"/>
          </w:tcPr>
          <w:p w14:paraId="5B65DDFB" w14:textId="77777777" w:rsidR="00610DC1" w:rsidRPr="00610DC1" w:rsidRDefault="00610DC1" w:rsidP="00706AE8">
            <w:pPr>
              <w:rPr>
                <w:b/>
                <w:color w:val="auto"/>
              </w:rPr>
            </w:pPr>
            <w:r w:rsidRPr="00610DC1">
              <w:rPr>
                <w:b/>
                <w:color w:val="auto"/>
              </w:rPr>
              <w:t>Source</w:t>
            </w:r>
          </w:p>
        </w:tc>
      </w:tr>
      <w:tr w:rsidR="00610DC1" w:rsidRPr="00610DC1" w14:paraId="1BFB90A8" w14:textId="77777777" w:rsidTr="00706AE8">
        <w:tc>
          <w:tcPr>
            <w:tcW w:w="1701" w:type="dxa"/>
          </w:tcPr>
          <w:p w14:paraId="561921DD" w14:textId="77777777" w:rsidR="00610DC1" w:rsidRPr="00610DC1" w:rsidRDefault="00610DC1" w:rsidP="00706AE8">
            <w:pPr>
              <w:rPr>
                <w:color w:val="auto"/>
              </w:rPr>
            </w:pPr>
            <w:r w:rsidRPr="00610DC1">
              <w:rPr>
                <w:color w:val="auto"/>
              </w:rPr>
              <w:t>Bénin</w:t>
            </w:r>
          </w:p>
        </w:tc>
        <w:tc>
          <w:tcPr>
            <w:tcW w:w="3759" w:type="dxa"/>
          </w:tcPr>
          <w:p w14:paraId="1D351100" w14:textId="77777777" w:rsidR="00610DC1" w:rsidRPr="00610DC1" w:rsidRDefault="00610DC1" w:rsidP="00706AE8">
            <w:pPr>
              <w:rPr>
                <w:color w:val="auto"/>
              </w:rPr>
            </w:pPr>
            <w:r w:rsidRPr="00610DC1">
              <w:rPr>
                <w:color w:val="auto"/>
              </w:rPr>
              <w:t>– Exonération d’IS pendant 5 ans.</w:t>
            </w:r>
          </w:p>
        </w:tc>
        <w:tc>
          <w:tcPr>
            <w:tcW w:w="3759" w:type="dxa"/>
          </w:tcPr>
          <w:p w14:paraId="17D9EE31" w14:textId="77777777" w:rsidR="00610DC1" w:rsidRPr="00610DC1" w:rsidRDefault="00610DC1" w:rsidP="00706AE8">
            <w:pPr>
              <w:rPr>
                <w:color w:val="auto"/>
              </w:rPr>
            </w:pPr>
            <w:r w:rsidRPr="00610DC1">
              <w:rPr>
                <w:color w:val="auto"/>
              </w:rPr>
              <w:t>Code des investissements</w:t>
            </w:r>
          </w:p>
          <w:p w14:paraId="1E938254" w14:textId="77777777" w:rsidR="00610DC1" w:rsidRPr="00610DC1" w:rsidRDefault="00610DC1" w:rsidP="00706AE8">
            <w:pPr>
              <w:rPr>
                <w:color w:val="auto"/>
              </w:rPr>
            </w:pPr>
            <w:r w:rsidRPr="00610DC1">
              <w:rPr>
                <w:color w:val="auto"/>
              </w:rPr>
              <w:t>(régime A, zone 1).</w:t>
            </w:r>
          </w:p>
        </w:tc>
      </w:tr>
      <w:tr w:rsidR="00610DC1" w:rsidRPr="00610DC1" w14:paraId="7DA68B65" w14:textId="77777777" w:rsidTr="00706AE8">
        <w:tc>
          <w:tcPr>
            <w:tcW w:w="1701" w:type="dxa"/>
          </w:tcPr>
          <w:p w14:paraId="1CE94317" w14:textId="77777777" w:rsidR="00610DC1" w:rsidRPr="00610DC1" w:rsidRDefault="00610DC1" w:rsidP="00706AE8">
            <w:pPr>
              <w:rPr>
                <w:color w:val="auto"/>
              </w:rPr>
            </w:pPr>
            <w:r w:rsidRPr="00610DC1">
              <w:rPr>
                <w:color w:val="auto"/>
              </w:rPr>
              <w:t>Burkina Faso</w:t>
            </w:r>
          </w:p>
        </w:tc>
        <w:tc>
          <w:tcPr>
            <w:tcW w:w="3759" w:type="dxa"/>
          </w:tcPr>
          <w:p w14:paraId="3BBF9CD4" w14:textId="77777777" w:rsidR="00610DC1" w:rsidRPr="00610DC1" w:rsidRDefault="00610DC1" w:rsidP="00706AE8">
            <w:pPr>
              <w:rPr>
                <w:color w:val="auto"/>
              </w:rPr>
            </w:pPr>
            <w:r w:rsidRPr="00610DC1">
              <w:rPr>
                <w:color w:val="auto"/>
              </w:rPr>
              <w:t>– Exonération de la taxe patronale d’apprentissage pendant 5 ans.</w:t>
            </w:r>
          </w:p>
          <w:p w14:paraId="40F031D4" w14:textId="77777777" w:rsidR="00610DC1" w:rsidRPr="00610DC1" w:rsidRDefault="00610DC1" w:rsidP="00706AE8">
            <w:pPr>
              <w:rPr>
                <w:color w:val="auto"/>
              </w:rPr>
            </w:pPr>
            <w:r w:rsidRPr="00610DC1">
              <w:rPr>
                <w:color w:val="auto"/>
              </w:rPr>
              <w:t>– Déduction d’IS pendant 5 ans, à hauteur de 50% de l’investissement, dans la limite de 50% du bénéfice imposable.</w:t>
            </w:r>
          </w:p>
        </w:tc>
        <w:tc>
          <w:tcPr>
            <w:tcW w:w="3759" w:type="dxa"/>
          </w:tcPr>
          <w:p w14:paraId="59B4706D" w14:textId="77777777" w:rsidR="00610DC1" w:rsidRPr="00610DC1" w:rsidRDefault="00610DC1" w:rsidP="00706AE8">
            <w:pPr>
              <w:rPr>
                <w:color w:val="auto"/>
              </w:rPr>
            </w:pPr>
            <w:r w:rsidRPr="00610DC1">
              <w:rPr>
                <w:color w:val="auto"/>
              </w:rPr>
              <w:t>Code des investissements</w:t>
            </w:r>
          </w:p>
          <w:p w14:paraId="7A49DA57" w14:textId="77777777" w:rsidR="00610DC1" w:rsidRPr="00610DC1" w:rsidRDefault="00610DC1" w:rsidP="00706AE8">
            <w:pPr>
              <w:rPr>
                <w:color w:val="auto"/>
              </w:rPr>
            </w:pPr>
            <w:r w:rsidRPr="00610DC1">
              <w:rPr>
                <w:color w:val="auto"/>
              </w:rPr>
              <w:t>(régime A, zone normale),</w:t>
            </w:r>
          </w:p>
          <w:p w14:paraId="7E4A2626" w14:textId="77777777" w:rsidR="00610DC1" w:rsidRPr="00610DC1" w:rsidRDefault="00610DC1" w:rsidP="00706AE8">
            <w:pPr>
              <w:rPr>
                <w:color w:val="auto"/>
              </w:rPr>
            </w:pPr>
            <w:r w:rsidRPr="00610DC1">
              <w:rPr>
                <w:i/>
                <w:color w:val="auto"/>
              </w:rPr>
              <w:t>bien que le seuil d’investissement de 100 millions de FCFA ne soit pas atteint</w:t>
            </w:r>
            <w:r w:rsidRPr="00610DC1">
              <w:rPr>
                <w:color w:val="auto"/>
              </w:rPr>
              <w:t>.</w:t>
            </w:r>
          </w:p>
        </w:tc>
      </w:tr>
      <w:tr w:rsidR="00610DC1" w:rsidRPr="00610DC1" w14:paraId="270D144A" w14:textId="77777777" w:rsidTr="00706AE8">
        <w:tc>
          <w:tcPr>
            <w:tcW w:w="1701" w:type="dxa"/>
          </w:tcPr>
          <w:p w14:paraId="793E8AD0" w14:textId="77777777" w:rsidR="00610DC1" w:rsidRPr="00610DC1" w:rsidRDefault="00610DC1" w:rsidP="00706AE8">
            <w:pPr>
              <w:rPr>
                <w:color w:val="auto"/>
              </w:rPr>
            </w:pPr>
            <w:r w:rsidRPr="00610DC1">
              <w:rPr>
                <w:color w:val="auto"/>
              </w:rPr>
              <w:t>Cameroun</w:t>
            </w:r>
          </w:p>
        </w:tc>
        <w:tc>
          <w:tcPr>
            <w:tcW w:w="3759" w:type="dxa"/>
          </w:tcPr>
          <w:p w14:paraId="6F6047C5" w14:textId="77777777" w:rsidR="00610DC1" w:rsidRPr="00610DC1" w:rsidRDefault="00610DC1" w:rsidP="00706AE8">
            <w:pPr>
              <w:rPr>
                <w:color w:val="auto"/>
              </w:rPr>
            </w:pPr>
            <w:r w:rsidRPr="00610DC1">
              <w:rPr>
                <w:color w:val="auto"/>
              </w:rPr>
              <w:t>– Réduction de 50% de l’IS pendant 5 ans.</w:t>
            </w:r>
          </w:p>
          <w:p w14:paraId="5BAE344B" w14:textId="77777777" w:rsidR="00610DC1" w:rsidRPr="00610DC1" w:rsidRDefault="00610DC1" w:rsidP="00706AE8">
            <w:pPr>
              <w:rPr>
                <w:color w:val="auto"/>
              </w:rPr>
            </w:pPr>
            <w:r w:rsidRPr="00610DC1">
              <w:rPr>
                <w:color w:val="auto"/>
              </w:rPr>
              <w:t>– Réduction de 50% de l’IRVM sur les dividendes pendant 5 ans.</w:t>
            </w:r>
          </w:p>
        </w:tc>
        <w:tc>
          <w:tcPr>
            <w:tcW w:w="3759" w:type="dxa"/>
          </w:tcPr>
          <w:p w14:paraId="45191875" w14:textId="77777777" w:rsidR="00610DC1" w:rsidRPr="00610DC1" w:rsidRDefault="00610DC1" w:rsidP="00706AE8">
            <w:pPr>
              <w:rPr>
                <w:color w:val="auto"/>
              </w:rPr>
            </w:pPr>
            <w:r w:rsidRPr="00610DC1">
              <w:rPr>
                <w:color w:val="auto"/>
              </w:rPr>
              <w:t>Modalités d’application des incitations à l’investissement privé</w:t>
            </w:r>
          </w:p>
          <w:p w14:paraId="6ECC19F7" w14:textId="77777777" w:rsidR="00610DC1" w:rsidRPr="00610DC1" w:rsidRDefault="00610DC1" w:rsidP="00706AE8">
            <w:pPr>
              <w:rPr>
                <w:color w:val="auto"/>
              </w:rPr>
            </w:pPr>
            <w:r w:rsidRPr="00610DC1">
              <w:rPr>
                <w:color w:val="auto"/>
              </w:rPr>
              <w:t>(catégorie A).</w:t>
            </w:r>
          </w:p>
        </w:tc>
      </w:tr>
      <w:tr w:rsidR="00610DC1" w:rsidRPr="00610DC1" w14:paraId="421A3170" w14:textId="77777777" w:rsidTr="00706AE8">
        <w:tc>
          <w:tcPr>
            <w:tcW w:w="1701" w:type="dxa"/>
          </w:tcPr>
          <w:p w14:paraId="3BD02297" w14:textId="77777777" w:rsidR="00610DC1" w:rsidRPr="00610DC1" w:rsidRDefault="00610DC1" w:rsidP="00706AE8">
            <w:pPr>
              <w:rPr>
                <w:color w:val="auto"/>
              </w:rPr>
            </w:pPr>
            <w:r w:rsidRPr="00610DC1">
              <w:rPr>
                <w:color w:val="auto"/>
              </w:rPr>
              <w:t>Centrafrique</w:t>
            </w:r>
          </w:p>
        </w:tc>
        <w:tc>
          <w:tcPr>
            <w:tcW w:w="3759" w:type="dxa"/>
          </w:tcPr>
          <w:p w14:paraId="3ACBCE2D" w14:textId="77777777" w:rsidR="00610DC1" w:rsidRPr="00610DC1" w:rsidRDefault="00610DC1" w:rsidP="00706AE8">
            <w:pPr>
              <w:rPr>
                <w:color w:val="auto"/>
              </w:rPr>
            </w:pPr>
            <w:r w:rsidRPr="00610DC1">
              <w:rPr>
                <w:color w:val="auto"/>
              </w:rPr>
              <w:t>– Exonération d’IS pendant 3 ans.</w:t>
            </w:r>
          </w:p>
        </w:tc>
        <w:tc>
          <w:tcPr>
            <w:tcW w:w="3759" w:type="dxa"/>
          </w:tcPr>
          <w:p w14:paraId="37B16D97" w14:textId="77777777" w:rsidR="00610DC1" w:rsidRPr="00610DC1" w:rsidRDefault="00610DC1" w:rsidP="00706AE8">
            <w:pPr>
              <w:rPr>
                <w:color w:val="auto"/>
              </w:rPr>
            </w:pPr>
            <w:r w:rsidRPr="00610DC1">
              <w:rPr>
                <w:color w:val="auto"/>
              </w:rPr>
              <w:t>Charte des investissements</w:t>
            </w:r>
          </w:p>
          <w:p w14:paraId="2CC5FA25" w14:textId="77777777" w:rsidR="00610DC1" w:rsidRPr="00610DC1" w:rsidRDefault="00610DC1" w:rsidP="00706AE8">
            <w:pPr>
              <w:rPr>
                <w:color w:val="auto"/>
              </w:rPr>
            </w:pPr>
            <w:r w:rsidRPr="00610DC1">
              <w:rPr>
                <w:color w:val="auto"/>
              </w:rPr>
              <w:t>(zone normale).</w:t>
            </w:r>
          </w:p>
        </w:tc>
      </w:tr>
      <w:tr w:rsidR="00610DC1" w:rsidRPr="00610DC1" w14:paraId="1F741842" w14:textId="77777777" w:rsidTr="00706AE8">
        <w:tc>
          <w:tcPr>
            <w:tcW w:w="1701" w:type="dxa"/>
          </w:tcPr>
          <w:p w14:paraId="01E760EB" w14:textId="77777777" w:rsidR="00610DC1" w:rsidRPr="00610DC1" w:rsidRDefault="00610DC1" w:rsidP="00706AE8">
            <w:pPr>
              <w:rPr>
                <w:color w:val="auto"/>
              </w:rPr>
            </w:pPr>
            <w:r w:rsidRPr="00610DC1">
              <w:rPr>
                <w:color w:val="auto"/>
              </w:rPr>
              <w:t>Congo</w:t>
            </w:r>
          </w:p>
        </w:tc>
        <w:tc>
          <w:tcPr>
            <w:tcW w:w="3759" w:type="dxa"/>
          </w:tcPr>
          <w:p w14:paraId="247DD8EF" w14:textId="77777777" w:rsidR="00610DC1" w:rsidRPr="00610DC1" w:rsidRDefault="00610DC1" w:rsidP="00706AE8">
            <w:pPr>
              <w:rPr>
                <w:color w:val="auto"/>
              </w:rPr>
            </w:pPr>
            <w:r w:rsidRPr="00610DC1">
              <w:rPr>
                <w:color w:val="auto"/>
              </w:rPr>
              <w:t>– Exonération d’IS pendant 3 ans.</w:t>
            </w:r>
          </w:p>
        </w:tc>
        <w:tc>
          <w:tcPr>
            <w:tcW w:w="3759" w:type="dxa"/>
          </w:tcPr>
          <w:p w14:paraId="0AF82032" w14:textId="77777777" w:rsidR="00610DC1" w:rsidRPr="00610DC1" w:rsidRDefault="00610DC1" w:rsidP="00706AE8">
            <w:pPr>
              <w:rPr>
                <w:color w:val="auto"/>
              </w:rPr>
            </w:pPr>
            <w:r w:rsidRPr="00610DC1">
              <w:rPr>
                <w:color w:val="auto"/>
              </w:rPr>
              <w:t>Modalités d’application de la charte des investissements</w:t>
            </w:r>
          </w:p>
          <w:p w14:paraId="6BF7E0B3" w14:textId="77777777" w:rsidR="00610DC1" w:rsidRPr="00610DC1" w:rsidRDefault="00610DC1" w:rsidP="00706AE8">
            <w:pPr>
              <w:rPr>
                <w:color w:val="auto"/>
              </w:rPr>
            </w:pPr>
            <w:r w:rsidRPr="00610DC1">
              <w:rPr>
                <w:color w:val="auto"/>
              </w:rPr>
              <w:t>(régime général G, zone unique).</w:t>
            </w:r>
          </w:p>
        </w:tc>
      </w:tr>
      <w:tr w:rsidR="00610DC1" w:rsidRPr="00610DC1" w14:paraId="7CAB044E" w14:textId="77777777" w:rsidTr="00706AE8">
        <w:tc>
          <w:tcPr>
            <w:tcW w:w="1701" w:type="dxa"/>
          </w:tcPr>
          <w:p w14:paraId="43D35EBD" w14:textId="77777777" w:rsidR="00610DC1" w:rsidRPr="00610DC1" w:rsidRDefault="00610DC1" w:rsidP="00706AE8">
            <w:pPr>
              <w:rPr>
                <w:color w:val="auto"/>
              </w:rPr>
            </w:pPr>
            <w:r w:rsidRPr="00610DC1">
              <w:rPr>
                <w:color w:val="auto"/>
              </w:rPr>
              <w:t>Côte d’Ivoire</w:t>
            </w:r>
          </w:p>
        </w:tc>
        <w:tc>
          <w:tcPr>
            <w:tcW w:w="3759" w:type="dxa"/>
          </w:tcPr>
          <w:p w14:paraId="1EE64C6F" w14:textId="77777777" w:rsidR="00610DC1" w:rsidRPr="00610DC1" w:rsidRDefault="00610DC1" w:rsidP="00706AE8">
            <w:pPr>
              <w:rPr>
                <w:color w:val="auto"/>
              </w:rPr>
            </w:pPr>
            <w:r w:rsidRPr="00610DC1">
              <w:rPr>
                <w:color w:val="auto"/>
              </w:rPr>
              <w:t>– Réduction de 50% de la contribution nationale pour le développement économique, culturel et social de la nation pendant 7 ans.</w:t>
            </w:r>
          </w:p>
          <w:p w14:paraId="040EF4A7" w14:textId="77777777" w:rsidR="00610DC1" w:rsidRPr="00610DC1" w:rsidRDefault="00610DC1" w:rsidP="00706AE8">
            <w:pPr>
              <w:rPr>
                <w:color w:val="auto"/>
              </w:rPr>
            </w:pPr>
            <w:r w:rsidRPr="00610DC1">
              <w:rPr>
                <w:color w:val="auto"/>
              </w:rPr>
              <w:t>– Exonération d’IS pendant 7 ans.</w:t>
            </w:r>
          </w:p>
        </w:tc>
        <w:tc>
          <w:tcPr>
            <w:tcW w:w="3759" w:type="dxa"/>
          </w:tcPr>
          <w:p w14:paraId="4CCC523B" w14:textId="77777777" w:rsidR="00610DC1" w:rsidRPr="00610DC1" w:rsidRDefault="00610DC1" w:rsidP="00706AE8">
            <w:pPr>
              <w:rPr>
                <w:color w:val="auto"/>
              </w:rPr>
            </w:pPr>
            <w:r w:rsidRPr="00610DC1">
              <w:rPr>
                <w:color w:val="auto"/>
              </w:rPr>
              <w:t>Code des investissements</w:t>
            </w:r>
          </w:p>
          <w:p w14:paraId="557B77AD" w14:textId="77777777" w:rsidR="00610DC1" w:rsidRPr="00610DC1" w:rsidRDefault="00610DC1" w:rsidP="00706AE8">
            <w:pPr>
              <w:rPr>
                <w:color w:val="auto"/>
              </w:rPr>
            </w:pPr>
            <w:r w:rsidRPr="00610DC1">
              <w:rPr>
                <w:color w:val="auto"/>
              </w:rPr>
              <w:t>(régime d’agrément élargi aux PME, zone A).</w:t>
            </w:r>
          </w:p>
        </w:tc>
      </w:tr>
      <w:tr w:rsidR="00610DC1" w:rsidRPr="00610DC1" w14:paraId="1BD13AF3" w14:textId="77777777" w:rsidTr="00706AE8">
        <w:tc>
          <w:tcPr>
            <w:tcW w:w="1701" w:type="dxa"/>
          </w:tcPr>
          <w:p w14:paraId="47D12A15" w14:textId="77777777" w:rsidR="00610DC1" w:rsidRPr="00610DC1" w:rsidRDefault="00610DC1" w:rsidP="00706AE8">
            <w:pPr>
              <w:rPr>
                <w:color w:val="auto"/>
              </w:rPr>
            </w:pPr>
            <w:r w:rsidRPr="00610DC1">
              <w:rPr>
                <w:color w:val="auto"/>
              </w:rPr>
              <w:t>Gabon</w:t>
            </w:r>
          </w:p>
        </w:tc>
        <w:tc>
          <w:tcPr>
            <w:tcW w:w="3759" w:type="dxa"/>
          </w:tcPr>
          <w:p w14:paraId="3E484A4F" w14:textId="77777777" w:rsidR="00610DC1" w:rsidRPr="00610DC1" w:rsidRDefault="00610DC1" w:rsidP="00706AE8">
            <w:pPr>
              <w:rPr>
                <w:color w:val="auto"/>
              </w:rPr>
            </w:pPr>
            <w:r w:rsidRPr="00610DC1">
              <w:rPr>
                <w:color w:val="auto"/>
              </w:rPr>
              <w:t>– Exonération d’IS pendant 5 ans.</w:t>
            </w:r>
          </w:p>
        </w:tc>
        <w:tc>
          <w:tcPr>
            <w:tcW w:w="3759" w:type="dxa"/>
          </w:tcPr>
          <w:p w14:paraId="76579B01" w14:textId="77777777" w:rsidR="00610DC1" w:rsidRPr="00610DC1" w:rsidRDefault="00610DC1" w:rsidP="00706AE8">
            <w:pPr>
              <w:rPr>
                <w:color w:val="auto"/>
              </w:rPr>
            </w:pPr>
            <w:r w:rsidRPr="00610DC1">
              <w:rPr>
                <w:color w:val="auto"/>
              </w:rPr>
              <w:t>Promotion des PME et PMI,</w:t>
            </w:r>
          </w:p>
          <w:p w14:paraId="19E25B32" w14:textId="77777777" w:rsidR="00610DC1" w:rsidRPr="00610DC1" w:rsidRDefault="00610DC1" w:rsidP="00706AE8">
            <w:pPr>
              <w:rPr>
                <w:color w:val="auto"/>
              </w:rPr>
            </w:pPr>
            <w:r w:rsidRPr="00610DC1">
              <w:rPr>
                <w:i/>
                <w:color w:val="auto"/>
              </w:rPr>
              <w:t>bien que le chiffre d’affaires annuel dépasse 2 milliards de FCFA</w:t>
            </w:r>
            <w:r w:rsidRPr="00610DC1">
              <w:rPr>
                <w:color w:val="auto"/>
              </w:rPr>
              <w:t>.</w:t>
            </w:r>
          </w:p>
        </w:tc>
      </w:tr>
      <w:tr w:rsidR="00610DC1" w:rsidRPr="00610DC1" w14:paraId="5EA95FF1" w14:textId="77777777" w:rsidTr="00706AE8">
        <w:tc>
          <w:tcPr>
            <w:tcW w:w="1701" w:type="dxa"/>
          </w:tcPr>
          <w:p w14:paraId="44CF2F14" w14:textId="77777777" w:rsidR="00610DC1" w:rsidRPr="00610DC1" w:rsidRDefault="00610DC1" w:rsidP="00706AE8">
            <w:pPr>
              <w:rPr>
                <w:color w:val="auto"/>
              </w:rPr>
            </w:pPr>
            <w:r w:rsidRPr="00610DC1">
              <w:rPr>
                <w:color w:val="auto"/>
              </w:rPr>
              <w:t>Mali</w:t>
            </w:r>
          </w:p>
        </w:tc>
        <w:tc>
          <w:tcPr>
            <w:tcW w:w="3759" w:type="dxa"/>
          </w:tcPr>
          <w:p w14:paraId="5B4DF1F3" w14:textId="77777777" w:rsidR="00610DC1" w:rsidRPr="00610DC1" w:rsidRDefault="00610DC1" w:rsidP="00706AE8">
            <w:pPr>
              <w:rPr>
                <w:color w:val="auto"/>
              </w:rPr>
            </w:pPr>
            <w:r w:rsidRPr="00610DC1">
              <w:rPr>
                <w:color w:val="auto"/>
              </w:rPr>
              <w:t>– Taux réduit d’IS (25% au lieu de 30%) pendant 7 ans.</w:t>
            </w:r>
          </w:p>
        </w:tc>
        <w:tc>
          <w:tcPr>
            <w:tcW w:w="3759" w:type="dxa"/>
          </w:tcPr>
          <w:p w14:paraId="5847CF64" w14:textId="77777777" w:rsidR="00610DC1" w:rsidRPr="00610DC1" w:rsidRDefault="00610DC1" w:rsidP="00706AE8">
            <w:pPr>
              <w:rPr>
                <w:color w:val="auto"/>
              </w:rPr>
            </w:pPr>
            <w:r w:rsidRPr="00610DC1">
              <w:rPr>
                <w:color w:val="auto"/>
              </w:rPr>
              <w:t>Code des investissements</w:t>
            </w:r>
          </w:p>
          <w:p w14:paraId="55EC208B" w14:textId="77777777" w:rsidR="00610DC1" w:rsidRPr="00610DC1" w:rsidRDefault="00610DC1" w:rsidP="00706AE8">
            <w:pPr>
              <w:rPr>
                <w:color w:val="auto"/>
              </w:rPr>
            </w:pPr>
            <w:r w:rsidRPr="00610DC1">
              <w:rPr>
                <w:color w:val="auto"/>
              </w:rPr>
              <w:t>(régime A, zone unique).</w:t>
            </w:r>
          </w:p>
        </w:tc>
      </w:tr>
      <w:tr w:rsidR="00610DC1" w:rsidRPr="00610DC1" w14:paraId="342E6B3D" w14:textId="77777777" w:rsidTr="00706AE8">
        <w:tc>
          <w:tcPr>
            <w:tcW w:w="1701" w:type="dxa"/>
          </w:tcPr>
          <w:p w14:paraId="22D28C86" w14:textId="77777777" w:rsidR="00610DC1" w:rsidRPr="00610DC1" w:rsidRDefault="00610DC1" w:rsidP="00706AE8">
            <w:pPr>
              <w:rPr>
                <w:color w:val="auto"/>
              </w:rPr>
            </w:pPr>
            <w:r w:rsidRPr="00610DC1">
              <w:rPr>
                <w:color w:val="auto"/>
              </w:rPr>
              <w:t>Niger</w:t>
            </w:r>
          </w:p>
        </w:tc>
        <w:tc>
          <w:tcPr>
            <w:tcW w:w="3759" w:type="dxa"/>
          </w:tcPr>
          <w:p w14:paraId="0265C0B5" w14:textId="77777777" w:rsidR="00610DC1" w:rsidRPr="00610DC1" w:rsidRDefault="00610DC1" w:rsidP="00706AE8">
            <w:pPr>
              <w:rPr>
                <w:color w:val="auto"/>
              </w:rPr>
            </w:pPr>
            <w:r w:rsidRPr="00610DC1">
              <w:rPr>
                <w:color w:val="auto"/>
              </w:rPr>
              <w:t>– Exonération d’IMF pendant 6 ans.</w:t>
            </w:r>
          </w:p>
        </w:tc>
        <w:tc>
          <w:tcPr>
            <w:tcW w:w="3759" w:type="dxa"/>
          </w:tcPr>
          <w:p w14:paraId="149E92EF" w14:textId="77777777" w:rsidR="00610DC1" w:rsidRPr="00610DC1" w:rsidRDefault="00610DC1" w:rsidP="00706AE8">
            <w:pPr>
              <w:rPr>
                <w:color w:val="auto"/>
              </w:rPr>
            </w:pPr>
            <w:r w:rsidRPr="00610DC1">
              <w:rPr>
                <w:color w:val="auto"/>
              </w:rPr>
              <w:t>Code des investissements</w:t>
            </w:r>
          </w:p>
          <w:p w14:paraId="227790A1" w14:textId="77777777" w:rsidR="00610DC1" w:rsidRPr="00610DC1" w:rsidRDefault="00610DC1" w:rsidP="00706AE8">
            <w:pPr>
              <w:rPr>
                <w:color w:val="auto"/>
              </w:rPr>
            </w:pPr>
            <w:r w:rsidRPr="00610DC1">
              <w:rPr>
                <w:color w:val="auto"/>
              </w:rPr>
              <w:t>(régime promotionnel,</w:t>
            </w:r>
          </w:p>
          <w:p w14:paraId="5FF424A3" w14:textId="77777777" w:rsidR="00610DC1" w:rsidRPr="00610DC1" w:rsidRDefault="00610DC1" w:rsidP="00706AE8">
            <w:pPr>
              <w:rPr>
                <w:color w:val="auto"/>
              </w:rPr>
            </w:pPr>
            <w:r w:rsidRPr="00610DC1">
              <w:rPr>
                <w:color w:val="auto"/>
              </w:rPr>
              <w:t>zone normale).</w:t>
            </w:r>
          </w:p>
        </w:tc>
      </w:tr>
    </w:tbl>
    <w:p w14:paraId="73D4DDD2" w14:textId="77777777" w:rsidR="00610DC1" w:rsidRPr="00610DC1" w:rsidRDefault="00610DC1" w:rsidP="00610DC1">
      <w:pPr>
        <w:pStyle w:val="Titreparties1"/>
      </w:pPr>
      <w:bookmarkStart w:id="11" w:name="_Toc496955816"/>
      <w:r w:rsidRPr="00610DC1">
        <w:lastRenderedPageBreak/>
        <w:t>Annexe 3 - Les TEMI</w:t>
      </w:r>
      <w:bookmarkEnd w:id="11"/>
    </w:p>
    <w:p w14:paraId="484EB940" w14:textId="77777777" w:rsidR="00610DC1" w:rsidRPr="00610DC1" w:rsidRDefault="00610DC1" w:rsidP="00610DC1">
      <w:pPr>
        <w:pStyle w:val="Texte"/>
        <w:rPr>
          <w:rFonts w:asciiTheme="minorHAnsi" w:hAnsiTheme="minorHAnsi"/>
        </w:rPr>
      </w:pPr>
      <w:r w:rsidRPr="00610DC1">
        <w:rPr>
          <w:rFonts w:asciiTheme="minorHAnsi" w:hAnsiTheme="minorHAnsi"/>
        </w:rPr>
        <w:t>TEMI global avec un taux de marge avant impôts de 22,5% :</w:t>
      </w:r>
    </w:p>
    <w:tbl>
      <w:tblPr>
        <w:tblW w:w="7953" w:type="dxa"/>
        <w:jc w:val="center"/>
        <w:tblCellMar>
          <w:left w:w="70" w:type="dxa"/>
          <w:right w:w="70" w:type="dxa"/>
        </w:tblCellMar>
        <w:tblLook w:val="04A0" w:firstRow="1" w:lastRow="0" w:firstColumn="1" w:lastColumn="0" w:noHBand="0" w:noVBand="1"/>
      </w:tblPr>
      <w:tblGrid>
        <w:gridCol w:w="1353"/>
        <w:gridCol w:w="1086"/>
        <w:gridCol w:w="1034"/>
        <w:gridCol w:w="1086"/>
        <w:gridCol w:w="1034"/>
        <w:gridCol w:w="1193"/>
        <w:gridCol w:w="1246"/>
      </w:tblGrid>
      <w:tr w:rsidR="00610DC1" w:rsidRPr="00610DC1" w14:paraId="10B1B651" w14:textId="77777777" w:rsidTr="00706AE8">
        <w:trPr>
          <w:trHeight w:val="255"/>
          <w:jc w:val="center"/>
        </w:trPr>
        <w:tc>
          <w:tcPr>
            <w:tcW w:w="1274" w:type="dxa"/>
            <w:tcBorders>
              <w:top w:val="single" w:sz="4" w:space="0" w:color="auto"/>
              <w:left w:val="single" w:sz="4" w:space="0" w:color="auto"/>
              <w:bottom w:val="single" w:sz="4" w:space="0" w:color="auto"/>
              <w:right w:val="single" w:sz="4" w:space="0" w:color="auto"/>
            </w:tcBorders>
            <w:shd w:val="clear" w:color="auto" w:fill="auto"/>
            <w:noWrap/>
            <w:hideMark/>
          </w:tcPr>
          <w:p w14:paraId="0F259EC0" w14:textId="77777777" w:rsidR="00610DC1" w:rsidRPr="00610DC1" w:rsidRDefault="00610DC1" w:rsidP="00706AE8">
            <w:pPr>
              <w:rPr>
                <w:color w:val="auto"/>
                <w:szCs w:val="20"/>
              </w:rPr>
            </w:pPr>
            <w:r w:rsidRPr="00610DC1">
              <w:rPr>
                <w:color w:val="auto"/>
                <w:szCs w:val="20"/>
              </w:rPr>
              <w:t>Régime</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3147DEB4" w14:textId="77777777" w:rsidR="00610DC1" w:rsidRPr="00610DC1" w:rsidRDefault="00610DC1" w:rsidP="00706AE8">
            <w:pPr>
              <w:jc w:val="center"/>
              <w:rPr>
                <w:color w:val="auto"/>
                <w:szCs w:val="20"/>
              </w:rPr>
            </w:pPr>
            <w:r w:rsidRPr="00610DC1">
              <w:rPr>
                <w:color w:val="auto"/>
                <w:szCs w:val="20"/>
              </w:rPr>
              <w:t>Général</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2D3766A6" w14:textId="77777777" w:rsidR="00610DC1" w:rsidRPr="00610DC1" w:rsidRDefault="00610DC1" w:rsidP="00706AE8">
            <w:pPr>
              <w:jc w:val="center"/>
              <w:rPr>
                <w:color w:val="auto"/>
                <w:szCs w:val="20"/>
              </w:rPr>
            </w:pPr>
            <w:r w:rsidRPr="00610DC1">
              <w:rPr>
                <w:color w:val="auto"/>
                <w:szCs w:val="20"/>
              </w:rPr>
              <w:t>Investissements</w:t>
            </w:r>
          </w:p>
        </w:tc>
        <w:tc>
          <w:tcPr>
            <w:tcW w:w="2439" w:type="dxa"/>
            <w:gridSpan w:val="2"/>
            <w:tcBorders>
              <w:top w:val="single" w:sz="4" w:space="0" w:color="auto"/>
              <w:left w:val="nil"/>
              <w:bottom w:val="single" w:sz="4" w:space="0" w:color="auto"/>
              <w:right w:val="single" w:sz="4" w:space="0" w:color="auto"/>
            </w:tcBorders>
            <w:shd w:val="clear" w:color="auto" w:fill="auto"/>
            <w:noWrap/>
            <w:hideMark/>
          </w:tcPr>
          <w:p w14:paraId="4169BE2E" w14:textId="77777777" w:rsidR="00610DC1" w:rsidRPr="00610DC1" w:rsidRDefault="00610DC1" w:rsidP="00706AE8">
            <w:pPr>
              <w:jc w:val="center"/>
              <w:rPr>
                <w:color w:val="auto"/>
                <w:szCs w:val="20"/>
              </w:rPr>
            </w:pPr>
            <w:r w:rsidRPr="00610DC1">
              <w:rPr>
                <w:color w:val="auto"/>
                <w:szCs w:val="20"/>
              </w:rPr>
              <w:t>Ecart entre les régimes</w:t>
            </w:r>
          </w:p>
        </w:tc>
      </w:tr>
      <w:tr w:rsidR="00610DC1" w:rsidRPr="00610DC1" w14:paraId="3EC0CB83"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0CABFF78" w14:textId="77777777" w:rsidR="00610DC1" w:rsidRPr="00610DC1" w:rsidRDefault="00610DC1" w:rsidP="00706AE8">
            <w:pPr>
              <w:rPr>
                <w:color w:val="auto"/>
                <w:szCs w:val="20"/>
              </w:rPr>
            </w:pPr>
            <w:r w:rsidRPr="00610DC1">
              <w:rPr>
                <w:color w:val="auto"/>
                <w:szCs w:val="20"/>
              </w:rPr>
              <w:t>TEMI</w:t>
            </w:r>
          </w:p>
        </w:tc>
        <w:tc>
          <w:tcPr>
            <w:tcW w:w="1086" w:type="dxa"/>
            <w:tcBorders>
              <w:top w:val="nil"/>
              <w:left w:val="nil"/>
              <w:bottom w:val="single" w:sz="4" w:space="0" w:color="auto"/>
              <w:right w:val="single" w:sz="4" w:space="0" w:color="auto"/>
            </w:tcBorders>
            <w:shd w:val="clear" w:color="auto" w:fill="auto"/>
            <w:noWrap/>
            <w:hideMark/>
          </w:tcPr>
          <w:p w14:paraId="3D74615B"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34C7B3D4" w14:textId="77777777" w:rsidR="00610DC1" w:rsidRPr="00610DC1" w:rsidRDefault="00610DC1" w:rsidP="00706AE8">
            <w:pPr>
              <w:jc w:val="right"/>
              <w:rPr>
                <w:color w:val="auto"/>
                <w:szCs w:val="20"/>
              </w:rPr>
            </w:pPr>
            <w:r w:rsidRPr="00610DC1">
              <w:rPr>
                <w:color w:val="auto"/>
                <w:szCs w:val="20"/>
              </w:rPr>
              <w:t>IS</w:t>
            </w:r>
          </w:p>
        </w:tc>
        <w:tc>
          <w:tcPr>
            <w:tcW w:w="1086" w:type="dxa"/>
            <w:tcBorders>
              <w:top w:val="nil"/>
              <w:left w:val="nil"/>
              <w:bottom w:val="single" w:sz="4" w:space="0" w:color="auto"/>
              <w:right w:val="single" w:sz="4" w:space="0" w:color="auto"/>
            </w:tcBorders>
            <w:shd w:val="clear" w:color="auto" w:fill="auto"/>
            <w:noWrap/>
            <w:hideMark/>
          </w:tcPr>
          <w:p w14:paraId="6C4AA8B3"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0736CF52" w14:textId="77777777" w:rsidR="00610DC1" w:rsidRPr="00610DC1" w:rsidRDefault="00610DC1" w:rsidP="00706AE8">
            <w:pPr>
              <w:jc w:val="right"/>
              <w:rPr>
                <w:color w:val="auto"/>
                <w:szCs w:val="20"/>
              </w:rPr>
            </w:pPr>
            <w:r w:rsidRPr="00610DC1">
              <w:rPr>
                <w:color w:val="auto"/>
                <w:szCs w:val="20"/>
              </w:rPr>
              <w:t>IS</w:t>
            </w:r>
          </w:p>
        </w:tc>
        <w:tc>
          <w:tcPr>
            <w:tcW w:w="1193" w:type="dxa"/>
            <w:tcBorders>
              <w:top w:val="nil"/>
              <w:left w:val="nil"/>
              <w:bottom w:val="single" w:sz="4" w:space="0" w:color="auto"/>
              <w:right w:val="single" w:sz="4" w:space="0" w:color="auto"/>
            </w:tcBorders>
            <w:shd w:val="clear" w:color="auto" w:fill="auto"/>
            <w:noWrap/>
            <w:hideMark/>
          </w:tcPr>
          <w:p w14:paraId="5CBC2CAB" w14:textId="77777777" w:rsidR="00610DC1" w:rsidRPr="00610DC1" w:rsidRDefault="00610DC1" w:rsidP="00706AE8">
            <w:pPr>
              <w:jc w:val="right"/>
              <w:rPr>
                <w:color w:val="auto"/>
                <w:szCs w:val="20"/>
              </w:rPr>
            </w:pPr>
            <w:r w:rsidRPr="00610DC1">
              <w:rPr>
                <w:color w:val="auto"/>
                <w:szCs w:val="20"/>
              </w:rPr>
              <w:t>Global</w:t>
            </w:r>
          </w:p>
        </w:tc>
        <w:tc>
          <w:tcPr>
            <w:tcW w:w="1246" w:type="dxa"/>
            <w:tcBorders>
              <w:top w:val="nil"/>
              <w:left w:val="nil"/>
              <w:bottom w:val="single" w:sz="4" w:space="0" w:color="auto"/>
              <w:right w:val="single" w:sz="4" w:space="0" w:color="auto"/>
            </w:tcBorders>
            <w:shd w:val="clear" w:color="auto" w:fill="auto"/>
            <w:noWrap/>
            <w:hideMark/>
          </w:tcPr>
          <w:p w14:paraId="3A0A7895" w14:textId="77777777" w:rsidR="00610DC1" w:rsidRPr="00610DC1" w:rsidRDefault="00610DC1" w:rsidP="00706AE8">
            <w:pPr>
              <w:jc w:val="right"/>
              <w:rPr>
                <w:color w:val="auto"/>
                <w:szCs w:val="20"/>
              </w:rPr>
            </w:pPr>
            <w:r w:rsidRPr="00610DC1">
              <w:rPr>
                <w:color w:val="auto"/>
                <w:szCs w:val="20"/>
              </w:rPr>
              <w:t>IS</w:t>
            </w:r>
          </w:p>
        </w:tc>
      </w:tr>
      <w:tr w:rsidR="00610DC1" w:rsidRPr="00610DC1" w14:paraId="7265D260"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54C4333" w14:textId="77777777" w:rsidR="00610DC1" w:rsidRPr="00610DC1" w:rsidRDefault="00610DC1" w:rsidP="00706AE8">
            <w:pPr>
              <w:rPr>
                <w:color w:val="auto"/>
                <w:szCs w:val="20"/>
              </w:rPr>
            </w:pPr>
            <w:r w:rsidRPr="00610DC1">
              <w:rPr>
                <w:color w:val="auto"/>
                <w:szCs w:val="20"/>
              </w:rPr>
              <w:t>Bénin</w:t>
            </w:r>
          </w:p>
        </w:tc>
        <w:tc>
          <w:tcPr>
            <w:tcW w:w="1086" w:type="dxa"/>
            <w:tcBorders>
              <w:top w:val="nil"/>
              <w:left w:val="nil"/>
              <w:bottom w:val="nil"/>
              <w:right w:val="single" w:sz="4" w:space="0" w:color="auto"/>
            </w:tcBorders>
            <w:shd w:val="clear" w:color="auto" w:fill="auto"/>
            <w:noWrap/>
            <w:hideMark/>
          </w:tcPr>
          <w:p w14:paraId="59BAB080" w14:textId="77777777" w:rsidR="00610DC1" w:rsidRPr="00610DC1" w:rsidRDefault="00610DC1" w:rsidP="00706AE8">
            <w:pPr>
              <w:jc w:val="right"/>
              <w:rPr>
                <w:color w:val="auto"/>
                <w:szCs w:val="20"/>
              </w:rPr>
            </w:pPr>
            <w:r w:rsidRPr="00610DC1">
              <w:rPr>
                <w:color w:val="auto"/>
                <w:szCs w:val="20"/>
              </w:rPr>
              <w:t>34,0%</w:t>
            </w:r>
          </w:p>
        </w:tc>
        <w:tc>
          <w:tcPr>
            <w:tcW w:w="1034" w:type="dxa"/>
            <w:tcBorders>
              <w:top w:val="nil"/>
              <w:left w:val="nil"/>
              <w:bottom w:val="nil"/>
              <w:right w:val="single" w:sz="4" w:space="0" w:color="auto"/>
            </w:tcBorders>
            <w:shd w:val="clear" w:color="auto" w:fill="auto"/>
            <w:noWrap/>
            <w:hideMark/>
          </w:tcPr>
          <w:p w14:paraId="6A120872" w14:textId="77777777" w:rsidR="00610DC1" w:rsidRPr="00610DC1" w:rsidRDefault="00610DC1" w:rsidP="00706AE8">
            <w:pPr>
              <w:jc w:val="right"/>
              <w:rPr>
                <w:color w:val="auto"/>
                <w:szCs w:val="20"/>
              </w:rPr>
            </w:pPr>
            <w:r w:rsidRPr="00610DC1">
              <w:rPr>
                <w:color w:val="auto"/>
                <w:szCs w:val="20"/>
              </w:rPr>
              <w:t>27,8%</w:t>
            </w:r>
          </w:p>
        </w:tc>
        <w:tc>
          <w:tcPr>
            <w:tcW w:w="1086" w:type="dxa"/>
            <w:tcBorders>
              <w:top w:val="nil"/>
              <w:left w:val="nil"/>
              <w:bottom w:val="nil"/>
              <w:right w:val="single" w:sz="4" w:space="0" w:color="auto"/>
            </w:tcBorders>
            <w:shd w:val="clear" w:color="auto" w:fill="auto"/>
            <w:noWrap/>
            <w:hideMark/>
          </w:tcPr>
          <w:p w14:paraId="50DAF779" w14:textId="77777777" w:rsidR="00610DC1" w:rsidRPr="00610DC1" w:rsidRDefault="00610DC1" w:rsidP="00706AE8">
            <w:pPr>
              <w:jc w:val="right"/>
              <w:rPr>
                <w:color w:val="auto"/>
                <w:szCs w:val="20"/>
              </w:rPr>
            </w:pPr>
            <w:r w:rsidRPr="00610DC1">
              <w:rPr>
                <w:color w:val="auto"/>
                <w:szCs w:val="20"/>
              </w:rPr>
              <w:t>9,5%</w:t>
            </w:r>
          </w:p>
        </w:tc>
        <w:tc>
          <w:tcPr>
            <w:tcW w:w="1034" w:type="dxa"/>
            <w:tcBorders>
              <w:top w:val="nil"/>
              <w:left w:val="nil"/>
              <w:bottom w:val="nil"/>
              <w:right w:val="single" w:sz="4" w:space="0" w:color="auto"/>
            </w:tcBorders>
            <w:shd w:val="clear" w:color="auto" w:fill="auto"/>
            <w:noWrap/>
            <w:hideMark/>
          </w:tcPr>
          <w:p w14:paraId="7B54B2AC" w14:textId="77777777" w:rsidR="00610DC1" w:rsidRPr="00610DC1" w:rsidRDefault="00610DC1" w:rsidP="00706AE8">
            <w:pPr>
              <w:jc w:val="right"/>
              <w:rPr>
                <w:color w:val="auto"/>
                <w:szCs w:val="20"/>
              </w:rPr>
            </w:pPr>
            <w:r w:rsidRPr="00610DC1">
              <w:rPr>
                <w:color w:val="auto"/>
                <w:szCs w:val="20"/>
              </w:rPr>
              <w:t>3,4%</w:t>
            </w:r>
          </w:p>
        </w:tc>
        <w:tc>
          <w:tcPr>
            <w:tcW w:w="1193" w:type="dxa"/>
            <w:tcBorders>
              <w:top w:val="nil"/>
              <w:left w:val="nil"/>
              <w:bottom w:val="nil"/>
              <w:right w:val="single" w:sz="4" w:space="0" w:color="auto"/>
            </w:tcBorders>
            <w:shd w:val="clear" w:color="auto" w:fill="auto"/>
            <w:noWrap/>
            <w:hideMark/>
          </w:tcPr>
          <w:p w14:paraId="7B5768E4" w14:textId="77777777" w:rsidR="00610DC1" w:rsidRPr="00610DC1" w:rsidRDefault="00610DC1" w:rsidP="00706AE8">
            <w:pPr>
              <w:jc w:val="right"/>
              <w:rPr>
                <w:color w:val="auto"/>
                <w:szCs w:val="20"/>
              </w:rPr>
            </w:pPr>
            <w:r w:rsidRPr="00610DC1">
              <w:rPr>
                <w:color w:val="auto"/>
                <w:szCs w:val="20"/>
              </w:rPr>
              <w:t>-24,5</w:t>
            </w:r>
          </w:p>
        </w:tc>
        <w:tc>
          <w:tcPr>
            <w:tcW w:w="1246" w:type="dxa"/>
            <w:tcBorders>
              <w:top w:val="nil"/>
              <w:left w:val="nil"/>
              <w:bottom w:val="nil"/>
              <w:right w:val="single" w:sz="4" w:space="0" w:color="auto"/>
            </w:tcBorders>
            <w:shd w:val="clear" w:color="auto" w:fill="auto"/>
            <w:noWrap/>
            <w:hideMark/>
          </w:tcPr>
          <w:p w14:paraId="635FEF22" w14:textId="77777777" w:rsidR="00610DC1" w:rsidRPr="00610DC1" w:rsidRDefault="00610DC1" w:rsidP="00706AE8">
            <w:pPr>
              <w:jc w:val="right"/>
              <w:rPr>
                <w:color w:val="auto"/>
                <w:szCs w:val="20"/>
              </w:rPr>
            </w:pPr>
            <w:r w:rsidRPr="00610DC1">
              <w:rPr>
                <w:color w:val="auto"/>
                <w:szCs w:val="20"/>
              </w:rPr>
              <w:t>-24,5</w:t>
            </w:r>
          </w:p>
        </w:tc>
      </w:tr>
      <w:tr w:rsidR="00610DC1" w:rsidRPr="00610DC1" w14:paraId="717D9CF7"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744A3B6" w14:textId="77777777" w:rsidR="00610DC1" w:rsidRPr="00610DC1" w:rsidRDefault="00610DC1" w:rsidP="00706AE8">
            <w:pPr>
              <w:rPr>
                <w:color w:val="auto"/>
                <w:szCs w:val="20"/>
              </w:rPr>
            </w:pPr>
            <w:r w:rsidRPr="00610DC1">
              <w:rPr>
                <w:color w:val="auto"/>
                <w:szCs w:val="20"/>
              </w:rPr>
              <w:t>Burkina Faso</w:t>
            </w:r>
          </w:p>
        </w:tc>
        <w:tc>
          <w:tcPr>
            <w:tcW w:w="1086" w:type="dxa"/>
            <w:tcBorders>
              <w:top w:val="nil"/>
              <w:left w:val="nil"/>
              <w:bottom w:val="nil"/>
              <w:right w:val="single" w:sz="4" w:space="0" w:color="auto"/>
            </w:tcBorders>
            <w:shd w:val="clear" w:color="auto" w:fill="auto"/>
            <w:noWrap/>
            <w:hideMark/>
          </w:tcPr>
          <w:p w14:paraId="2F495A41" w14:textId="77777777" w:rsidR="00610DC1" w:rsidRPr="00610DC1" w:rsidRDefault="00610DC1" w:rsidP="00706AE8">
            <w:pPr>
              <w:jc w:val="right"/>
              <w:rPr>
                <w:color w:val="auto"/>
                <w:szCs w:val="20"/>
              </w:rPr>
            </w:pPr>
            <w:r w:rsidRPr="00610DC1">
              <w:rPr>
                <w:color w:val="auto"/>
                <w:szCs w:val="20"/>
              </w:rPr>
              <w:t>32,9%</w:t>
            </w:r>
          </w:p>
        </w:tc>
        <w:tc>
          <w:tcPr>
            <w:tcW w:w="1034" w:type="dxa"/>
            <w:tcBorders>
              <w:top w:val="nil"/>
              <w:left w:val="nil"/>
              <w:bottom w:val="nil"/>
              <w:right w:val="single" w:sz="4" w:space="0" w:color="auto"/>
            </w:tcBorders>
            <w:shd w:val="clear" w:color="auto" w:fill="auto"/>
            <w:noWrap/>
            <w:hideMark/>
          </w:tcPr>
          <w:p w14:paraId="2C1840FD" w14:textId="77777777" w:rsidR="00610DC1" w:rsidRPr="00610DC1" w:rsidRDefault="00610DC1" w:rsidP="00706AE8">
            <w:pPr>
              <w:jc w:val="right"/>
              <w:rPr>
                <w:color w:val="auto"/>
                <w:szCs w:val="20"/>
              </w:rPr>
            </w:pPr>
            <w:r w:rsidRPr="00610DC1">
              <w:rPr>
                <w:color w:val="auto"/>
                <w:szCs w:val="20"/>
              </w:rPr>
              <w:t>25,6%</w:t>
            </w:r>
          </w:p>
        </w:tc>
        <w:tc>
          <w:tcPr>
            <w:tcW w:w="1086" w:type="dxa"/>
            <w:tcBorders>
              <w:top w:val="nil"/>
              <w:left w:val="nil"/>
              <w:bottom w:val="nil"/>
              <w:right w:val="single" w:sz="4" w:space="0" w:color="auto"/>
            </w:tcBorders>
            <w:shd w:val="clear" w:color="auto" w:fill="auto"/>
            <w:noWrap/>
            <w:hideMark/>
          </w:tcPr>
          <w:p w14:paraId="3981E76D" w14:textId="77777777" w:rsidR="00610DC1" w:rsidRPr="00610DC1" w:rsidRDefault="00610DC1" w:rsidP="00706AE8">
            <w:pPr>
              <w:jc w:val="right"/>
              <w:rPr>
                <w:color w:val="auto"/>
                <w:szCs w:val="20"/>
              </w:rPr>
            </w:pPr>
            <w:r w:rsidRPr="00610DC1">
              <w:rPr>
                <w:color w:val="auto"/>
                <w:szCs w:val="20"/>
              </w:rPr>
              <w:t>30,3%</w:t>
            </w:r>
          </w:p>
        </w:tc>
        <w:tc>
          <w:tcPr>
            <w:tcW w:w="1034" w:type="dxa"/>
            <w:tcBorders>
              <w:top w:val="nil"/>
              <w:left w:val="nil"/>
              <w:bottom w:val="nil"/>
              <w:right w:val="single" w:sz="4" w:space="0" w:color="auto"/>
            </w:tcBorders>
            <w:shd w:val="clear" w:color="auto" w:fill="auto"/>
            <w:noWrap/>
            <w:hideMark/>
          </w:tcPr>
          <w:p w14:paraId="47981F4F" w14:textId="77777777" w:rsidR="00610DC1" w:rsidRPr="00610DC1" w:rsidRDefault="00610DC1" w:rsidP="00706AE8">
            <w:pPr>
              <w:jc w:val="right"/>
              <w:rPr>
                <w:color w:val="auto"/>
                <w:szCs w:val="20"/>
              </w:rPr>
            </w:pPr>
            <w:r w:rsidRPr="00610DC1">
              <w:rPr>
                <w:color w:val="auto"/>
                <w:szCs w:val="20"/>
              </w:rPr>
              <w:t>23,9%</w:t>
            </w:r>
          </w:p>
        </w:tc>
        <w:tc>
          <w:tcPr>
            <w:tcW w:w="1193" w:type="dxa"/>
            <w:tcBorders>
              <w:top w:val="nil"/>
              <w:left w:val="nil"/>
              <w:bottom w:val="nil"/>
              <w:right w:val="single" w:sz="4" w:space="0" w:color="auto"/>
            </w:tcBorders>
            <w:shd w:val="clear" w:color="auto" w:fill="auto"/>
            <w:noWrap/>
            <w:hideMark/>
          </w:tcPr>
          <w:p w14:paraId="31F5E3F4" w14:textId="77777777" w:rsidR="00610DC1" w:rsidRPr="00610DC1" w:rsidRDefault="00610DC1" w:rsidP="00706AE8">
            <w:pPr>
              <w:jc w:val="right"/>
              <w:rPr>
                <w:color w:val="auto"/>
                <w:szCs w:val="20"/>
              </w:rPr>
            </w:pPr>
            <w:r w:rsidRPr="00610DC1">
              <w:rPr>
                <w:color w:val="auto"/>
                <w:szCs w:val="20"/>
              </w:rPr>
              <w:t>-2,5</w:t>
            </w:r>
          </w:p>
        </w:tc>
        <w:tc>
          <w:tcPr>
            <w:tcW w:w="1246" w:type="dxa"/>
            <w:tcBorders>
              <w:top w:val="nil"/>
              <w:left w:val="nil"/>
              <w:bottom w:val="nil"/>
              <w:right w:val="single" w:sz="4" w:space="0" w:color="auto"/>
            </w:tcBorders>
            <w:shd w:val="clear" w:color="auto" w:fill="auto"/>
            <w:noWrap/>
            <w:hideMark/>
          </w:tcPr>
          <w:p w14:paraId="4136E1B4" w14:textId="77777777" w:rsidR="00610DC1" w:rsidRPr="00610DC1" w:rsidRDefault="00610DC1" w:rsidP="00706AE8">
            <w:pPr>
              <w:jc w:val="right"/>
              <w:rPr>
                <w:color w:val="auto"/>
                <w:szCs w:val="20"/>
              </w:rPr>
            </w:pPr>
            <w:r w:rsidRPr="00610DC1">
              <w:rPr>
                <w:color w:val="auto"/>
                <w:szCs w:val="20"/>
              </w:rPr>
              <w:t>-1,7</w:t>
            </w:r>
          </w:p>
        </w:tc>
      </w:tr>
      <w:tr w:rsidR="00610DC1" w:rsidRPr="00610DC1" w14:paraId="05E6BE8D"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AFBA31E" w14:textId="77777777" w:rsidR="00610DC1" w:rsidRPr="00610DC1" w:rsidRDefault="00610DC1" w:rsidP="00706AE8">
            <w:pPr>
              <w:rPr>
                <w:color w:val="auto"/>
                <w:szCs w:val="20"/>
              </w:rPr>
            </w:pPr>
            <w:r w:rsidRPr="00610DC1">
              <w:rPr>
                <w:color w:val="auto"/>
                <w:szCs w:val="20"/>
              </w:rPr>
              <w:t>Cameroun</w:t>
            </w:r>
          </w:p>
        </w:tc>
        <w:tc>
          <w:tcPr>
            <w:tcW w:w="1086" w:type="dxa"/>
            <w:tcBorders>
              <w:top w:val="nil"/>
              <w:left w:val="nil"/>
              <w:bottom w:val="nil"/>
              <w:right w:val="single" w:sz="4" w:space="0" w:color="auto"/>
            </w:tcBorders>
            <w:shd w:val="clear" w:color="auto" w:fill="auto"/>
            <w:noWrap/>
            <w:hideMark/>
          </w:tcPr>
          <w:p w14:paraId="22ADAB9D" w14:textId="77777777" w:rsidR="00610DC1" w:rsidRPr="00610DC1" w:rsidRDefault="00610DC1" w:rsidP="00706AE8">
            <w:pPr>
              <w:jc w:val="right"/>
              <w:rPr>
                <w:color w:val="auto"/>
                <w:szCs w:val="20"/>
              </w:rPr>
            </w:pPr>
            <w:r w:rsidRPr="00610DC1">
              <w:rPr>
                <w:color w:val="auto"/>
                <w:szCs w:val="20"/>
              </w:rPr>
              <w:t>40,2%</w:t>
            </w:r>
          </w:p>
        </w:tc>
        <w:tc>
          <w:tcPr>
            <w:tcW w:w="1034" w:type="dxa"/>
            <w:tcBorders>
              <w:top w:val="nil"/>
              <w:left w:val="nil"/>
              <w:bottom w:val="nil"/>
              <w:right w:val="single" w:sz="4" w:space="0" w:color="auto"/>
            </w:tcBorders>
            <w:shd w:val="clear" w:color="auto" w:fill="auto"/>
            <w:noWrap/>
            <w:hideMark/>
          </w:tcPr>
          <w:p w14:paraId="7B9D674B" w14:textId="77777777" w:rsidR="00610DC1" w:rsidRPr="00610DC1" w:rsidRDefault="00610DC1" w:rsidP="00706AE8">
            <w:pPr>
              <w:jc w:val="right"/>
              <w:rPr>
                <w:color w:val="auto"/>
                <w:szCs w:val="20"/>
              </w:rPr>
            </w:pPr>
            <w:r w:rsidRPr="00610DC1">
              <w:rPr>
                <w:color w:val="auto"/>
                <w:szCs w:val="20"/>
              </w:rPr>
              <w:t>31,3%</w:t>
            </w:r>
          </w:p>
        </w:tc>
        <w:tc>
          <w:tcPr>
            <w:tcW w:w="1086" w:type="dxa"/>
            <w:tcBorders>
              <w:top w:val="nil"/>
              <w:left w:val="nil"/>
              <w:bottom w:val="nil"/>
              <w:right w:val="single" w:sz="4" w:space="0" w:color="auto"/>
            </w:tcBorders>
            <w:shd w:val="clear" w:color="auto" w:fill="auto"/>
            <w:noWrap/>
            <w:hideMark/>
          </w:tcPr>
          <w:p w14:paraId="6090B077" w14:textId="77777777" w:rsidR="00610DC1" w:rsidRPr="00610DC1" w:rsidRDefault="00610DC1" w:rsidP="00706AE8">
            <w:pPr>
              <w:jc w:val="right"/>
              <w:rPr>
                <w:color w:val="auto"/>
                <w:szCs w:val="20"/>
              </w:rPr>
            </w:pPr>
            <w:r w:rsidRPr="00610DC1">
              <w:rPr>
                <w:color w:val="auto"/>
                <w:szCs w:val="20"/>
              </w:rPr>
              <w:t>20,6%</w:t>
            </w:r>
          </w:p>
        </w:tc>
        <w:tc>
          <w:tcPr>
            <w:tcW w:w="1034" w:type="dxa"/>
            <w:tcBorders>
              <w:top w:val="nil"/>
              <w:left w:val="nil"/>
              <w:bottom w:val="nil"/>
              <w:right w:val="single" w:sz="4" w:space="0" w:color="auto"/>
            </w:tcBorders>
            <w:shd w:val="clear" w:color="auto" w:fill="auto"/>
            <w:noWrap/>
            <w:hideMark/>
          </w:tcPr>
          <w:p w14:paraId="29CEA7C3" w14:textId="77777777" w:rsidR="00610DC1" w:rsidRPr="00610DC1" w:rsidRDefault="00610DC1" w:rsidP="00706AE8">
            <w:pPr>
              <w:jc w:val="right"/>
              <w:rPr>
                <w:color w:val="auto"/>
                <w:szCs w:val="20"/>
              </w:rPr>
            </w:pPr>
            <w:r w:rsidRPr="00610DC1">
              <w:rPr>
                <w:color w:val="auto"/>
                <w:szCs w:val="20"/>
              </w:rPr>
              <w:t>15,6%</w:t>
            </w:r>
          </w:p>
        </w:tc>
        <w:tc>
          <w:tcPr>
            <w:tcW w:w="1193" w:type="dxa"/>
            <w:tcBorders>
              <w:top w:val="nil"/>
              <w:left w:val="nil"/>
              <w:bottom w:val="nil"/>
              <w:right w:val="single" w:sz="4" w:space="0" w:color="auto"/>
            </w:tcBorders>
            <w:shd w:val="clear" w:color="auto" w:fill="auto"/>
            <w:noWrap/>
            <w:hideMark/>
          </w:tcPr>
          <w:p w14:paraId="7806B835" w14:textId="77777777" w:rsidR="00610DC1" w:rsidRPr="00610DC1" w:rsidRDefault="00610DC1" w:rsidP="00706AE8">
            <w:pPr>
              <w:jc w:val="right"/>
              <w:rPr>
                <w:color w:val="auto"/>
                <w:szCs w:val="20"/>
              </w:rPr>
            </w:pPr>
            <w:r w:rsidRPr="00610DC1">
              <w:rPr>
                <w:color w:val="auto"/>
                <w:szCs w:val="20"/>
              </w:rPr>
              <w:t>-19,5</w:t>
            </w:r>
          </w:p>
        </w:tc>
        <w:tc>
          <w:tcPr>
            <w:tcW w:w="1246" w:type="dxa"/>
            <w:tcBorders>
              <w:top w:val="nil"/>
              <w:left w:val="nil"/>
              <w:bottom w:val="nil"/>
              <w:right w:val="single" w:sz="4" w:space="0" w:color="auto"/>
            </w:tcBorders>
            <w:shd w:val="clear" w:color="auto" w:fill="auto"/>
            <w:noWrap/>
            <w:hideMark/>
          </w:tcPr>
          <w:p w14:paraId="34D5B753" w14:textId="77777777" w:rsidR="00610DC1" w:rsidRPr="00610DC1" w:rsidRDefault="00610DC1" w:rsidP="00706AE8">
            <w:pPr>
              <w:jc w:val="right"/>
              <w:rPr>
                <w:color w:val="auto"/>
                <w:szCs w:val="20"/>
              </w:rPr>
            </w:pPr>
            <w:r w:rsidRPr="00610DC1">
              <w:rPr>
                <w:color w:val="auto"/>
                <w:szCs w:val="20"/>
              </w:rPr>
              <w:t>-15,6</w:t>
            </w:r>
          </w:p>
        </w:tc>
      </w:tr>
      <w:tr w:rsidR="00610DC1" w:rsidRPr="00610DC1" w14:paraId="621D4C66"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028E112" w14:textId="77777777" w:rsidR="00610DC1" w:rsidRPr="00610DC1" w:rsidRDefault="00610DC1" w:rsidP="00706AE8">
            <w:pPr>
              <w:rPr>
                <w:color w:val="auto"/>
                <w:szCs w:val="20"/>
              </w:rPr>
            </w:pPr>
            <w:r w:rsidRPr="00610DC1">
              <w:rPr>
                <w:color w:val="auto"/>
                <w:szCs w:val="20"/>
              </w:rPr>
              <w:t>Centrafrique</w:t>
            </w:r>
          </w:p>
        </w:tc>
        <w:tc>
          <w:tcPr>
            <w:tcW w:w="1086" w:type="dxa"/>
            <w:tcBorders>
              <w:top w:val="nil"/>
              <w:left w:val="nil"/>
              <w:bottom w:val="nil"/>
              <w:right w:val="single" w:sz="4" w:space="0" w:color="auto"/>
            </w:tcBorders>
            <w:shd w:val="clear" w:color="auto" w:fill="auto"/>
            <w:noWrap/>
            <w:hideMark/>
          </w:tcPr>
          <w:p w14:paraId="3B4F2BB5" w14:textId="77777777" w:rsidR="00610DC1" w:rsidRPr="00610DC1" w:rsidRDefault="00610DC1" w:rsidP="00706AE8">
            <w:pPr>
              <w:jc w:val="right"/>
              <w:rPr>
                <w:color w:val="auto"/>
                <w:szCs w:val="20"/>
              </w:rPr>
            </w:pPr>
            <w:r w:rsidRPr="00610DC1">
              <w:rPr>
                <w:color w:val="auto"/>
                <w:szCs w:val="20"/>
              </w:rPr>
              <w:t>36,2%</w:t>
            </w:r>
          </w:p>
        </w:tc>
        <w:tc>
          <w:tcPr>
            <w:tcW w:w="1034" w:type="dxa"/>
            <w:tcBorders>
              <w:top w:val="nil"/>
              <w:left w:val="nil"/>
              <w:bottom w:val="nil"/>
              <w:right w:val="single" w:sz="4" w:space="0" w:color="auto"/>
            </w:tcBorders>
            <w:shd w:val="clear" w:color="auto" w:fill="auto"/>
            <w:noWrap/>
            <w:hideMark/>
          </w:tcPr>
          <w:p w14:paraId="674C931F" w14:textId="77777777" w:rsidR="00610DC1" w:rsidRPr="00610DC1" w:rsidRDefault="00610DC1" w:rsidP="00706AE8">
            <w:pPr>
              <w:jc w:val="right"/>
              <w:rPr>
                <w:color w:val="auto"/>
                <w:szCs w:val="20"/>
              </w:rPr>
            </w:pPr>
            <w:r w:rsidRPr="00610DC1">
              <w:rPr>
                <w:color w:val="auto"/>
                <w:szCs w:val="20"/>
              </w:rPr>
              <w:t>28,6%</w:t>
            </w:r>
          </w:p>
        </w:tc>
        <w:tc>
          <w:tcPr>
            <w:tcW w:w="1086" w:type="dxa"/>
            <w:tcBorders>
              <w:top w:val="nil"/>
              <w:left w:val="nil"/>
              <w:bottom w:val="nil"/>
              <w:right w:val="single" w:sz="4" w:space="0" w:color="auto"/>
            </w:tcBorders>
            <w:shd w:val="clear" w:color="auto" w:fill="auto"/>
            <w:noWrap/>
            <w:hideMark/>
          </w:tcPr>
          <w:p w14:paraId="7FB508B7" w14:textId="77777777" w:rsidR="00610DC1" w:rsidRPr="00610DC1" w:rsidRDefault="00610DC1" w:rsidP="00706AE8">
            <w:pPr>
              <w:jc w:val="right"/>
              <w:rPr>
                <w:color w:val="auto"/>
                <w:szCs w:val="20"/>
              </w:rPr>
            </w:pPr>
            <w:r w:rsidRPr="00610DC1">
              <w:rPr>
                <w:color w:val="auto"/>
                <w:szCs w:val="20"/>
              </w:rPr>
              <w:t>23,1%</w:t>
            </w:r>
          </w:p>
        </w:tc>
        <w:tc>
          <w:tcPr>
            <w:tcW w:w="1034" w:type="dxa"/>
            <w:tcBorders>
              <w:top w:val="nil"/>
              <w:left w:val="nil"/>
              <w:bottom w:val="nil"/>
              <w:right w:val="single" w:sz="4" w:space="0" w:color="auto"/>
            </w:tcBorders>
            <w:shd w:val="clear" w:color="auto" w:fill="auto"/>
            <w:noWrap/>
            <w:hideMark/>
          </w:tcPr>
          <w:p w14:paraId="5F1C495E" w14:textId="77777777" w:rsidR="00610DC1" w:rsidRPr="00610DC1" w:rsidRDefault="00610DC1" w:rsidP="00706AE8">
            <w:pPr>
              <w:jc w:val="right"/>
              <w:rPr>
                <w:color w:val="auto"/>
                <w:szCs w:val="20"/>
              </w:rPr>
            </w:pPr>
            <w:r w:rsidRPr="00610DC1">
              <w:rPr>
                <w:color w:val="auto"/>
                <w:szCs w:val="20"/>
              </w:rPr>
              <w:t>15,6%</w:t>
            </w:r>
          </w:p>
        </w:tc>
        <w:tc>
          <w:tcPr>
            <w:tcW w:w="1193" w:type="dxa"/>
            <w:tcBorders>
              <w:top w:val="nil"/>
              <w:left w:val="nil"/>
              <w:bottom w:val="nil"/>
              <w:right w:val="single" w:sz="4" w:space="0" w:color="auto"/>
            </w:tcBorders>
            <w:shd w:val="clear" w:color="auto" w:fill="auto"/>
            <w:noWrap/>
            <w:hideMark/>
          </w:tcPr>
          <w:p w14:paraId="5B3782C6" w14:textId="77777777" w:rsidR="00610DC1" w:rsidRPr="00610DC1" w:rsidRDefault="00610DC1" w:rsidP="00706AE8">
            <w:pPr>
              <w:jc w:val="right"/>
              <w:rPr>
                <w:color w:val="auto"/>
                <w:szCs w:val="20"/>
              </w:rPr>
            </w:pPr>
            <w:r w:rsidRPr="00610DC1">
              <w:rPr>
                <w:color w:val="auto"/>
                <w:szCs w:val="20"/>
              </w:rPr>
              <w:t>-13,1</w:t>
            </w:r>
          </w:p>
        </w:tc>
        <w:tc>
          <w:tcPr>
            <w:tcW w:w="1246" w:type="dxa"/>
            <w:tcBorders>
              <w:top w:val="nil"/>
              <w:left w:val="nil"/>
              <w:bottom w:val="nil"/>
              <w:right w:val="single" w:sz="4" w:space="0" w:color="auto"/>
            </w:tcBorders>
            <w:shd w:val="clear" w:color="auto" w:fill="auto"/>
            <w:noWrap/>
            <w:hideMark/>
          </w:tcPr>
          <w:p w14:paraId="7BA0C7C8" w14:textId="77777777" w:rsidR="00610DC1" w:rsidRPr="00610DC1" w:rsidRDefault="00610DC1" w:rsidP="00706AE8">
            <w:pPr>
              <w:jc w:val="right"/>
              <w:rPr>
                <w:color w:val="auto"/>
                <w:szCs w:val="20"/>
              </w:rPr>
            </w:pPr>
            <w:r w:rsidRPr="00610DC1">
              <w:rPr>
                <w:color w:val="auto"/>
                <w:szCs w:val="20"/>
              </w:rPr>
              <w:t>-13,1</w:t>
            </w:r>
          </w:p>
        </w:tc>
      </w:tr>
      <w:tr w:rsidR="00610DC1" w:rsidRPr="00610DC1" w14:paraId="29DFCDDD"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1908D1EE" w14:textId="77777777" w:rsidR="00610DC1" w:rsidRPr="00610DC1" w:rsidRDefault="00610DC1" w:rsidP="00706AE8">
            <w:pPr>
              <w:rPr>
                <w:color w:val="auto"/>
                <w:szCs w:val="20"/>
              </w:rPr>
            </w:pPr>
            <w:r w:rsidRPr="00610DC1">
              <w:rPr>
                <w:color w:val="auto"/>
                <w:szCs w:val="20"/>
              </w:rPr>
              <w:t>Congo</w:t>
            </w:r>
          </w:p>
        </w:tc>
        <w:tc>
          <w:tcPr>
            <w:tcW w:w="1086" w:type="dxa"/>
            <w:tcBorders>
              <w:top w:val="nil"/>
              <w:left w:val="nil"/>
              <w:bottom w:val="nil"/>
              <w:right w:val="single" w:sz="4" w:space="0" w:color="auto"/>
            </w:tcBorders>
            <w:shd w:val="clear" w:color="auto" w:fill="auto"/>
            <w:noWrap/>
            <w:hideMark/>
          </w:tcPr>
          <w:p w14:paraId="026A4805" w14:textId="77777777" w:rsidR="00610DC1" w:rsidRPr="00610DC1" w:rsidRDefault="00610DC1" w:rsidP="00706AE8">
            <w:pPr>
              <w:jc w:val="right"/>
              <w:rPr>
                <w:color w:val="auto"/>
                <w:szCs w:val="20"/>
              </w:rPr>
            </w:pPr>
            <w:r w:rsidRPr="00610DC1">
              <w:rPr>
                <w:color w:val="auto"/>
                <w:szCs w:val="20"/>
              </w:rPr>
              <w:t>37,5%</w:t>
            </w:r>
          </w:p>
        </w:tc>
        <w:tc>
          <w:tcPr>
            <w:tcW w:w="1034" w:type="dxa"/>
            <w:tcBorders>
              <w:top w:val="nil"/>
              <w:left w:val="nil"/>
              <w:bottom w:val="nil"/>
              <w:right w:val="single" w:sz="4" w:space="0" w:color="auto"/>
            </w:tcBorders>
            <w:shd w:val="clear" w:color="auto" w:fill="auto"/>
            <w:noWrap/>
            <w:hideMark/>
          </w:tcPr>
          <w:p w14:paraId="42598FE7" w14:textId="77777777" w:rsidR="00610DC1" w:rsidRPr="00610DC1" w:rsidRDefault="00610DC1" w:rsidP="00706AE8">
            <w:pPr>
              <w:jc w:val="right"/>
              <w:rPr>
                <w:color w:val="auto"/>
                <w:szCs w:val="20"/>
              </w:rPr>
            </w:pPr>
            <w:r w:rsidRPr="00610DC1">
              <w:rPr>
                <w:color w:val="auto"/>
                <w:szCs w:val="20"/>
              </w:rPr>
              <w:t>28,0%</w:t>
            </w:r>
          </w:p>
        </w:tc>
        <w:tc>
          <w:tcPr>
            <w:tcW w:w="1086" w:type="dxa"/>
            <w:tcBorders>
              <w:top w:val="nil"/>
              <w:left w:val="nil"/>
              <w:bottom w:val="nil"/>
              <w:right w:val="single" w:sz="4" w:space="0" w:color="auto"/>
            </w:tcBorders>
            <w:shd w:val="clear" w:color="auto" w:fill="auto"/>
            <w:noWrap/>
            <w:hideMark/>
          </w:tcPr>
          <w:p w14:paraId="00F27195" w14:textId="77777777" w:rsidR="00610DC1" w:rsidRPr="00610DC1" w:rsidRDefault="00610DC1" w:rsidP="00706AE8">
            <w:pPr>
              <w:jc w:val="right"/>
              <w:rPr>
                <w:color w:val="auto"/>
                <w:szCs w:val="20"/>
              </w:rPr>
            </w:pPr>
            <w:r w:rsidRPr="00610DC1">
              <w:rPr>
                <w:color w:val="auto"/>
                <w:szCs w:val="20"/>
              </w:rPr>
              <w:t>22,4%</w:t>
            </w:r>
          </w:p>
        </w:tc>
        <w:tc>
          <w:tcPr>
            <w:tcW w:w="1034" w:type="dxa"/>
            <w:tcBorders>
              <w:top w:val="nil"/>
              <w:left w:val="nil"/>
              <w:bottom w:val="nil"/>
              <w:right w:val="single" w:sz="4" w:space="0" w:color="auto"/>
            </w:tcBorders>
            <w:shd w:val="clear" w:color="auto" w:fill="auto"/>
            <w:noWrap/>
            <w:hideMark/>
          </w:tcPr>
          <w:p w14:paraId="6FFC1161" w14:textId="77777777" w:rsidR="00610DC1" w:rsidRPr="00610DC1" w:rsidRDefault="00610DC1" w:rsidP="00706AE8">
            <w:pPr>
              <w:jc w:val="right"/>
              <w:rPr>
                <w:color w:val="auto"/>
                <w:szCs w:val="20"/>
              </w:rPr>
            </w:pPr>
            <w:r w:rsidRPr="00610DC1">
              <w:rPr>
                <w:color w:val="auto"/>
                <w:szCs w:val="20"/>
              </w:rPr>
              <w:t>12,9%</w:t>
            </w:r>
          </w:p>
        </w:tc>
        <w:tc>
          <w:tcPr>
            <w:tcW w:w="1193" w:type="dxa"/>
            <w:tcBorders>
              <w:top w:val="nil"/>
              <w:left w:val="nil"/>
              <w:bottom w:val="nil"/>
              <w:right w:val="single" w:sz="4" w:space="0" w:color="auto"/>
            </w:tcBorders>
            <w:shd w:val="clear" w:color="auto" w:fill="auto"/>
            <w:noWrap/>
            <w:hideMark/>
          </w:tcPr>
          <w:p w14:paraId="3433B58B" w14:textId="77777777" w:rsidR="00610DC1" w:rsidRPr="00610DC1" w:rsidRDefault="00610DC1" w:rsidP="00706AE8">
            <w:pPr>
              <w:jc w:val="right"/>
              <w:rPr>
                <w:color w:val="auto"/>
                <w:szCs w:val="20"/>
              </w:rPr>
            </w:pPr>
            <w:r w:rsidRPr="00610DC1">
              <w:rPr>
                <w:color w:val="auto"/>
                <w:szCs w:val="20"/>
              </w:rPr>
              <w:t>-15,1</w:t>
            </w:r>
          </w:p>
        </w:tc>
        <w:tc>
          <w:tcPr>
            <w:tcW w:w="1246" w:type="dxa"/>
            <w:tcBorders>
              <w:top w:val="nil"/>
              <w:left w:val="nil"/>
              <w:bottom w:val="nil"/>
              <w:right w:val="single" w:sz="4" w:space="0" w:color="auto"/>
            </w:tcBorders>
            <w:shd w:val="clear" w:color="auto" w:fill="auto"/>
            <w:noWrap/>
            <w:hideMark/>
          </w:tcPr>
          <w:p w14:paraId="3EC86BE4" w14:textId="77777777" w:rsidR="00610DC1" w:rsidRPr="00610DC1" w:rsidRDefault="00610DC1" w:rsidP="00706AE8">
            <w:pPr>
              <w:jc w:val="right"/>
              <w:rPr>
                <w:color w:val="auto"/>
                <w:szCs w:val="20"/>
              </w:rPr>
            </w:pPr>
            <w:r w:rsidRPr="00610DC1">
              <w:rPr>
                <w:color w:val="auto"/>
                <w:szCs w:val="20"/>
              </w:rPr>
              <w:t>-15,1</w:t>
            </w:r>
          </w:p>
        </w:tc>
      </w:tr>
      <w:tr w:rsidR="00610DC1" w:rsidRPr="00610DC1" w14:paraId="55CB03CC"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9E96E6E" w14:textId="77777777" w:rsidR="00610DC1" w:rsidRPr="00610DC1" w:rsidRDefault="00610DC1" w:rsidP="00706AE8">
            <w:pPr>
              <w:rPr>
                <w:color w:val="auto"/>
                <w:szCs w:val="20"/>
              </w:rPr>
            </w:pPr>
            <w:r w:rsidRPr="00610DC1">
              <w:rPr>
                <w:color w:val="auto"/>
                <w:szCs w:val="20"/>
              </w:rPr>
              <w:t>Côte d'Ivoire</w:t>
            </w:r>
          </w:p>
        </w:tc>
        <w:tc>
          <w:tcPr>
            <w:tcW w:w="1086" w:type="dxa"/>
            <w:tcBorders>
              <w:top w:val="nil"/>
              <w:left w:val="nil"/>
              <w:bottom w:val="nil"/>
              <w:right w:val="single" w:sz="4" w:space="0" w:color="auto"/>
            </w:tcBorders>
            <w:shd w:val="clear" w:color="auto" w:fill="auto"/>
            <w:noWrap/>
            <w:hideMark/>
          </w:tcPr>
          <w:p w14:paraId="5B3E2EF4" w14:textId="77777777" w:rsidR="00610DC1" w:rsidRPr="00610DC1" w:rsidRDefault="00610DC1" w:rsidP="00706AE8">
            <w:pPr>
              <w:jc w:val="right"/>
              <w:rPr>
                <w:color w:val="auto"/>
                <w:szCs w:val="20"/>
              </w:rPr>
            </w:pPr>
            <w:r w:rsidRPr="00610DC1">
              <w:rPr>
                <w:color w:val="auto"/>
                <w:szCs w:val="20"/>
              </w:rPr>
              <w:t>31,1%</w:t>
            </w:r>
          </w:p>
        </w:tc>
        <w:tc>
          <w:tcPr>
            <w:tcW w:w="1034" w:type="dxa"/>
            <w:tcBorders>
              <w:top w:val="nil"/>
              <w:left w:val="nil"/>
              <w:bottom w:val="nil"/>
              <w:right w:val="single" w:sz="4" w:space="0" w:color="auto"/>
            </w:tcBorders>
            <w:shd w:val="clear" w:color="auto" w:fill="auto"/>
            <w:noWrap/>
            <w:hideMark/>
          </w:tcPr>
          <w:p w14:paraId="7B9C1AEF" w14:textId="77777777" w:rsidR="00610DC1" w:rsidRPr="00610DC1" w:rsidRDefault="00610DC1" w:rsidP="00706AE8">
            <w:pPr>
              <w:jc w:val="right"/>
              <w:rPr>
                <w:color w:val="auto"/>
                <w:szCs w:val="20"/>
              </w:rPr>
            </w:pPr>
            <w:r w:rsidRPr="00610DC1">
              <w:rPr>
                <w:color w:val="auto"/>
                <w:szCs w:val="20"/>
              </w:rPr>
              <w:t>22,9%</w:t>
            </w:r>
          </w:p>
        </w:tc>
        <w:tc>
          <w:tcPr>
            <w:tcW w:w="1086" w:type="dxa"/>
            <w:tcBorders>
              <w:top w:val="nil"/>
              <w:left w:val="nil"/>
              <w:bottom w:val="nil"/>
              <w:right w:val="single" w:sz="4" w:space="0" w:color="auto"/>
            </w:tcBorders>
            <w:shd w:val="clear" w:color="auto" w:fill="auto"/>
            <w:noWrap/>
            <w:hideMark/>
          </w:tcPr>
          <w:p w14:paraId="2EC229ED" w14:textId="77777777" w:rsidR="00610DC1" w:rsidRPr="00610DC1" w:rsidRDefault="00610DC1" w:rsidP="00706AE8">
            <w:pPr>
              <w:jc w:val="right"/>
              <w:rPr>
                <w:color w:val="auto"/>
                <w:szCs w:val="20"/>
              </w:rPr>
            </w:pPr>
            <w:r w:rsidRPr="00610DC1">
              <w:rPr>
                <w:color w:val="auto"/>
                <w:szCs w:val="20"/>
              </w:rPr>
              <w:t>10,2%</w:t>
            </w:r>
          </w:p>
        </w:tc>
        <w:tc>
          <w:tcPr>
            <w:tcW w:w="1034" w:type="dxa"/>
            <w:tcBorders>
              <w:top w:val="nil"/>
              <w:left w:val="nil"/>
              <w:bottom w:val="nil"/>
              <w:right w:val="single" w:sz="4" w:space="0" w:color="auto"/>
            </w:tcBorders>
            <w:shd w:val="clear" w:color="auto" w:fill="auto"/>
            <w:noWrap/>
            <w:hideMark/>
          </w:tcPr>
          <w:p w14:paraId="69CF4089" w14:textId="77777777" w:rsidR="00610DC1" w:rsidRPr="00610DC1" w:rsidRDefault="00610DC1" w:rsidP="00706AE8">
            <w:pPr>
              <w:jc w:val="right"/>
              <w:rPr>
                <w:color w:val="auto"/>
                <w:szCs w:val="20"/>
              </w:rPr>
            </w:pPr>
            <w:r w:rsidRPr="00610DC1">
              <w:rPr>
                <w:color w:val="auto"/>
                <w:szCs w:val="20"/>
              </w:rPr>
              <w:t>2,2%</w:t>
            </w:r>
          </w:p>
        </w:tc>
        <w:tc>
          <w:tcPr>
            <w:tcW w:w="1193" w:type="dxa"/>
            <w:tcBorders>
              <w:top w:val="nil"/>
              <w:left w:val="nil"/>
              <w:bottom w:val="nil"/>
              <w:right w:val="single" w:sz="4" w:space="0" w:color="auto"/>
            </w:tcBorders>
            <w:shd w:val="clear" w:color="auto" w:fill="auto"/>
            <w:noWrap/>
            <w:hideMark/>
          </w:tcPr>
          <w:p w14:paraId="4EEBC6FF" w14:textId="77777777" w:rsidR="00610DC1" w:rsidRPr="00610DC1" w:rsidRDefault="00610DC1" w:rsidP="00706AE8">
            <w:pPr>
              <w:jc w:val="right"/>
              <w:rPr>
                <w:color w:val="auto"/>
                <w:szCs w:val="20"/>
              </w:rPr>
            </w:pPr>
            <w:r w:rsidRPr="00610DC1">
              <w:rPr>
                <w:color w:val="auto"/>
                <w:szCs w:val="20"/>
              </w:rPr>
              <w:t>-20,9</w:t>
            </w:r>
          </w:p>
        </w:tc>
        <w:tc>
          <w:tcPr>
            <w:tcW w:w="1246" w:type="dxa"/>
            <w:tcBorders>
              <w:top w:val="nil"/>
              <w:left w:val="nil"/>
              <w:bottom w:val="nil"/>
              <w:right w:val="single" w:sz="4" w:space="0" w:color="auto"/>
            </w:tcBorders>
            <w:shd w:val="clear" w:color="auto" w:fill="auto"/>
            <w:noWrap/>
            <w:hideMark/>
          </w:tcPr>
          <w:p w14:paraId="463E0ECF" w14:textId="77777777" w:rsidR="00610DC1" w:rsidRPr="00610DC1" w:rsidRDefault="00610DC1" w:rsidP="00706AE8">
            <w:pPr>
              <w:jc w:val="right"/>
              <w:rPr>
                <w:color w:val="auto"/>
                <w:szCs w:val="20"/>
              </w:rPr>
            </w:pPr>
            <w:r w:rsidRPr="00610DC1">
              <w:rPr>
                <w:color w:val="auto"/>
                <w:szCs w:val="20"/>
              </w:rPr>
              <w:t>-20,7</w:t>
            </w:r>
          </w:p>
        </w:tc>
      </w:tr>
      <w:tr w:rsidR="00610DC1" w:rsidRPr="00610DC1" w14:paraId="476625F6"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685D98D3" w14:textId="77777777" w:rsidR="00610DC1" w:rsidRPr="00610DC1" w:rsidRDefault="00610DC1" w:rsidP="00706AE8">
            <w:pPr>
              <w:rPr>
                <w:color w:val="auto"/>
                <w:szCs w:val="20"/>
              </w:rPr>
            </w:pPr>
            <w:r w:rsidRPr="00610DC1">
              <w:rPr>
                <w:color w:val="auto"/>
                <w:szCs w:val="20"/>
              </w:rPr>
              <w:t>Gabon</w:t>
            </w:r>
          </w:p>
        </w:tc>
        <w:tc>
          <w:tcPr>
            <w:tcW w:w="1086" w:type="dxa"/>
            <w:tcBorders>
              <w:top w:val="nil"/>
              <w:left w:val="nil"/>
              <w:bottom w:val="nil"/>
              <w:right w:val="single" w:sz="4" w:space="0" w:color="auto"/>
            </w:tcBorders>
            <w:shd w:val="clear" w:color="auto" w:fill="auto"/>
            <w:noWrap/>
            <w:hideMark/>
          </w:tcPr>
          <w:p w14:paraId="69BCD02F" w14:textId="77777777" w:rsidR="00610DC1" w:rsidRPr="00610DC1" w:rsidRDefault="00610DC1" w:rsidP="00706AE8">
            <w:pPr>
              <w:jc w:val="right"/>
              <w:rPr>
                <w:color w:val="auto"/>
                <w:szCs w:val="20"/>
              </w:rPr>
            </w:pPr>
            <w:r w:rsidRPr="00610DC1">
              <w:rPr>
                <w:color w:val="auto"/>
                <w:szCs w:val="20"/>
              </w:rPr>
              <w:t>39,5%</w:t>
            </w:r>
          </w:p>
        </w:tc>
        <w:tc>
          <w:tcPr>
            <w:tcW w:w="1034" w:type="dxa"/>
            <w:tcBorders>
              <w:top w:val="nil"/>
              <w:left w:val="nil"/>
              <w:bottom w:val="nil"/>
              <w:right w:val="single" w:sz="4" w:space="0" w:color="auto"/>
            </w:tcBorders>
            <w:shd w:val="clear" w:color="auto" w:fill="auto"/>
            <w:noWrap/>
            <w:hideMark/>
          </w:tcPr>
          <w:p w14:paraId="0B8B8CBE" w14:textId="77777777" w:rsidR="00610DC1" w:rsidRPr="00610DC1" w:rsidRDefault="00610DC1" w:rsidP="00706AE8">
            <w:pPr>
              <w:jc w:val="right"/>
              <w:rPr>
                <w:color w:val="auto"/>
                <w:szCs w:val="20"/>
              </w:rPr>
            </w:pPr>
            <w:r w:rsidRPr="00610DC1">
              <w:rPr>
                <w:color w:val="auto"/>
                <w:szCs w:val="20"/>
              </w:rPr>
              <w:t>28,2%</w:t>
            </w:r>
          </w:p>
        </w:tc>
        <w:tc>
          <w:tcPr>
            <w:tcW w:w="1086" w:type="dxa"/>
            <w:tcBorders>
              <w:top w:val="nil"/>
              <w:left w:val="nil"/>
              <w:bottom w:val="nil"/>
              <w:right w:val="single" w:sz="4" w:space="0" w:color="auto"/>
            </w:tcBorders>
            <w:shd w:val="clear" w:color="auto" w:fill="auto"/>
            <w:noWrap/>
            <w:hideMark/>
          </w:tcPr>
          <w:p w14:paraId="03A31D8F" w14:textId="77777777" w:rsidR="00610DC1" w:rsidRPr="00610DC1" w:rsidRDefault="00610DC1" w:rsidP="00706AE8">
            <w:pPr>
              <w:jc w:val="right"/>
              <w:rPr>
                <w:color w:val="auto"/>
                <w:szCs w:val="20"/>
              </w:rPr>
            </w:pPr>
            <w:r w:rsidRPr="00610DC1">
              <w:rPr>
                <w:color w:val="auto"/>
                <w:szCs w:val="20"/>
              </w:rPr>
              <w:t>15,8%</w:t>
            </w:r>
          </w:p>
        </w:tc>
        <w:tc>
          <w:tcPr>
            <w:tcW w:w="1034" w:type="dxa"/>
            <w:tcBorders>
              <w:top w:val="nil"/>
              <w:left w:val="nil"/>
              <w:bottom w:val="nil"/>
              <w:right w:val="single" w:sz="4" w:space="0" w:color="auto"/>
            </w:tcBorders>
            <w:shd w:val="clear" w:color="auto" w:fill="auto"/>
            <w:noWrap/>
            <w:hideMark/>
          </w:tcPr>
          <w:p w14:paraId="23B1A3D5" w14:textId="77777777" w:rsidR="00610DC1" w:rsidRPr="00610DC1" w:rsidRDefault="00610DC1" w:rsidP="00706AE8">
            <w:pPr>
              <w:jc w:val="right"/>
              <w:rPr>
                <w:color w:val="auto"/>
                <w:szCs w:val="20"/>
              </w:rPr>
            </w:pPr>
            <w:r w:rsidRPr="00610DC1">
              <w:rPr>
                <w:color w:val="auto"/>
                <w:szCs w:val="20"/>
              </w:rPr>
              <w:t>4,5%</w:t>
            </w:r>
          </w:p>
        </w:tc>
        <w:tc>
          <w:tcPr>
            <w:tcW w:w="1193" w:type="dxa"/>
            <w:tcBorders>
              <w:top w:val="nil"/>
              <w:left w:val="nil"/>
              <w:bottom w:val="nil"/>
              <w:right w:val="single" w:sz="4" w:space="0" w:color="auto"/>
            </w:tcBorders>
            <w:shd w:val="clear" w:color="auto" w:fill="auto"/>
            <w:noWrap/>
            <w:hideMark/>
          </w:tcPr>
          <w:p w14:paraId="70E6F4A6" w14:textId="77777777" w:rsidR="00610DC1" w:rsidRPr="00610DC1" w:rsidRDefault="00610DC1" w:rsidP="00706AE8">
            <w:pPr>
              <w:jc w:val="right"/>
              <w:rPr>
                <w:color w:val="auto"/>
                <w:szCs w:val="20"/>
              </w:rPr>
            </w:pPr>
            <w:r w:rsidRPr="00610DC1">
              <w:rPr>
                <w:color w:val="auto"/>
                <w:szCs w:val="20"/>
              </w:rPr>
              <w:t>-23,7</w:t>
            </w:r>
          </w:p>
        </w:tc>
        <w:tc>
          <w:tcPr>
            <w:tcW w:w="1246" w:type="dxa"/>
            <w:tcBorders>
              <w:top w:val="nil"/>
              <w:left w:val="nil"/>
              <w:bottom w:val="nil"/>
              <w:right w:val="single" w:sz="4" w:space="0" w:color="auto"/>
            </w:tcBorders>
            <w:shd w:val="clear" w:color="auto" w:fill="auto"/>
            <w:noWrap/>
            <w:hideMark/>
          </w:tcPr>
          <w:p w14:paraId="67446F13" w14:textId="77777777" w:rsidR="00610DC1" w:rsidRPr="00610DC1" w:rsidRDefault="00610DC1" w:rsidP="00706AE8">
            <w:pPr>
              <w:jc w:val="right"/>
              <w:rPr>
                <w:color w:val="auto"/>
                <w:szCs w:val="20"/>
              </w:rPr>
            </w:pPr>
            <w:r w:rsidRPr="00610DC1">
              <w:rPr>
                <w:color w:val="auto"/>
                <w:szCs w:val="20"/>
              </w:rPr>
              <w:t>-23,7</w:t>
            </w:r>
          </w:p>
        </w:tc>
      </w:tr>
      <w:tr w:rsidR="00610DC1" w:rsidRPr="00610DC1" w14:paraId="40F33081"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34CB2416" w14:textId="77777777" w:rsidR="00610DC1" w:rsidRPr="00610DC1" w:rsidRDefault="00610DC1" w:rsidP="00706AE8">
            <w:pPr>
              <w:rPr>
                <w:color w:val="auto"/>
                <w:szCs w:val="20"/>
              </w:rPr>
            </w:pPr>
            <w:r w:rsidRPr="00610DC1">
              <w:rPr>
                <w:color w:val="auto"/>
                <w:szCs w:val="20"/>
              </w:rPr>
              <w:t>Mali</w:t>
            </w:r>
          </w:p>
        </w:tc>
        <w:tc>
          <w:tcPr>
            <w:tcW w:w="1086" w:type="dxa"/>
            <w:tcBorders>
              <w:top w:val="nil"/>
              <w:left w:val="nil"/>
              <w:bottom w:val="nil"/>
              <w:right w:val="single" w:sz="4" w:space="0" w:color="auto"/>
            </w:tcBorders>
            <w:shd w:val="clear" w:color="auto" w:fill="auto"/>
            <w:noWrap/>
            <w:hideMark/>
          </w:tcPr>
          <w:p w14:paraId="70343209" w14:textId="77777777" w:rsidR="00610DC1" w:rsidRPr="00610DC1" w:rsidRDefault="00610DC1" w:rsidP="00706AE8">
            <w:pPr>
              <w:jc w:val="right"/>
              <w:rPr>
                <w:color w:val="auto"/>
                <w:szCs w:val="20"/>
              </w:rPr>
            </w:pPr>
            <w:r w:rsidRPr="00610DC1">
              <w:rPr>
                <w:color w:val="auto"/>
                <w:szCs w:val="20"/>
              </w:rPr>
              <w:t>34,6%</w:t>
            </w:r>
          </w:p>
        </w:tc>
        <w:tc>
          <w:tcPr>
            <w:tcW w:w="1034" w:type="dxa"/>
            <w:tcBorders>
              <w:top w:val="nil"/>
              <w:left w:val="nil"/>
              <w:bottom w:val="nil"/>
              <w:right w:val="single" w:sz="4" w:space="0" w:color="auto"/>
            </w:tcBorders>
            <w:shd w:val="clear" w:color="auto" w:fill="auto"/>
            <w:noWrap/>
            <w:hideMark/>
          </w:tcPr>
          <w:p w14:paraId="1D707F81" w14:textId="77777777" w:rsidR="00610DC1" w:rsidRPr="00610DC1" w:rsidRDefault="00610DC1" w:rsidP="00706AE8">
            <w:pPr>
              <w:jc w:val="right"/>
              <w:rPr>
                <w:color w:val="auto"/>
                <w:szCs w:val="20"/>
              </w:rPr>
            </w:pPr>
            <w:r w:rsidRPr="00610DC1">
              <w:rPr>
                <w:color w:val="auto"/>
                <w:szCs w:val="20"/>
              </w:rPr>
              <w:t>27,5%</w:t>
            </w:r>
          </w:p>
        </w:tc>
        <w:tc>
          <w:tcPr>
            <w:tcW w:w="1086" w:type="dxa"/>
            <w:tcBorders>
              <w:top w:val="nil"/>
              <w:left w:val="nil"/>
              <w:bottom w:val="nil"/>
              <w:right w:val="single" w:sz="4" w:space="0" w:color="auto"/>
            </w:tcBorders>
            <w:shd w:val="clear" w:color="auto" w:fill="auto"/>
            <w:noWrap/>
            <w:hideMark/>
          </w:tcPr>
          <w:p w14:paraId="7FD831A1" w14:textId="77777777" w:rsidR="00610DC1" w:rsidRPr="00610DC1" w:rsidRDefault="00610DC1" w:rsidP="00706AE8">
            <w:pPr>
              <w:jc w:val="right"/>
              <w:rPr>
                <w:color w:val="auto"/>
                <w:szCs w:val="20"/>
              </w:rPr>
            </w:pPr>
            <w:r w:rsidRPr="00610DC1">
              <w:rPr>
                <w:color w:val="auto"/>
                <w:szCs w:val="20"/>
              </w:rPr>
              <w:t>30,0%</w:t>
            </w:r>
          </w:p>
        </w:tc>
        <w:tc>
          <w:tcPr>
            <w:tcW w:w="1034" w:type="dxa"/>
            <w:tcBorders>
              <w:top w:val="nil"/>
              <w:left w:val="nil"/>
              <w:bottom w:val="nil"/>
              <w:right w:val="single" w:sz="4" w:space="0" w:color="auto"/>
            </w:tcBorders>
            <w:shd w:val="clear" w:color="auto" w:fill="auto"/>
            <w:noWrap/>
            <w:hideMark/>
          </w:tcPr>
          <w:p w14:paraId="23F4EF6A" w14:textId="77777777" w:rsidR="00610DC1" w:rsidRPr="00610DC1" w:rsidRDefault="00610DC1" w:rsidP="00706AE8">
            <w:pPr>
              <w:jc w:val="right"/>
              <w:rPr>
                <w:color w:val="auto"/>
                <w:szCs w:val="20"/>
              </w:rPr>
            </w:pPr>
            <w:r w:rsidRPr="00610DC1">
              <w:rPr>
                <w:color w:val="auto"/>
                <w:szCs w:val="20"/>
              </w:rPr>
              <w:t>22,9%</w:t>
            </w:r>
          </w:p>
        </w:tc>
        <w:tc>
          <w:tcPr>
            <w:tcW w:w="1193" w:type="dxa"/>
            <w:tcBorders>
              <w:top w:val="nil"/>
              <w:left w:val="nil"/>
              <w:bottom w:val="nil"/>
              <w:right w:val="single" w:sz="4" w:space="0" w:color="auto"/>
            </w:tcBorders>
            <w:shd w:val="clear" w:color="auto" w:fill="auto"/>
            <w:noWrap/>
            <w:hideMark/>
          </w:tcPr>
          <w:p w14:paraId="06918E27" w14:textId="77777777" w:rsidR="00610DC1" w:rsidRPr="00610DC1" w:rsidRDefault="00610DC1" w:rsidP="00706AE8">
            <w:pPr>
              <w:jc w:val="right"/>
              <w:rPr>
                <w:color w:val="auto"/>
                <w:szCs w:val="20"/>
              </w:rPr>
            </w:pPr>
            <w:r w:rsidRPr="00610DC1">
              <w:rPr>
                <w:color w:val="auto"/>
                <w:szCs w:val="20"/>
              </w:rPr>
              <w:t>-4,6</w:t>
            </w:r>
          </w:p>
        </w:tc>
        <w:tc>
          <w:tcPr>
            <w:tcW w:w="1246" w:type="dxa"/>
            <w:tcBorders>
              <w:top w:val="nil"/>
              <w:left w:val="nil"/>
              <w:bottom w:val="nil"/>
              <w:right w:val="single" w:sz="4" w:space="0" w:color="auto"/>
            </w:tcBorders>
            <w:shd w:val="clear" w:color="auto" w:fill="auto"/>
            <w:noWrap/>
            <w:hideMark/>
          </w:tcPr>
          <w:p w14:paraId="19071D13" w14:textId="77777777" w:rsidR="00610DC1" w:rsidRPr="00610DC1" w:rsidRDefault="00610DC1" w:rsidP="00706AE8">
            <w:pPr>
              <w:jc w:val="right"/>
              <w:rPr>
                <w:color w:val="auto"/>
                <w:szCs w:val="20"/>
              </w:rPr>
            </w:pPr>
            <w:r w:rsidRPr="00610DC1">
              <w:rPr>
                <w:color w:val="auto"/>
                <w:szCs w:val="20"/>
              </w:rPr>
              <w:t>-4,6</w:t>
            </w:r>
          </w:p>
        </w:tc>
      </w:tr>
      <w:tr w:rsidR="00610DC1" w:rsidRPr="00610DC1" w14:paraId="020B0165"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C988D18" w14:textId="77777777" w:rsidR="00610DC1" w:rsidRPr="00610DC1" w:rsidRDefault="00610DC1" w:rsidP="00706AE8">
            <w:pPr>
              <w:rPr>
                <w:color w:val="auto"/>
                <w:szCs w:val="20"/>
              </w:rPr>
            </w:pPr>
            <w:r w:rsidRPr="00610DC1">
              <w:rPr>
                <w:color w:val="auto"/>
                <w:szCs w:val="20"/>
              </w:rPr>
              <w:t>Niger</w:t>
            </w:r>
          </w:p>
        </w:tc>
        <w:tc>
          <w:tcPr>
            <w:tcW w:w="1086" w:type="dxa"/>
            <w:tcBorders>
              <w:top w:val="nil"/>
              <w:left w:val="nil"/>
              <w:bottom w:val="nil"/>
              <w:right w:val="single" w:sz="4" w:space="0" w:color="auto"/>
            </w:tcBorders>
            <w:shd w:val="clear" w:color="auto" w:fill="auto"/>
            <w:noWrap/>
            <w:hideMark/>
          </w:tcPr>
          <w:p w14:paraId="1369AF75" w14:textId="77777777" w:rsidR="00610DC1" w:rsidRPr="00610DC1" w:rsidRDefault="00610DC1" w:rsidP="00706AE8">
            <w:pPr>
              <w:jc w:val="right"/>
              <w:rPr>
                <w:color w:val="auto"/>
                <w:szCs w:val="20"/>
              </w:rPr>
            </w:pPr>
            <w:r w:rsidRPr="00610DC1">
              <w:rPr>
                <w:color w:val="auto"/>
                <w:szCs w:val="20"/>
              </w:rPr>
              <w:t>34,4%</w:t>
            </w:r>
          </w:p>
        </w:tc>
        <w:tc>
          <w:tcPr>
            <w:tcW w:w="1034" w:type="dxa"/>
            <w:tcBorders>
              <w:top w:val="nil"/>
              <w:left w:val="nil"/>
              <w:bottom w:val="nil"/>
              <w:right w:val="single" w:sz="4" w:space="0" w:color="auto"/>
            </w:tcBorders>
            <w:shd w:val="clear" w:color="auto" w:fill="auto"/>
            <w:noWrap/>
            <w:hideMark/>
          </w:tcPr>
          <w:p w14:paraId="587CD7E5" w14:textId="77777777" w:rsidR="00610DC1" w:rsidRPr="00610DC1" w:rsidRDefault="00610DC1" w:rsidP="00706AE8">
            <w:pPr>
              <w:jc w:val="right"/>
              <w:rPr>
                <w:color w:val="auto"/>
                <w:szCs w:val="20"/>
              </w:rPr>
            </w:pPr>
            <w:r w:rsidRPr="00610DC1">
              <w:rPr>
                <w:color w:val="auto"/>
                <w:szCs w:val="20"/>
              </w:rPr>
              <w:t>28,4%</w:t>
            </w:r>
          </w:p>
        </w:tc>
        <w:tc>
          <w:tcPr>
            <w:tcW w:w="1086" w:type="dxa"/>
            <w:tcBorders>
              <w:top w:val="nil"/>
              <w:left w:val="nil"/>
              <w:bottom w:val="nil"/>
              <w:right w:val="single" w:sz="4" w:space="0" w:color="auto"/>
            </w:tcBorders>
            <w:shd w:val="clear" w:color="auto" w:fill="auto"/>
            <w:noWrap/>
            <w:hideMark/>
          </w:tcPr>
          <w:p w14:paraId="48735577" w14:textId="77777777" w:rsidR="00610DC1" w:rsidRPr="00610DC1" w:rsidRDefault="00610DC1" w:rsidP="00706AE8">
            <w:pPr>
              <w:jc w:val="right"/>
              <w:rPr>
                <w:color w:val="auto"/>
                <w:szCs w:val="20"/>
              </w:rPr>
            </w:pPr>
            <w:r w:rsidRPr="00610DC1">
              <w:rPr>
                <w:color w:val="auto"/>
                <w:szCs w:val="20"/>
              </w:rPr>
              <w:t>34,4%</w:t>
            </w:r>
          </w:p>
        </w:tc>
        <w:tc>
          <w:tcPr>
            <w:tcW w:w="1034" w:type="dxa"/>
            <w:tcBorders>
              <w:top w:val="nil"/>
              <w:left w:val="nil"/>
              <w:bottom w:val="nil"/>
              <w:right w:val="single" w:sz="4" w:space="0" w:color="auto"/>
            </w:tcBorders>
            <w:shd w:val="clear" w:color="auto" w:fill="auto"/>
            <w:noWrap/>
            <w:hideMark/>
          </w:tcPr>
          <w:p w14:paraId="0BA297F1" w14:textId="77777777" w:rsidR="00610DC1" w:rsidRPr="00610DC1" w:rsidRDefault="00610DC1" w:rsidP="00706AE8">
            <w:pPr>
              <w:jc w:val="right"/>
              <w:rPr>
                <w:color w:val="auto"/>
                <w:szCs w:val="20"/>
              </w:rPr>
            </w:pPr>
            <w:r w:rsidRPr="00610DC1">
              <w:rPr>
                <w:color w:val="auto"/>
                <w:szCs w:val="20"/>
              </w:rPr>
              <w:t>28,4%</w:t>
            </w:r>
          </w:p>
        </w:tc>
        <w:tc>
          <w:tcPr>
            <w:tcW w:w="1193" w:type="dxa"/>
            <w:tcBorders>
              <w:top w:val="nil"/>
              <w:left w:val="nil"/>
              <w:bottom w:val="nil"/>
              <w:right w:val="single" w:sz="4" w:space="0" w:color="auto"/>
            </w:tcBorders>
            <w:shd w:val="clear" w:color="auto" w:fill="auto"/>
            <w:noWrap/>
            <w:hideMark/>
          </w:tcPr>
          <w:p w14:paraId="77ABA6A1" w14:textId="77777777" w:rsidR="00610DC1" w:rsidRPr="00610DC1" w:rsidRDefault="00610DC1" w:rsidP="00706AE8">
            <w:pPr>
              <w:jc w:val="right"/>
              <w:rPr>
                <w:color w:val="auto"/>
                <w:szCs w:val="20"/>
              </w:rPr>
            </w:pPr>
            <w:r w:rsidRPr="00610DC1">
              <w:rPr>
                <w:color w:val="auto"/>
                <w:szCs w:val="20"/>
              </w:rPr>
              <w:t>0,0</w:t>
            </w:r>
          </w:p>
        </w:tc>
        <w:tc>
          <w:tcPr>
            <w:tcW w:w="1246" w:type="dxa"/>
            <w:tcBorders>
              <w:top w:val="nil"/>
              <w:left w:val="nil"/>
              <w:bottom w:val="nil"/>
              <w:right w:val="single" w:sz="4" w:space="0" w:color="auto"/>
            </w:tcBorders>
            <w:shd w:val="clear" w:color="auto" w:fill="auto"/>
            <w:noWrap/>
            <w:hideMark/>
          </w:tcPr>
          <w:p w14:paraId="0F246388" w14:textId="77777777" w:rsidR="00610DC1" w:rsidRPr="00610DC1" w:rsidRDefault="00610DC1" w:rsidP="00706AE8">
            <w:pPr>
              <w:jc w:val="right"/>
              <w:rPr>
                <w:color w:val="auto"/>
                <w:szCs w:val="20"/>
              </w:rPr>
            </w:pPr>
            <w:r w:rsidRPr="00610DC1">
              <w:rPr>
                <w:color w:val="auto"/>
                <w:szCs w:val="20"/>
              </w:rPr>
              <w:t>0,0</w:t>
            </w:r>
          </w:p>
        </w:tc>
      </w:tr>
      <w:tr w:rsidR="00610DC1" w:rsidRPr="00610DC1" w14:paraId="086A7E24"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B4140E0" w14:textId="77777777" w:rsidR="00610DC1" w:rsidRPr="00610DC1" w:rsidRDefault="00610DC1" w:rsidP="00706AE8">
            <w:pPr>
              <w:rPr>
                <w:color w:val="auto"/>
                <w:szCs w:val="20"/>
              </w:rPr>
            </w:pPr>
            <w:r w:rsidRPr="00610DC1">
              <w:rPr>
                <w:color w:val="auto"/>
                <w:szCs w:val="20"/>
              </w:rPr>
              <w:t>Sénégal</w:t>
            </w:r>
          </w:p>
        </w:tc>
        <w:tc>
          <w:tcPr>
            <w:tcW w:w="1086" w:type="dxa"/>
            <w:tcBorders>
              <w:top w:val="nil"/>
              <w:left w:val="nil"/>
              <w:bottom w:val="nil"/>
              <w:right w:val="single" w:sz="4" w:space="0" w:color="auto"/>
            </w:tcBorders>
            <w:shd w:val="clear" w:color="auto" w:fill="auto"/>
            <w:noWrap/>
            <w:hideMark/>
          </w:tcPr>
          <w:p w14:paraId="1162D2A2" w14:textId="77777777" w:rsidR="00610DC1" w:rsidRPr="00610DC1" w:rsidRDefault="00610DC1" w:rsidP="00706AE8">
            <w:pPr>
              <w:jc w:val="right"/>
              <w:rPr>
                <w:color w:val="auto"/>
                <w:szCs w:val="20"/>
              </w:rPr>
            </w:pPr>
            <w:r w:rsidRPr="00610DC1">
              <w:rPr>
                <w:color w:val="auto"/>
                <w:szCs w:val="20"/>
              </w:rPr>
              <w:t>33,8%</w:t>
            </w:r>
          </w:p>
        </w:tc>
        <w:tc>
          <w:tcPr>
            <w:tcW w:w="1034" w:type="dxa"/>
            <w:tcBorders>
              <w:top w:val="nil"/>
              <w:left w:val="nil"/>
              <w:bottom w:val="nil"/>
              <w:right w:val="single" w:sz="4" w:space="0" w:color="auto"/>
            </w:tcBorders>
            <w:shd w:val="clear" w:color="auto" w:fill="auto"/>
            <w:noWrap/>
            <w:hideMark/>
          </w:tcPr>
          <w:p w14:paraId="173741A2" w14:textId="77777777" w:rsidR="00610DC1" w:rsidRPr="00610DC1" w:rsidRDefault="00610DC1" w:rsidP="00706AE8">
            <w:pPr>
              <w:jc w:val="right"/>
              <w:rPr>
                <w:color w:val="auto"/>
                <w:szCs w:val="20"/>
              </w:rPr>
            </w:pPr>
            <w:r w:rsidRPr="00610DC1">
              <w:rPr>
                <w:color w:val="auto"/>
                <w:szCs w:val="20"/>
              </w:rPr>
              <w:t>27,9%</w:t>
            </w:r>
          </w:p>
        </w:tc>
        <w:tc>
          <w:tcPr>
            <w:tcW w:w="1086" w:type="dxa"/>
            <w:tcBorders>
              <w:top w:val="nil"/>
              <w:left w:val="nil"/>
              <w:bottom w:val="nil"/>
              <w:right w:val="single" w:sz="4" w:space="0" w:color="auto"/>
            </w:tcBorders>
            <w:shd w:val="clear" w:color="auto" w:fill="auto"/>
            <w:noWrap/>
            <w:hideMark/>
          </w:tcPr>
          <w:p w14:paraId="3DDDA0D8" w14:textId="77777777" w:rsidR="00610DC1" w:rsidRPr="00610DC1" w:rsidRDefault="00610DC1" w:rsidP="00706AE8">
            <w:pPr>
              <w:jc w:val="right"/>
              <w:rPr>
                <w:color w:val="auto"/>
                <w:szCs w:val="20"/>
              </w:rPr>
            </w:pPr>
            <w:r w:rsidRPr="00610DC1">
              <w:rPr>
                <w:color w:val="auto"/>
                <w:szCs w:val="20"/>
              </w:rPr>
              <w:t>31,5%</w:t>
            </w:r>
          </w:p>
        </w:tc>
        <w:tc>
          <w:tcPr>
            <w:tcW w:w="1034" w:type="dxa"/>
            <w:tcBorders>
              <w:top w:val="nil"/>
              <w:left w:val="nil"/>
              <w:bottom w:val="nil"/>
              <w:right w:val="single" w:sz="4" w:space="0" w:color="auto"/>
            </w:tcBorders>
            <w:shd w:val="clear" w:color="auto" w:fill="auto"/>
            <w:noWrap/>
            <w:hideMark/>
          </w:tcPr>
          <w:p w14:paraId="7A7052C3" w14:textId="77777777" w:rsidR="00610DC1" w:rsidRPr="00610DC1" w:rsidRDefault="00610DC1" w:rsidP="00706AE8">
            <w:pPr>
              <w:jc w:val="right"/>
              <w:rPr>
                <w:color w:val="auto"/>
                <w:szCs w:val="20"/>
              </w:rPr>
            </w:pPr>
            <w:r w:rsidRPr="00610DC1">
              <w:rPr>
                <w:color w:val="auto"/>
                <w:szCs w:val="20"/>
              </w:rPr>
              <w:t>26,5%</w:t>
            </w:r>
          </w:p>
        </w:tc>
        <w:tc>
          <w:tcPr>
            <w:tcW w:w="1193" w:type="dxa"/>
            <w:tcBorders>
              <w:top w:val="nil"/>
              <w:left w:val="nil"/>
              <w:bottom w:val="nil"/>
              <w:right w:val="single" w:sz="4" w:space="0" w:color="auto"/>
            </w:tcBorders>
            <w:shd w:val="clear" w:color="auto" w:fill="auto"/>
            <w:noWrap/>
            <w:hideMark/>
          </w:tcPr>
          <w:p w14:paraId="4223E9F1" w14:textId="77777777" w:rsidR="00610DC1" w:rsidRPr="00610DC1" w:rsidRDefault="00610DC1" w:rsidP="00706AE8">
            <w:pPr>
              <w:jc w:val="right"/>
              <w:rPr>
                <w:color w:val="auto"/>
                <w:szCs w:val="20"/>
              </w:rPr>
            </w:pPr>
            <w:r w:rsidRPr="00610DC1">
              <w:rPr>
                <w:color w:val="auto"/>
                <w:szCs w:val="20"/>
              </w:rPr>
              <w:t>-2,3</w:t>
            </w:r>
          </w:p>
        </w:tc>
        <w:tc>
          <w:tcPr>
            <w:tcW w:w="1246" w:type="dxa"/>
            <w:tcBorders>
              <w:top w:val="nil"/>
              <w:left w:val="nil"/>
              <w:bottom w:val="nil"/>
              <w:right w:val="single" w:sz="4" w:space="0" w:color="auto"/>
            </w:tcBorders>
            <w:shd w:val="clear" w:color="auto" w:fill="auto"/>
            <w:noWrap/>
            <w:hideMark/>
          </w:tcPr>
          <w:p w14:paraId="76D299FD" w14:textId="77777777" w:rsidR="00610DC1" w:rsidRPr="00610DC1" w:rsidRDefault="00610DC1" w:rsidP="00706AE8">
            <w:pPr>
              <w:jc w:val="right"/>
              <w:rPr>
                <w:color w:val="auto"/>
                <w:szCs w:val="20"/>
              </w:rPr>
            </w:pPr>
            <w:r w:rsidRPr="00610DC1">
              <w:rPr>
                <w:color w:val="auto"/>
                <w:szCs w:val="20"/>
              </w:rPr>
              <w:t>-1,5</w:t>
            </w:r>
          </w:p>
        </w:tc>
      </w:tr>
      <w:tr w:rsidR="00610DC1" w:rsidRPr="00610DC1" w14:paraId="328E61F4"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875EF09" w14:textId="77777777" w:rsidR="00610DC1" w:rsidRPr="00610DC1" w:rsidRDefault="00610DC1" w:rsidP="00706AE8">
            <w:pPr>
              <w:rPr>
                <w:color w:val="auto"/>
                <w:szCs w:val="20"/>
              </w:rPr>
            </w:pPr>
            <w:r w:rsidRPr="00610DC1">
              <w:rPr>
                <w:color w:val="auto"/>
                <w:szCs w:val="20"/>
              </w:rPr>
              <w:t>Tchad</w:t>
            </w:r>
          </w:p>
        </w:tc>
        <w:tc>
          <w:tcPr>
            <w:tcW w:w="1086" w:type="dxa"/>
            <w:tcBorders>
              <w:top w:val="nil"/>
              <w:left w:val="nil"/>
              <w:bottom w:val="nil"/>
              <w:right w:val="single" w:sz="4" w:space="0" w:color="auto"/>
            </w:tcBorders>
            <w:shd w:val="clear" w:color="auto" w:fill="auto"/>
            <w:noWrap/>
            <w:hideMark/>
          </w:tcPr>
          <w:p w14:paraId="5F6022CE" w14:textId="77777777" w:rsidR="00610DC1" w:rsidRPr="00610DC1" w:rsidRDefault="00610DC1" w:rsidP="00706AE8">
            <w:pPr>
              <w:jc w:val="right"/>
              <w:rPr>
                <w:color w:val="auto"/>
                <w:szCs w:val="20"/>
              </w:rPr>
            </w:pPr>
            <w:r w:rsidRPr="00610DC1">
              <w:rPr>
                <w:color w:val="auto"/>
                <w:szCs w:val="20"/>
              </w:rPr>
              <w:t>44,8%</w:t>
            </w:r>
          </w:p>
        </w:tc>
        <w:tc>
          <w:tcPr>
            <w:tcW w:w="1034" w:type="dxa"/>
            <w:tcBorders>
              <w:top w:val="nil"/>
              <w:left w:val="nil"/>
              <w:bottom w:val="nil"/>
              <w:right w:val="single" w:sz="4" w:space="0" w:color="auto"/>
            </w:tcBorders>
            <w:shd w:val="clear" w:color="auto" w:fill="auto"/>
            <w:noWrap/>
            <w:hideMark/>
          </w:tcPr>
          <w:p w14:paraId="06242077" w14:textId="77777777" w:rsidR="00610DC1" w:rsidRPr="00610DC1" w:rsidRDefault="00610DC1" w:rsidP="00706AE8">
            <w:pPr>
              <w:jc w:val="right"/>
              <w:rPr>
                <w:color w:val="auto"/>
                <w:szCs w:val="20"/>
              </w:rPr>
            </w:pPr>
            <w:r w:rsidRPr="00610DC1">
              <w:rPr>
                <w:color w:val="auto"/>
                <w:szCs w:val="20"/>
              </w:rPr>
              <w:t>32,5%</w:t>
            </w:r>
          </w:p>
        </w:tc>
        <w:tc>
          <w:tcPr>
            <w:tcW w:w="1086" w:type="dxa"/>
            <w:tcBorders>
              <w:top w:val="nil"/>
              <w:left w:val="nil"/>
              <w:bottom w:val="nil"/>
              <w:right w:val="single" w:sz="4" w:space="0" w:color="auto"/>
            </w:tcBorders>
            <w:shd w:val="clear" w:color="auto" w:fill="auto"/>
            <w:noWrap/>
            <w:hideMark/>
          </w:tcPr>
          <w:p w14:paraId="32FE30BA" w14:textId="77777777" w:rsidR="00610DC1" w:rsidRPr="00610DC1" w:rsidRDefault="00610DC1" w:rsidP="00706AE8">
            <w:pPr>
              <w:jc w:val="right"/>
              <w:rPr>
                <w:color w:val="auto"/>
                <w:szCs w:val="20"/>
              </w:rPr>
            </w:pPr>
            <w:r w:rsidRPr="00610DC1">
              <w:rPr>
                <w:color w:val="auto"/>
                <w:szCs w:val="20"/>
              </w:rPr>
              <w:t>12,3%</w:t>
            </w:r>
          </w:p>
        </w:tc>
        <w:tc>
          <w:tcPr>
            <w:tcW w:w="1034" w:type="dxa"/>
            <w:tcBorders>
              <w:top w:val="nil"/>
              <w:left w:val="nil"/>
              <w:bottom w:val="nil"/>
              <w:right w:val="single" w:sz="4" w:space="0" w:color="auto"/>
            </w:tcBorders>
            <w:shd w:val="clear" w:color="auto" w:fill="auto"/>
            <w:noWrap/>
            <w:hideMark/>
          </w:tcPr>
          <w:p w14:paraId="5CA00B96" w14:textId="77777777" w:rsidR="00610DC1" w:rsidRPr="00610DC1" w:rsidRDefault="00610DC1" w:rsidP="00706AE8">
            <w:pPr>
              <w:jc w:val="right"/>
              <w:rPr>
                <w:color w:val="auto"/>
                <w:szCs w:val="20"/>
              </w:rPr>
            </w:pPr>
            <w:r w:rsidRPr="00610DC1">
              <w:rPr>
                <w:color w:val="auto"/>
                <w:szCs w:val="20"/>
              </w:rPr>
              <w:t>0,0%</w:t>
            </w:r>
          </w:p>
        </w:tc>
        <w:tc>
          <w:tcPr>
            <w:tcW w:w="1193" w:type="dxa"/>
            <w:tcBorders>
              <w:top w:val="nil"/>
              <w:left w:val="nil"/>
              <w:bottom w:val="nil"/>
              <w:right w:val="single" w:sz="4" w:space="0" w:color="auto"/>
            </w:tcBorders>
            <w:shd w:val="clear" w:color="auto" w:fill="auto"/>
            <w:noWrap/>
            <w:hideMark/>
          </w:tcPr>
          <w:p w14:paraId="02E9664B" w14:textId="77777777" w:rsidR="00610DC1" w:rsidRPr="00610DC1" w:rsidRDefault="00610DC1" w:rsidP="00706AE8">
            <w:pPr>
              <w:jc w:val="right"/>
              <w:rPr>
                <w:color w:val="auto"/>
                <w:szCs w:val="20"/>
              </w:rPr>
            </w:pPr>
            <w:r w:rsidRPr="00610DC1">
              <w:rPr>
                <w:color w:val="auto"/>
                <w:szCs w:val="20"/>
              </w:rPr>
              <w:t>-32,5</w:t>
            </w:r>
          </w:p>
        </w:tc>
        <w:tc>
          <w:tcPr>
            <w:tcW w:w="1246" w:type="dxa"/>
            <w:tcBorders>
              <w:top w:val="nil"/>
              <w:left w:val="nil"/>
              <w:bottom w:val="nil"/>
              <w:right w:val="single" w:sz="4" w:space="0" w:color="auto"/>
            </w:tcBorders>
            <w:shd w:val="clear" w:color="auto" w:fill="auto"/>
            <w:noWrap/>
            <w:hideMark/>
          </w:tcPr>
          <w:p w14:paraId="4F05F4D5" w14:textId="77777777" w:rsidR="00610DC1" w:rsidRPr="00610DC1" w:rsidRDefault="00610DC1" w:rsidP="00706AE8">
            <w:pPr>
              <w:jc w:val="right"/>
              <w:rPr>
                <w:color w:val="auto"/>
                <w:szCs w:val="20"/>
              </w:rPr>
            </w:pPr>
            <w:r w:rsidRPr="00610DC1">
              <w:rPr>
                <w:color w:val="auto"/>
                <w:szCs w:val="20"/>
              </w:rPr>
              <w:t>-32,5</w:t>
            </w:r>
          </w:p>
        </w:tc>
      </w:tr>
      <w:tr w:rsidR="00610DC1" w:rsidRPr="00610DC1" w14:paraId="18018817"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1B509E91" w14:textId="77777777" w:rsidR="00610DC1" w:rsidRPr="00610DC1" w:rsidRDefault="00610DC1" w:rsidP="00706AE8">
            <w:pPr>
              <w:rPr>
                <w:color w:val="auto"/>
                <w:szCs w:val="20"/>
              </w:rPr>
            </w:pPr>
            <w:r w:rsidRPr="00610DC1">
              <w:rPr>
                <w:color w:val="auto"/>
                <w:szCs w:val="20"/>
              </w:rPr>
              <w:t>Togo</w:t>
            </w:r>
          </w:p>
        </w:tc>
        <w:tc>
          <w:tcPr>
            <w:tcW w:w="1086" w:type="dxa"/>
            <w:tcBorders>
              <w:top w:val="nil"/>
              <w:left w:val="nil"/>
              <w:bottom w:val="single" w:sz="4" w:space="0" w:color="auto"/>
              <w:right w:val="single" w:sz="4" w:space="0" w:color="auto"/>
            </w:tcBorders>
            <w:shd w:val="clear" w:color="auto" w:fill="auto"/>
            <w:noWrap/>
            <w:hideMark/>
          </w:tcPr>
          <w:p w14:paraId="7EDFDABE" w14:textId="77777777" w:rsidR="00610DC1" w:rsidRPr="00610DC1" w:rsidRDefault="00610DC1" w:rsidP="00706AE8">
            <w:pPr>
              <w:jc w:val="right"/>
              <w:rPr>
                <w:color w:val="auto"/>
                <w:szCs w:val="20"/>
              </w:rPr>
            </w:pPr>
            <w:r w:rsidRPr="00610DC1">
              <w:rPr>
                <w:color w:val="auto"/>
                <w:szCs w:val="20"/>
              </w:rPr>
              <w:t>34,0%</w:t>
            </w:r>
          </w:p>
        </w:tc>
        <w:tc>
          <w:tcPr>
            <w:tcW w:w="1034" w:type="dxa"/>
            <w:tcBorders>
              <w:top w:val="nil"/>
              <w:left w:val="nil"/>
              <w:bottom w:val="single" w:sz="4" w:space="0" w:color="auto"/>
              <w:right w:val="single" w:sz="4" w:space="0" w:color="auto"/>
            </w:tcBorders>
            <w:shd w:val="clear" w:color="auto" w:fill="auto"/>
            <w:noWrap/>
            <w:hideMark/>
          </w:tcPr>
          <w:p w14:paraId="6CD7A275" w14:textId="77777777" w:rsidR="00610DC1" w:rsidRPr="00610DC1" w:rsidRDefault="00610DC1" w:rsidP="00706AE8">
            <w:pPr>
              <w:jc w:val="right"/>
              <w:rPr>
                <w:color w:val="auto"/>
                <w:szCs w:val="20"/>
              </w:rPr>
            </w:pPr>
            <w:r w:rsidRPr="00610DC1">
              <w:rPr>
                <w:color w:val="auto"/>
                <w:szCs w:val="20"/>
              </w:rPr>
              <w:t>27,0%</w:t>
            </w:r>
          </w:p>
        </w:tc>
        <w:tc>
          <w:tcPr>
            <w:tcW w:w="1086" w:type="dxa"/>
            <w:tcBorders>
              <w:top w:val="nil"/>
              <w:left w:val="nil"/>
              <w:bottom w:val="single" w:sz="4" w:space="0" w:color="auto"/>
              <w:right w:val="single" w:sz="4" w:space="0" w:color="auto"/>
            </w:tcBorders>
            <w:shd w:val="clear" w:color="auto" w:fill="auto"/>
            <w:noWrap/>
            <w:hideMark/>
          </w:tcPr>
          <w:p w14:paraId="27805106" w14:textId="77777777" w:rsidR="00610DC1" w:rsidRPr="00610DC1" w:rsidRDefault="00610DC1" w:rsidP="00706AE8">
            <w:pPr>
              <w:jc w:val="right"/>
              <w:rPr>
                <w:color w:val="auto"/>
                <w:szCs w:val="20"/>
              </w:rPr>
            </w:pPr>
            <w:r w:rsidRPr="00610DC1">
              <w:rPr>
                <w:color w:val="auto"/>
                <w:szCs w:val="20"/>
              </w:rPr>
              <w:t>32,2%</w:t>
            </w:r>
          </w:p>
        </w:tc>
        <w:tc>
          <w:tcPr>
            <w:tcW w:w="1034" w:type="dxa"/>
            <w:tcBorders>
              <w:top w:val="nil"/>
              <w:left w:val="nil"/>
              <w:bottom w:val="single" w:sz="4" w:space="0" w:color="auto"/>
              <w:right w:val="single" w:sz="4" w:space="0" w:color="auto"/>
            </w:tcBorders>
            <w:shd w:val="clear" w:color="auto" w:fill="auto"/>
            <w:noWrap/>
            <w:hideMark/>
          </w:tcPr>
          <w:p w14:paraId="00B12A07" w14:textId="77777777" w:rsidR="00610DC1" w:rsidRPr="00610DC1" w:rsidRDefault="00610DC1" w:rsidP="00706AE8">
            <w:pPr>
              <w:jc w:val="right"/>
              <w:rPr>
                <w:color w:val="auto"/>
                <w:szCs w:val="20"/>
              </w:rPr>
            </w:pPr>
            <w:r w:rsidRPr="00610DC1">
              <w:rPr>
                <w:color w:val="auto"/>
                <w:szCs w:val="20"/>
              </w:rPr>
              <w:t>25,3%</w:t>
            </w:r>
          </w:p>
        </w:tc>
        <w:tc>
          <w:tcPr>
            <w:tcW w:w="1193" w:type="dxa"/>
            <w:tcBorders>
              <w:top w:val="nil"/>
              <w:left w:val="nil"/>
              <w:bottom w:val="single" w:sz="4" w:space="0" w:color="auto"/>
              <w:right w:val="single" w:sz="4" w:space="0" w:color="auto"/>
            </w:tcBorders>
            <w:shd w:val="clear" w:color="auto" w:fill="auto"/>
            <w:noWrap/>
            <w:hideMark/>
          </w:tcPr>
          <w:p w14:paraId="27A5EFAA" w14:textId="77777777" w:rsidR="00610DC1" w:rsidRPr="00610DC1" w:rsidRDefault="00610DC1" w:rsidP="00706AE8">
            <w:pPr>
              <w:jc w:val="right"/>
              <w:rPr>
                <w:color w:val="auto"/>
                <w:szCs w:val="20"/>
              </w:rPr>
            </w:pPr>
            <w:r w:rsidRPr="00610DC1">
              <w:rPr>
                <w:color w:val="auto"/>
                <w:szCs w:val="20"/>
              </w:rPr>
              <w:t>-1,8</w:t>
            </w:r>
          </w:p>
        </w:tc>
        <w:tc>
          <w:tcPr>
            <w:tcW w:w="1246" w:type="dxa"/>
            <w:tcBorders>
              <w:top w:val="nil"/>
              <w:left w:val="nil"/>
              <w:bottom w:val="single" w:sz="4" w:space="0" w:color="auto"/>
              <w:right w:val="single" w:sz="4" w:space="0" w:color="auto"/>
            </w:tcBorders>
            <w:shd w:val="clear" w:color="auto" w:fill="auto"/>
            <w:noWrap/>
            <w:hideMark/>
          </w:tcPr>
          <w:p w14:paraId="23E80B2D" w14:textId="77777777" w:rsidR="00610DC1" w:rsidRPr="00610DC1" w:rsidRDefault="00610DC1" w:rsidP="00706AE8">
            <w:pPr>
              <w:jc w:val="right"/>
              <w:rPr>
                <w:color w:val="auto"/>
                <w:szCs w:val="20"/>
              </w:rPr>
            </w:pPr>
            <w:r w:rsidRPr="00610DC1">
              <w:rPr>
                <w:color w:val="auto"/>
                <w:szCs w:val="20"/>
              </w:rPr>
              <w:t>-1,7</w:t>
            </w:r>
          </w:p>
        </w:tc>
      </w:tr>
    </w:tbl>
    <w:p w14:paraId="0DCEA82C" w14:textId="77777777" w:rsidR="00610DC1" w:rsidRPr="00610DC1" w:rsidRDefault="00610DC1" w:rsidP="00610DC1">
      <w:pPr>
        <w:rPr>
          <w:color w:val="auto"/>
        </w:rPr>
      </w:pPr>
      <w:r w:rsidRPr="00610DC1">
        <w:rPr>
          <w:color w:val="auto"/>
        </w:rPr>
        <w:t>Source : calcul du TEMI sur 5 ans</w:t>
      </w:r>
    </w:p>
    <w:p w14:paraId="4C165898" w14:textId="77777777" w:rsidR="00610DC1" w:rsidRPr="00610DC1" w:rsidRDefault="00610DC1" w:rsidP="00610DC1">
      <w:pPr>
        <w:pStyle w:val="Texte"/>
        <w:rPr>
          <w:rFonts w:asciiTheme="minorHAnsi" w:hAnsiTheme="minorHAnsi"/>
        </w:rPr>
      </w:pPr>
      <w:r w:rsidRPr="00610DC1">
        <w:rPr>
          <w:rFonts w:asciiTheme="minorHAnsi" w:hAnsiTheme="minorHAnsi"/>
        </w:rPr>
        <w:t>TEMI avec un taux de marge avant impôts de 7,5% :</w:t>
      </w:r>
    </w:p>
    <w:tbl>
      <w:tblPr>
        <w:tblW w:w="7928" w:type="dxa"/>
        <w:jc w:val="center"/>
        <w:tblCellMar>
          <w:left w:w="70" w:type="dxa"/>
          <w:right w:w="70" w:type="dxa"/>
        </w:tblCellMar>
        <w:tblLook w:val="04A0" w:firstRow="1" w:lastRow="0" w:firstColumn="1" w:lastColumn="0" w:noHBand="0" w:noVBand="1"/>
      </w:tblPr>
      <w:tblGrid>
        <w:gridCol w:w="1353"/>
        <w:gridCol w:w="1086"/>
        <w:gridCol w:w="1034"/>
        <w:gridCol w:w="1086"/>
        <w:gridCol w:w="1034"/>
        <w:gridCol w:w="1193"/>
        <w:gridCol w:w="1221"/>
      </w:tblGrid>
      <w:tr w:rsidR="00610DC1" w:rsidRPr="00610DC1" w14:paraId="0488F071" w14:textId="77777777" w:rsidTr="00706AE8">
        <w:trPr>
          <w:trHeight w:val="255"/>
          <w:jc w:val="center"/>
        </w:trPr>
        <w:tc>
          <w:tcPr>
            <w:tcW w:w="1274" w:type="dxa"/>
            <w:tcBorders>
              <w:top w:val="single" w:sz="4" w:space="0" w:color="auto"/>
              <w:left w:val="single" w:sz="4" w:space="0" w:color="auto"/>
              <w:bottom w:val="single" w:sz="4" w:space="0" w:color="auto"/>
              <w:right w:val="single" w:sz="4" w:space="0" w:color="auto"/>
            </w:tcBorders>
            <w:shd w:val="clear" w:color="auto" w:fill="auto"/>
            <w:noWrap/>
            <w:hideMark/>
          </w:tcPr>
          <w:p w14:paraId="10518EAF" w14:textId="77777777" w:rsidR="00610DC1" w:rsidRPr="00610DC1" w:rsidRDefault="00610DC1" w:rsidP="00706AE8">
            <w:pPr>
              <w:rPr>
                <w:color w:val="auto"/>
                <w:szCs w:val="20"/>
              </w:rPr>
            </w:pPr>
            <w:r w:rsidRPr="00610DC1">
              <w:rPr>
                <w:color w:val="auto"/>
                <w:szCs w:val="20"/>
              </w:rPr>
              <w:t>Régime</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23DB8812" w14:textId="77777777" w:rsidR="00610DC1" w:rsidRPr="00610DC1" w:rsidRDefault="00610DC1" w:rsidP="00706AE8">
            <w:pPr>
              <w:jc w:val="center"/>
              <w:rPr>
                <w:color w:val="auto"/>
                <w:szCs w:val="20"/>
              </w:rPr>
            </w:pPr>
            <w:r w:rsidRPr="00610DC1">
              <w:rPr>
                <w:color w:val="auto"/>
                <w:szCs w:val="20"/>
              </w:rPr>
              <w:t>Général</w:t>
            </w:r>
          </w:p>
        </w:tc>
        <w:tc>
          <w:tcPr>
            <w:tcW w:w="2120" w:type="dxa"/>
            <w:gridSpan w:val="2"/>
            <w:tcBorders>
              <w:top w:val="single" w:sz="4" w:space="0" w:color="auto"/>
              <w:left w:val="nil"/>
              <w:bottom w:val="single" w:sz="4" w:space="0" w:color="auto"/>
              <w:right w:val="single" w:sz="4" w:space="0" w:color="auto"/>
            </w:tcBorders>
            <w:shd w:val="clear" w:color="auto" w:fill="auto"/>
            <w:noWrap/>
            <w:hideMark/>
          </w:tcPr>
          <w:p w14:paraId="37FFF2BB" w14:textId="77777777" w:rsidR="00610DC1" w:rsidRPr="00610DC1" w:rsidRDefault="00610DC1" w:rsidP="00706AE8">
            <w:pPr>
              <w:tabs>
                <w:tab w:val="left" w:pos="180"/>
                <w:tab w:val="center" w:pos="990"/>
              </w:tabs>
              <w:rPr>
                <w:color w:val="auto"/>
                <w:szCs w:val="20"/>
              </w:rPr>
            </w:pPr>
            <w:r w:rsidRPr="00610DC1">
              <w:rPr>
                <w:color w:val="auto"/>
                <w:szCs w:val="20"/>
              </w:rPr>
              <w:tab/>
            </w:r>
            <w:r w:rsidRPr="00610DC1">
              <w:rPr>
                <w:color w:val="auto"/>
                <w:szCs w:val="20"/>
              </w:rPr>
              <w:tab/>
              <w:t>Investissements</w:t>
            </w:r>
          </w:p>
        </w:tc>
        <w:tc>
          <w:tcPr>
            <w:tcW w:w="2414" w:type="dxa"/>
            <w:gridSpan w:val="2"/>
            <w:tcBorders>
              <w:top w:val="single" w:sz="4" w:space="0" w:color="auto"/>
              <w:left w:val="nil"/>
              <w:bottom w:val="single" w:sz="4" w:space="0" w:color="auto"/>
              <w:right w:val="single" w:sz="4" w:space="0" w:color="auto"/>
            </w:tcBorders>
            <w:shd w:val="clear" w:color="auto" w:fill="auto"/>
            <w:noWrap/>
            <w:hideMark/>
          </w:tcPr>
          <w:p w14:paraId="710FC1C1" w14:textId="77777777" w:rsidR="00610DC1" w:rsidRPr="00610DC1" w:rsidRDefault="00610DC1" w:rsidP="00706AE8">
            <w:pPr>
              <w:jc w:val="center"/>
              <w:rPr>
                <w:color w:val="auto"/>
                <w:szCs w:val="20"/>
              </w:rPr>
            </w:pPr>
            <w:r w:rsidRPr="00610DC1">
              <w:rPr>
                <w:color w:val="auto"/>
                <w:szCs w:val="20"/>
              </w:rPr>
              <w:t>Ecart entre les régimes</w:t>
            </w:r>
          </w:p>
        </w:tc>
      </w:tr>
      <w:tr w:rsidR="00610DC1" w:rsidRPr="00610DC1" w14:paraId="26D4A06A"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147CE51D" w14:textId="77777777" w:rsidR="00610DC1" w:rsidRPr="00610DC1" w:rsidRDefault="00610DC1" w:rsidP="00706AE8">
            <w:pPr>
              <w:rPr>
                <w:color w:val="auto"/>
                <w:szCs w:val="20"/>
              </w:rPr>
            </w:pPr>
            <w:r w:rsidRPr="00610DC1">
              <w:rPr>
                <w:color w:val="auto"/>
                <w:szCs w:val="20"/>
              </w:rPr>
              <w:t>TEMI</w:t>
            </w:r>
          </w:p>
        </w:tc>
        <w:tc>
          <w:tcPr>
            <w:tcW w:w="1086" w:type="dxa"/>
            <w:tcBorders>
              <w:top w:val="nil"/>
              <w:left w:val="nil"/>
              <w:bottom w:val="single" w:sz="4" w:space="0" w:color="auto"/>
              <w:right w:val="single" w:sz="4" w:space="0" w:color="auto"/>
            </w:tcBorders>
            <w:shd w:val="clear" w:color="auto" w:fill="auto"/>
            <w:noWrap/>
            <w:hideMark/>
          </w:tcPr>
          <w:p w14:paraId="166E36A5"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1D3318C2" w14:textId="77777777" w:rsidR="00610DC1" w:rsidRPr="00610DC1" w:rsidRDefault="00610DC1" w:rsidP="00706AE8">
            <w:pPr>
              <w:jc w:val="right"/>
              <w:rPr>
                <w:color w:val="auto"/>
                <w:szCs w:val="20"/>
              </w:rPr>
            </w:pPr>
            <w:r w:rsidRPr="00610DC1">
              <w:rPr>
                <w:color w:val="auto"/>
                <w:szCs w:val="20"/>
              </w:rPr>
              <w:t>IS</w:t>
            </w:r>
          </w:p>
        </w:tc>
        <w:tc>
          <w:tcPr>
            <w:tcW w:w="1086" w:type="dxa"/>
            <w:tcBorders>
              <w:top w:val="nil"/>
              <w:left w:val="nil"/>
              <w:bottom w:val="single" w:sz="4" w:space="0" w:color="auto"/>
              <w:right w:val="single" w:sz="4" w:space="0" w:color="auto"/>
            </w:tcBorders>
            <w:shd w:val="clear" w:color="auto" w:fill="auto"/>
            <w:noWrap/>
            <w:hideMark/>
          </w:tcPr>
          <w:p w14:paraId="4C498286" w14:textId="77777777" w:rsidR="00610DC1" w:rsidRPr="00610DC1" w:rsidRDefault="00610DC1" w:rsidP="00706AE8">
            <w:pPr>
              <w:jc w:val="right"/>
              <w:rPr>
                <w:color w:val="auto"/>
                <w:szCs w:val="20"/>
              </w:rPr>
            </w:pPr>
            <w:r w:rsidRPr="00610DC1">
              <w:rPr>
                <w:color w:val="auto"/>
                <w:szCs w:val="20"/>
              </w:rPr>
              <w:t>Global</w:t>
            </w:r>
          </w:p>
        </w:tc>
        <w:tc>
          <w:tcPr>
            <w:tcW w:w="1034" w:type="dxa"/>
            <w:tcBorders>
              <w:top w:val="nil"/>
              <w:left w:val="nil"/>
              <w:bottom w:val="single" w:sz="4" w:space="0" w:color="auto"/>
              <w:right w:val="single" w:sz="4" w:space="0" w:color="auto"/>
            </w:tcBorders>
            <w:shd w:val="clear" w:color="auto" w:fill="auto"/>
            <w:noWrap/>
            <w:hideMark/>
          </w:tcPr>
          <w:p w14:paraId="3B21236D" w14:textId="77777777" w:rsidR="00610DC1" w:rsidRPr="00610DC1" w:rsidRDefault="00610DC1" w:rsidP="00706AE8">
            <w:pPr>
              <w:jc w:val="right"/>
              <w:rPr>
                <w:color w:val="auto"/>
                <w:szCs w:val="20"/>
              </w:rPr>
            </w:pPr>
            <w:r w:rsidRPr="00610DC1">
              <w:rPr>
                <w:color w:val="auto"/>
                <w:szCs w:val="20"/>
              </w:rPr>
              <w:t>IS</w:t>
            </w:r>
          </w:p>
        </w:tc>
        <w:tc>
          <w:tcPr>
            <w:tcW w:w="1193" w:type="dxa"/>
            <w:tcBorders>
              <w:top w:val="nil"/>
              <w:left w:val="nil"/>
              <w:bottom w:val="single" w:sz="4" w:space="0" w:color="auto"/>
              <w:right w:val="single" w:sz="4" w:space="0" w:color="auto"/>
            </w:tcBorders>
            <w:shd w:val="clear" w:color="auto" w:fill="auto"/>
            <w:noWrap/>
            <w:hideMark/>
          </w:tcPr>
          <w:p w14:paraId="0158D0C9" w14:textId="77777777" w:rsidR="00610DC1" w:rsidRPr="00610DC1" w:rsidRDefault="00610DC1" w:rsidP="00706AE8">
            <w:pPr>
              <w:jc w:val="right"/>
              <w:rPr>
                <w:color w:val="auto"/>
                <w:szCs w:val="20"/>
              </w:rPr>
            </w:pPr>
            <w:r w:rsidRPr="00610DC1">
              <w:rPr>
                <w:color w:val="auto"/>
                <w:szCs w:val="20"/>
              </w:rPr>
              <w:t>Global</w:t>
            </w:r>
          </w:p>
        </w:tc>
        <w:tc>
          <w:tcPr>
            <w:tcW w:w="1221" w:type="dxa"/>
            <w:tcBorders>
              <w:top w:val="nil"/>
              <w:left w:val="nil"/>
              <w:bottom w:val="single" w:sz="4" w:space="0" w:color="auto"/>
              <w:right w:val="single" w:sz="4" w:space="0" w:color="auto"/>
            </w:tcBorders>
            <w:shd w:val="clear" w:color="auto" w:fill="auto"/>
            <w:noWrap/>
            <w:hideMark/>
          </w:tcPr>
          <w:p w14:paraId="474E6DBC" w14:textId="77777777" w:rsidR="00610DC1" w:rsidRPr="00610DC1" w:rsidRDefault="00610DC1" w:rsidP="00706AE8">
            <w:pPr>
              <w:jc w:val="right"/>
              <w:rPr>
                <w:color w:val="auto"/>
                <w:szCs w:val="20"/>
              </w:rPr>
            </w:pPr>
            <w:r w:rsidRPr="00610DC1">
              <w:rPr>
                <w:color w:val="auto"/>
                <w:szCs w:val="20"/>
              </w:rPr>
              <w:t>IS</w:t>
            </w:r>
          </w:p>
        </w:tc>
      </w:tr>
      <w:tr w:rsidR="00610DC1" w:rsidRPr="00610DC1" w14:paraId="4ABCFD3C"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61ABCA7" w14:textId="77777777" w:rsidR="00610DC1" w:rsidRPr="00610DC1" w:rsidRDefault="00610DC1" w:rsidP="00706AE8">
            <w:pPr>
              <w:rPr>
                <w:color w:val="auto"/>
                <w:szCs w:val="20"/>
              </w:rPr>
            </w:pPr>
            <w:r w:rsidRPr="00610DC1">
              <w:rPr>
                <w:color w:val="auto"/>
                <w:szCs w:val="20"/>
              </w:rPr>
              <w:t>Bénin</w:t>
            </w:r>
          </w:p>
        </w:tc>
        <w:tc>
          <w:tcPr>
            <w:tcW w:w="1086" w:type="dxa"/>
            <w:tcBorders>
              <w:top w:val="nil"/>
              <w:left w:val="nil"/>
              <w:bottom w:val="nil"/>
              <w:right w:val="single" w:sz="4" w:space="0" w:color="auto"/>
            </w:tcBorders>
            <w:shd w:val="clear" w:color="auto" w:fill="auto"/>
            <w:noWrap/>
            <w:hideMark/>
          </w:tcPr>
          <w:p w14:paraId="0AC42AB6" w14:textId="77777777" w:rsidR="00610DC1" w:rsidRPr="00610DC1" w:rsidRDefault="00610DC1" w:rsidP="00706AE8">
            <w:pPr>
              <w:jc w:val="right"/>
              <w:rPr>
                <w:color w:val="auto"/>
                <w:szCs w:val="20"/>
              </w:rPr>
            </w:pPr>
            <w:r w:rsidRPr="00610DC1">
              <w:rPr>
                <w:color w:val="auto"/>
                <w:szCs w:val="20"/>
              </w:rPr>
              <w:t>31,9%</w:t>
            </w:r>
          </w:p>
        </w:tc>
        <w:tc>
          <w:tcPr>
            <w:tcW w:w="1034" w:type="dxa"/>
            <w:tcBorders>
              <w:top w:val="nil"/>
              <w:left w:val="nil"/>
              <w:bottom w:val="nil"/>
              <w:right w:val="single" w:sz="4" w:space="0" w:color="auto"/>
            </w:tcBorders>
            <w:shd w:val="clear" w:color="auto" w:fill="auto"/>
            <w:noWrap/>
            <w:hideMark/>
          </w:tcPr>
          <w:p w14:paraId="22A74C01" w14:textId="77777777" w:rsidR="00610DC1" w:rsidRPr="00610DC1" w:rsidRDefault="00610DC1" w:rsidP="00706AE8">
            <w:pPr>
              <w:jc w:val="right"/>
              <w:rPr>
                <w:color w:val="auto"/>
                <w:szCs w:val="20"/>
              </w:rPr>
            </w:pPr>
            <w:r w:rsidRPr="00610DC1">
              <w:rPr>
                <w:color w:val="auto"/>
                <w:szCs w:val="20"/>
              </w:rPr>
              <w:t>23,6%</w:t>
            </w:r>
          </w:p>
        </w:tc>
        <w:tc>
          <w:tcPr>
            <w:tcW w:w="1086" w:type="dxa"/>
            <w:tcBorders>
              <w:top w:val="nil"/>
              <w:left w:val="nil"/>
              <w:bottom w:val="nil"/>
              <w:right w:val="single" w:sz="4" w:space="0" w:color="auto"/>
            </w:tcBorders>
            <w:shd w:val="clear" w:color="auto" w:fill="auto"/>
            <w:noWrap/>
            <w:hideMark/>
          </w:tcPr>
          <w:p w14:paraId="071B8B92" w14:textId="77777777" w:rsidR="00610DC1" w:rsidRPr="00610DC1" w:rsidRDefault="00610DC1" w:rsidP="00706AE8">
            <w:pPr>
              <w:jc w:val="right"/>
              <w:rPr>
                <w:color w:val="auto"/>
                <w:szCs w:val="20"/>
              </w:rPr>
            </w:pPr>
            <w:r w:rsidRPr="00610DC1">
              <w:rPr>
                <w:color w:val="auto"/>
                <w:szCs w:val="20"/>
              </w:rPr>
              <w:t>18,3%</w:t>
            </w:r>
          </w:p>
        </w:tc>
        <w:tc>
          <w:tcPr>
            <w:tcW w:w="1034" w:type="dxa"/>
            <w:tcBorders>
              <w:top w:val="nil"/>
              <w:left w:val="nil"/>
              <w:bottom w:val="nil"/>
              <w:right w:val="single" w:sz="4" w:space="0" w:color="auto"/>
            </w:tcBorders>
            <w:shd w:val="clear" w:color="auto" w:fill="auto"/>
            <w:noWrap/>
            <w:hideMark/>
          </w:tcPr>
          <w:p w14:paraId="46C62546" w14:textId="77777777" w:rsidR="00610DC1" w:rsidRPr="00610DC1" w:rsidRDefault="00610DC1" w:rsidP="00706AE8">
            <w:pPr>
              <w:jc w:val="right"/>
              <w:rPr>
                <w:color w:val="auto"/>
                <w:szCs w:val="20"/>
              </w:rPr>
            </w:pPr>
            <w:r w:rsidRPr="00610DC1">
              <w:rPr>
                <w:color w:val="auto"/>
                <w:szCs w:val="20"/>
              </w:rPr>
              <w:t>10,0%</w:t>
            </w:r>
          </w:p>
        </w:tc>
        <w:tc>
          <w:tcPr>
            <w:tcW w:w="1193" w:type="dxa"/>
            <w:tcBorders>
              <w:top w:val="nil"/>
              <w:left w:val="nil"/>
              <w:bottom w:val="nil"/>
              <w:right w:val="single" w:sz="4" w:space="0" w:color="auto"/>
            </w:tcBorders>
            <w:shd w:val="clear" w:color="auto" w:fill="auto"/>
            <w:noWrap/>
            <w:hideMark/>
          </w:tcPr>
          <w:p w14:paraId="3A90C1FA" w14:textId="77777777" w:rsidR="00610DC1" w:rsidRPr="00610DC1" w:rsidRDefault="00610DC1" w:rsidP="00706AE8">
            <w:pPr>
              <w:jc w:val="right"/>
              <w:rPr>
                <w:color w:val="auto"/>
                <w:szCs w:val="20"/>
              </w:rPr>
            </w:pPr>
            <w:r w:rsidRPr="00610DC1">
              <w:rPr>
                <w:color w:val="auto"/>
                <w:szCs w:val="20"/>
              </w:rPr>
              <w:t>-13,6</w:t>
            </w:r>
          </w:p>
        </w:tc>
        <w:tc>
          <w:tcPr>
            <w:tcW w:w="1221" w:type="dxa"/>
            <w:tcBorders>
              <w:top w:val="nil"/>
              <w:left w:val="nil"/>
              <w:bottom w:val="nil"/>
              <w:right w:val="single" w:sz="4" w:space="0" w:color="auto"/>
            </w:tcBorders>
            <w:shd w:val="clear" w:color="auto" w:fill="auto"/>
            <w:noWrap/>
            <w:hideMark/>
          </w:tcPr>
          <w:p w14:paraId="5E6E5B9A" w14:textId="77777777" w:rsidR="00610DC1" w:rsidRPr="00610DC1" w:rsidRDefault="00610DC1" w:rsidP="00706AE8">
            <w:pPr>
              <w:jc w:val="right"/>
              <w:rPr>
                <w:color w:val="auto"/>
                <w:szCs w:val="20"/>
              </w:rPr>
            </w:pPr>
            <w:r w:rsidRPr="00610DC1">
              <w:rPr>
                <w:color w:val="auto"/>
                <w:szCs w:val="20"/>
              </w:rPr>
              <w:t>-13,6</w:t>
            </w:r>
          </w:p>
        </w:tc>
      </w:tr>
      <w:tr w:rsidR="00610DC1" w:rsidRPr="00610DC1" w14:paraId="2F3DB99F"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F4BBBEA" w14:textId="77777777" w:rsidR="00610DC1" w:rsidRPr="00610DC1" w:rsidRDefault="00610DC1" w:rsidP="00706AE8">
            <w:pPr>
              <w:rPr>
                <w:color w:val="auto"/>
                <w:szCs w:val="20"/>
              </w:rPr>
            </w:pPr>
            <w:r w:rsidRPr="00610DC1">
              <w:rPr>
                <w:color w:val="auto"/>
                <w:szCs w:val="20"/>
              </w:rPr>
              <w:t>Burkina Faso</w:t>
            </w:r>
          </w:p>
        </w:tc>
        <w:tc>
          <w:tcPr>
            <w:tcW w:w="1086" w:type="dxa"/>
            <w:tcBorders>
              <w:top w:val="nil"/>
              <w:left w:val="nil"/>
              <w:bottom w:val="nil"/>
              <w:right w:val="single" w:sz="4" w:space="0" w:color="auto"/>
            </w:tcBorders>
            <w:shd w:val="clear" w:color="auto" w:fill="auto"/>
            <w:noWrap/>
            <w:hideMark/>
          </w:tcPr>
          <w:p w14:paraId="2774E709" w14:textId="77777777" w:rsidR="00610DC1" w:rsidRPr="00610DC1" w:rsidRDefault="00610DC1" w:rsidP="00706AE8">
            <w:pPr>
              <w:jc w:val="right"/>
              <w:rPr>
                <w:color w:val="auto"/>
                <w:szCs w:val="20"/>
              </w:rPr>
            </w:pPr>
            <w:r w:rsidRPr="00610DC1">
              <w:rPr>
                <w:color w:val="auto"/>
                <w:szCs w:val="20"/>
              </w:rPr>
              <w:t>31,1%</w:t>
            </w:r>
          </w:p>
        </w:tc>
        <w:tc>
          <w:tcPr>
            <w:tcW w:w="1034" w:type="dxa"/>
            <w:tcBorders>
              <w:top w:val="nil"/>
              <w:left w:val="nil"/>
              <w:bottom w:val="nil"/>
              <w:right w:val="single" w:sz="4" w:space="0" w:color="auto"/>
            </w:tcBorders>
            <w:shd w:val="clear" w:color="auto" w:fill="auto"/>
            <w:noWrap/>
            <w:hideMark/>
          </w:tcPr>
          <w:p w14:paraId="4AD014BE" w14:textId="77777777" w:rsidR="00610DC1" w:rsidRPr="00610DC1" w:rsidRDefault="00610DC1" w:rsidP="00706AE8">
            <w:pPr>
              <w:jc w:val="right"/>
              <w:rPr>
                <w:color w:val="auto"/>
                <w:szCs w:val="20"/>
              </w:rPr>
            </w:pPr>
            <w:r w:rsidRPr="00610DC1">
              <w:rPr>
                <w:color w:val="auto"/>
                <w:szCs w:val="20"/>
              </w:rPr>
              <w:t>21,8%</w:t>
            </w:r>
          </w:p>
        </w:tc>
        <w:tc>
          <w:tcPr>
            <w:tcW w:w="1086" w:type="dxa"/>
            <w:tcBorders>
              <w:top w:val="nil"/>
              <w:left w:val="nil"/>
              <w:bottom w:val="nil"/>
              <w:right w:val="single" w:sz="4" w:space="0" w:color="auto"/>
            </w:tcBorders>
            <w:shd w:val="clear" w:color="auto" w:fill="auto"/>
            <w:noWrap/>
            <w:hideMark/>
          </w:tcPr>
          <w:p w14:paraId="2BB89A03" w14:textId="77777777" w:rsidR="00610DC1" w:rsidRPr="00610DC1" w:rsidRDefault="00610DC1" w:rsidP="00706AE8">
            <w:pPr>
              <w:jc w:val="right"/>
              <w:rPr>
                <w:color w:val="auto"/>
                <w:szCs w:val="20"/>
              </w:rPr>
            </w:pPr>
            <w:r w:rsidRPr="00610DC1">
              <w:rPr>
                <w:color w:val="auto"/>
                <w:szCs w:val="20"/>
              </w:rPr>
              <w:t>23,9%</w:t>
            </w:r>
          </w:p>
        </w:tc>
        <w:tc>
          <w:tcPr>
            <w:tcW w:w="1034" w:type="dxa"/>
            <w:tcBorders>
              <w:top w:val="nil"/>
              <w:left w:val="nil"/>
              <w:bottom w:val="nil"/>
              <w:right w:val="single" w:sz="4" w:space="0" w:color="auto"/>
            </w:tcBorders>
            <w:shd w:val="clear" w:color="auto" w:fill="auto"/>
            <w:noWrap/>
            <w:hideMark/>
          </w:tcPr>
          <w:p w14:paraId="63F92886" w14:textId="77777777" w:rsidR="00610DC1" w:rsidRPr="00610DC1" w:rsidRDefault="00610DC1" w:rsidP="00706AE8">
            <w:pPr>
              <w:jc w:val="right"/>
              <w:rPr>
                <w:color w:val="auto"/>
                <w:szCs w:val="20"/>
              </w:rPr>
            </w:pPr>
            <w:r w:rsidRPr="00610DC1">
              <w:rPr>
                <w:color w:val="auto"/>
                <w:szCs w:val="20"/>
              </w:rPr>
              <w:t>17,0%</w:t>
            </w:r>
          </w:p>
        </w:tc>
        <w:tc>
          <w:tcPr>
            <w:tcW w:w="1193" w:type="dxa"/>
            <w:tcBorders>
              <w:top w:val="nil"/>
              <w:left w:val="nil"/>
              <w:bottom w:val="nil"/>
              <w:right w:val="single" w:sz="4" w:space="0" w:color="auto"/>
            </w:tcBorders>
            <w:shd w:val="clear" w:color="auto" w:fill="auto"/>
            <w:noWrap/>
            <w:hideMark/>
          </w:tcPr>
          <w:p w14:paraId="689488CD" w14:textId="77777777" w:rsidR="00610DC1" w:rsidRPr="00610DC1" w:rsidRDefault="00610DC1" w:rsidP="00706AE8">
            <w:pPr>
              <w:jc w:val="right"/>
              <w:rPr>
                <w:color w:val="auto"/>
                <w:szCs w:val="20"/>
              </w:rPr>
            </w:pPr>
            <w:r w:rsidRPr="00610DC1">
              <w:rPr>
                <w:color w:val="auto"/>
                <w:szCs w:val="20"/>
              </w:rPr>
              <w:t>-7,2</w:t>
            </w:r>
          </w:p>
        </w:tc>
        <w:tc>
          <w:tcPr>
            <w:tcW w:w="1221" w:type="dxa"/>
            <w:tcBorders>
              <w:top w:val="nil"/>
              <w:left w:val="nil"/>
              <w:bottom w:val="nil"/>
              <w:right w:val="single" w:sz="4" w:space="0" w:color="auto"/>
            </w:tcBorders>
            <w:shd w:val="clear" w:color="auto" w:fill="auto"/>
            <w:noWrap/>
            <w:hideMark/>
          </w:tcPr>
          <w:p w14:paraId="2550FE6F" w14:textId="77777777" w:rsidR="00610DC1" w:rsidRPr="00610DC1" w:rsidRDefault="00610DC1" w:rsidP="00706AE8">
            <w:pPr>
              <w:jc w:val="right"/>
              <w:rPr>
                <w:color w:val="auto"/>
                <w:szCs w:val="20"/>
              </w:rPr>
            </w:pPr>
            <w:r w:rsidRPr="00610DC1">
              <w:rPr>
                <w:color w:val="auto"/>
                <w:szCs w:val="20"/>
              </w:rPr>
              <w:t>-4,8</w:t>
            </w:r>
          </w:p>
        </w:tc>
      </w:tr>
      <w:tr w:rsidR="00610DC1" w:rsidRPr="00610DC1" w14:paraId="45573ECB"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6E06E5AC" w14:textId="77777777" w:rsidR="00610DC1" w:rsidRPr="00610DC1" w:rsidRDefault="00610DC1" w:rsidP="00706AE8">
            <w:pPr>
              <w:rPr>
                <w:color w:val="auto"/>
                <w:szCs w:val="20"/>
              </w:rPr>
            </w:pPr>
            <w:r w:rsidRPr="00610DC1">
              <w:rPr>
                <w:color w:val="auto"/>
                <w:szCs w:val="20"/>
              </w:rPr>
              <w:t>Cameroun</w:t>
            </w:r>
          </w:p>
        </w:tc>
        <w:tc>
          <w:tcPr>
            <w:tcW w:w="1086" w:type="dxa"/>
            <w:tcBorders>
              <w:top w:val="nil"/>
              <w:left w:val="nil"/>
              <w:bottom w:val="nil"/>
              <w:right w:val="single" w:sz="4" w:space="0" w:color="auto"/>
            </w:tcBorders>
            <w:shd w:val="clear" w:color="auto" w:fill="auto"/>
            <w:noWrap/>
            <w:hideMark/>
          </w:tcPr>
          <w:p w14:paraId="19A5DA51" w14:textId="77777777" w:rsidR="00610DC1" w:rsidRPr="00610DC1" w:rsidRDefault="00610DC1" w:rsidP="00706AE8">
            <w:pPr>
              <w:jc w:val="right"/>
              <w:rPr>
                <w:color w:val="auto"/>
                <w:szCs w:val="20"/>
              </w:rPr>
            </w:pPr>
            <w:r w:rsidRPr="00610DC1">
              <w:rPr>
                <w:color w:val="auto"/>
                <w:szCs w:val="20"/>
              </w:rPr>
              <w:t>39,5%</w:t>
            </w:r>
          </w:p>
        </w:tc>
        <w:tc>
          <w:tcPr>
            <w:tcW w:w="1034" w:type="dxa"/>
            <w:tcBorders>
              <w:top w:val="nil"/>
              <w:left w:val="nil"/>
              <w:bottom w:val="nil"/>
              <w:right w:val="single" w:sz="4" w:space="0" w:color="auto"/>
            </w:tcBorders>
            <w:shd w:val="clear" w:color="auto" w:fill="auto"/>
            <w:noWrap/>
            <w:hideMark/>
          </w:tcPr>
          <w:p w14:paraId="0AB51F62" w14:textId="77777777" w:rsidR="00610DC1" w:rsidRPr="00610DC1" w:rsidRDefault="00610DC1" w:rsidP="00706AE8">
            <w:pPr>
              <w:jc w:val="right"/>
              <w:rPr>
                <w:color w:val="auto"/>
                <w:szCs w:val="20"/>
              </w:rPr>
            </w:pPr>
            <w:r w:rsidRPr="00610DC1">
              <w:rPr>
                <w:color w:val="auto"/>
                <w:szCs w:val="20"/>
              </w:rPr>
              <w:t>29,2%</w:t>
            </w:r>
          </w:p>
        </w:tc>
        <w:tc>
          <w:tcPr>
            <w:tcW w:w="1086" w:type="dxa"/>
            <w:tcBorders>
              <w:top w:val="nil"/>
              <w:left w:val="nil"/>
              <w:bottom w:val="nil"/>
              <w:right w:val="single" w:sz="4" w:space="0" w:color="auto"/>
            </w:tcBorders>
            <w:shd w:val="clear" w:color="auto" w:fill="auto"/>
            <w:noWrap/>
            <w:hideMark/>
          </w:tcPr>
          <w:p w14:paraId="6181B0CA" w14:textId="77777777" w:rsidR="00610DC1" w:rsidRPr="00610DC1" w:rsidRDefault="00610DC1" w:rsidP="00706AE8">
            <w:pPr>
              <w:jc w:val="right"/>
              <w:rPr>
                <w:color w:val="auto"/>
                <w:szCs w:val="20"/>
              </w:rPr>
            </w:pPr>
            <w:r w:rsidRPr="00610DC1">
              <w:rPr>
                <w:color w:val="auto"/>
                <w:szCs w:val="20"/>
              </w:rPr>
              <w:t>36,0%</w:t>
            </w:r>
          </w:p>
        </w:tc>
        <w:tc>
          <w:tcPr>
            <w:tcW w:w="1034" w:type="dxa"/>
            <w:tcBorders>
              <w:top w:val="nil"/>
              <w:left w:val="nil"/>
              <w:bottom w:val="nil"/>
              <w:right w:val="single" w:sz="4" w:space="0" w:color="auto"/>
            </w:tcBorders>
            <w:shd w:val="clear" w:color="auto" w:fill="auto"/>
            <w:noWrap/>
            <w:hideMark/>
          </w:tcPr>
          <w:p w14:paraId="47682C72" w14:textId="77777777" w:rsidR="00610DC1" w:rsidRPr="00610DC1" w:rsidRDefault="00610DC1" w:rsidP="00706AE8">
            <w:pPr>
              <w:jc w:val="right"/>
              <w:rPr>
                <w:color w:val="auto"/>
                <w:szCs w:val="20"/>
              </w:rPr>
            </w:pPr>
            <w:r w:rsidRPr="00610DC1">
              <w:rPr>
                <w:color w:val="auto"/>
                <w:szCs w:val="20"/>
              </w:rPr>
              <w:t>29,2%</w:t>
            </w:r>
          </w:p>
        </w:tc>
        <w:tc>
          <w:tcPr>
            <w:tcW w:w="1193" w:type="dxa"/>
            <w:tcBorders>
              <w:top w:val="nil"/>
              <w:left w:val="nil"/>
              <w:bottom w:val="nil"/>
              <w:right w:val="single" w:sz="4" w:space="0" w:color="auto"/>
            </w:tcBorders>
            <w:shd w:val="clear" w:color="auto" w:fill="auto"/>
            <w:noWrap/>
            <w:hideMark/>
          </w:tcPr>
          <w:p w14:paraId="027DDCF2" w14:textId="77777777" w:rsidR="00610DC1" w:rsidRPr="00610DC1" w:rsidRDefault="00610DC1" w:rsidP="00706AE8">
            <w:pPr>
              <w:jc w:val="right"/>
              <w:rPr>
                <w:color w:val="auto"/>
                <w:szCs w:val="20"/>
              </w:rPr>
            </w:pPr>
            <w:r w:rsidRPr="00610DC1">
              <w:rPr>
                <w:color w:val="auto"/>
                <w:szCs w:val="20"/>
              </w:rPr>
              <w:t>-3,5</w:t>
            </w:r>
          </w:p>
        </w:tc>
        <w:tc>
          <w:tcPr>
            <w:tcW w:w="1221" w:type="dxa"/>
            <w:tcBorders>
              <w:top w:val="nil"/>
              <w:left w:val="nil"/>
              <w:bottom w:val="nil"/>
              <w:right w:val="single" w:sz="4" w:space="0" w:color="auto"/>
            </w:tcBorders>
            <w:shd w:val="clear" w:color="auto" w:fill="auto"/>
            <w:noWrap/>
            <w:hideMark/>
          </w:tcPr>
          <w:p w14:paraId="3191E6FD" w14:textId="77777777" w:rsidR="00610DC1" w:rsidRPr="00610DC1" w:rsidRDefault="00610DC1" w:rsidP="00706AE8">
            <w:pPr>
              <w:jc w:val="right"/>
              <w:rPr>
                <w:color w:val="auto"/>
                <w:szCs w:val="20"/>
              </w:rPr>
            </w:pPr>
            <w:r w:rsidRPr="00610DC1">
              <w:rPr>
                <w:color w:val="auto"/>
                <w:szCs w:val="20"/>
              </w:rPr>
              <w:t>0,0</w:t>
            </w:r>
          </w:p>
        </w:tc>
      </w:tr>
      <w:tr w:rsidR="00610DC1" w:rsidRPr="00610DC1" w14:paraId="52AC72B7"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3F10DC25" w14:textId="77777777" w:rsidR="00610DC1" w:rsidRPr="00610DC1" w:rsidRDefault="00610DC1" w:rsidP="00706AE8">
            <w:pPr>
              <w:rPr>
                <w:color w:val="auto"/>
                <w:szCs w:val="20"/>
              </w:rPr>
            </w:pPr>
            <w:r w:rsidRPr="00610DC1">
              <w:rPr>
                <w:color w:val="auto"/>
                <w:szCs w:val="20"/>
              </w:rPr>
              <w:t>Centrafrique</w:t>
            </w:r>
          </w:p>
        </w:tc>
        <w:tc>
          <w:tcPr>
            <w:tcW w:w="1086" w:type="dxa"/>
            <w:tcBorders>
              <w:top w:val="nil"/>
              <w:left w:val="nil"/>
              <w:bottom w:val="nil"/>
              <w:right w:val="single" w:sz="4" w:space="0" w:color="auto"/>
            </w:tcBorders>
            <w:shd w:val="clear" w:color="auto" w:fill="auto"/>
            <w:noWrap/>
            <w:hideMark/>
          </w:tcPr>
          <w:p w14:paraId="04DA4E96" w14:textId="77777777" w:rsidR="00610DC1" w:rsidRPr="00610DC1" w:rsidRDefault="00610DC1" w:rsidP="00706AE8">
            <w:pPr>
              <w:jc w:val="right"/>
              <w:rPr>
                <w:color w:val="auto"/>
                <w:szCs w:val="20"/>
              </w:rPr>
            </w:pPr>
            <w:r w:rsidRPr="00610DC1">
              <w:rPr>
                <w:color w:val="auto"/>
                <w:szCs w:val="20"/>
              </w:rPr>
              <w:t>33,5%</w:t>
            </w:r>
          </w:p>
        </w:tc>
        <w:tc>
          <w:tcPr>
            <w:tcW w:w="1034" w:type="dxa"/>
            <w:tcBorders>
              <w:top w:val="nil"/>
              <w:left w:val="nil"/>
              <w:bottom w:val="nil"/>
              <w:right w:val="single" w:sz="4" w:space="0" w:color="auto"/>
            </w:tcBorders>
            <w:shd w:val="clear" w:color="auto" w:fill="auto"/>
            <w:noWrap/>
            <w:hideMark/>
          </w:tcPr>
          <w:p w14:paraId="46058D7C" w14:textId="77777777" w:rsidR="00610DC1" w:rsidRPr="00610DC1" w:rsidRDefault="00610DC1" w:rsidP="00706AE8">
            <w:pPr>
              <w:jc w:val="right"/>
              <w:rPr>
                <w:color w:val="auto"/>
                <w:szCs w:val="20"/>
              </w:rPr>
            </w:pPr>
            <w:r w:rsidRPr="00610DC1">
              <w:rPr>
                <w:color w:val="auto"/>
                <w:szCs w:val="20"/>
              </w:rPr>
              <w:t>26,0%</w:t>
            </w:r>
          </w:p>
        </w:tc>
        <w:tc>
          <w:tcPr>
            <w:tcW w:w="1086" w:type="dxa"/>
            <w:tcBorders>
              <w:top w:val="nil"/>
              <w:left w:val="nil"/>
              <w:bottom w:val="nil"/>
              <w:right w:val="single" w:sz="4" w:space="0" w:color="auto"/>
            </w:tcBorders>
            <w:shd w:val="clear" w:color="auto" w:fill="auto"/>
            <w:noWrap/>
            <w:hideMark/>
          </w:tcPr>
          <w:p w14:paraId="5E11A257" w14:textId="77777777" w:rsidR="00610DC1" w:rsidRPr="00610DC1" w:rsidRDefault="00610DC1" w:rsidP="00706AE8">
            <w:pPr>
              <w:jc w:val="right"/>
              <w:rPr>
                <w:color w:val="auto"/>
                <w:szCs w:val="20"/>
              </w:rPr>
            </w:pPr>
            <w:r w:rsidRPr="00610DC1">
              <w:rPr>
                <w:color w:val="auto"/>
                <w:szCs w:val="20"/>
              </w:rPr>
              <w:t>32,8%</w:t>
            </w:r>
          </w:p>
        </w:tc>
        <w:tc>
          <w:tcPr>
            <w:tcW w:w="1034" w:type="dxa"/>
            <w:tcBorders>
              <w:top w:val="nil"/>
              <w:left w:val="nil"/>
              <w:bottom w:val="nil"/>
              <w:right w:val="single" w:sz="4" w:space="0" w:color="auto"/>
            </w:tcBorders>
            <w:shd w:val="clear" w:color="auto" w:fill="auto"/>
            <w:noWrap/>
            <w:hideMark/>
          </w:tcPr>
          <w:p w14:paraId="658DCAB4" w14:textId="77777777" w:rsidR="00610DC1" w:rsidRPr="00610DC1" w:rsidRDefault="00610DC1" w:rsidP="00706AE8">
            <w:pPr>
              <w:jc w:val="right"/>
              <w:rPr>
                <w:color w:val="auto"/>
                <w:szCs w:val="20"/>
              </w:rPr>
            </w:pPr>
            <w:r w:rsidRPr="00610DC1">
              <w:rPr>
                <w:color w:val="auto"/>
                <w:szCs w:val="20"/>
              </w:rPr>
              <w:t>25,3%</w:t>
            </w:r>
          </w:p>
        </w:tc>
        <w:tc>
          <w:tcPr>
            <w:tcW w:w="1193" w:type="dxa"/>
            <w:tcBorders>
              <w:top w:val="nil"/>
              <w:left w:val="nil"/>
              <w:bottom w:val="nil"/>
              <w:right w:val="single" w:sz="4" w:space="0" w:color="auto"/>
            </w:tcBorders>
            <w:shd w:val="clear" w:color="auto" w:fill="auto"/>
            <w:noWrap/>
            <w:hideMark/>
          </w:tcPr>
          <w:p w14:paraId="0BA65933" w14:textId="77777777" w:rsidR="00610DC1" w:rsidRPr="00610DC1" w:rsidRDefault="00610DC1" w:rsidP="00706AE8">
            <w:pPr>
              <w:jc w:val="right"/>
              <w:rPr>
                <w:color w:val="auto"/>
                <w:szCs w:val="20"/>
              </w:rPr>
            </w:pPr>
            <w:r w:rsidRPr="00610DC1">
              <w:rPr>
                <w:color w:val="auto"/>
                <w:szCs w:val="20"/>
              </w:rPr>
              <w:t>-0,7</w:t>
            </w:r>
          </w:p>
        </w:tc>
        <w:tc>
          <w:tcPr>
            <w:tcW w:w="1221" w:type="dxa"/>
            <w:tcBorders>
              <w:top w:val="nil"/>
              <w:left w:val="nil"/>
              <w:bottom w:val="nil"/>
              <w:right w:val="single" w:sz="4" w:space="0" w:color="auto"/>
            </w:tcBorders>
            <w:shd w:val="clear" w:color="auto" w:fill="auto"/>
            <w:noWrap/>
            <w:hideMark/>
          </w:tcPr>
          <w:p w14:paraId="07B8AC08" w14:textId="77777777" w:rsidR="00610DC1" w:rsidRPr="00610DC1" w:rsidRDefault="00610DC1" w:rsidP="00706AE8">
            <w:pPr>
              <w:jc w:val="right"/>
              <w:rPr>
                <w:color w:val="auto"/>
                <w:szCs w:val="20"/>
              </w:rPr>
            </w:pPr>
            <w:r w:rsidRPr="00610DC1">
              <w:rPr>
                <w:color w:val="auto"/>
                <w:szCs w:val="20"/>
              </w:rPr>
              <w:t>-0,7</w:t>
            </w:r>
          </w:p>
        </w:tc>
      </w:tr>
      <w:tr w:rsidR="00610DC1" w:rsidRPr="00610DC1" w14:paraId="30A503FC"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3CB9BF15" w14:textId="77777777" w:rsidR="00610DC1" w:rsidRPr="00610DC1" w:rsidRDefault="00610DC1" w:rsidP="00706AE8">
            <w:pPr>
              <w:rPr>
                <w:color w:val="auto"/>
                <w:szCs w:val="20"/>
              </w:rPr>
            </w:pPr>
            <w:r w:rsidRPr="00610DC1">
              <w:rPr>
                <w:color w:val="auto"/>
                <w:szCs w:val="20"/>
              </w:rPr>
              <w:t>Congo</w:t>
            </w:r>
          </w:p>
        </w:tc>
        <w:tc>
          <w:tcPr>
            <w:tcW w:w="1086" w:type="dxa"/>
            <w:tcBorders>
              <w:top w:val="nil"/>
              <w:left w:val="nil"/>
              <w:bottom w:val="nil"/>
              <w:right w:val="single" w:sz="4" w:space="0" w:color="auto"/>
            </w:tcBorders>
            <w:shd w:val="clear" w:color="auto" w:fill="auto"/>
            <w:noWrap/>
            <w:hideMark/>
          </w:tcPr>
          <w:p w14:paraId="3CE451FC" w14:textId="77777777" w:rsidR="00610DC1" w:rsidRPr="00610DC1" w:rsidRDefault="00610DC1" w:rsidP="00706AE8">
            <w:pPr>
              <w:jc w:val="right"/>
              <w:rPr>
                <w:color w:val="auto"/>
                <w:szCs w:val="20"/>
              </w:rPr>
            </w:pPr>
            <w:r w:rsidRPr="00610DC1">
              <w:rPr>
                <w:color w:val="auto"/>
                <w:szCs w:val="20"/>
              </w:rPr>
              <w:t>37,5%</w:t>
            </w:r>
          </w:p>
        </w:tc>
        <w:tc>
          <w:tcPr>
            <w:tcW w:w="1034" w:type="dxa"/>
            <w:tcBorders>
              <w:top w:val="nil"/>
              <w:left w:val="nil"/>
              <w:bottom w:val="nil"/>
              <w:right w:val="single" w:sz="4" w:space="0" w:color="auto"/>
            </w:tcBorders>
            <w:shd w:val="clear" w:color="auto" w:fill="auto"/>
            <w:noWrap/>
            <w:hideMark/>
          </w:tcPr>
          <w:p w14:paraId="1E2A03B8" w14:textId="77777777" w:rsidR="00610DC1" w:rsidRPr="00610DC1" w:rsidRDefault="00610DC1" w:rsidP="00706AE8">
            <w:pPr>
              <w:jc w:val="right"/>
              <w:rPr>
                <w:color w:val="auto"/>
                <w:szCs w:val="20"/>
              </w:rPr>
            </w:pPr>
            <w:r w:rsidRPr="00610DC1">
              <w:rPr>
                <w:color w:val="auto"/>
                <w:szCs w:val="20"/>
              </w:rPr>
              <w:t>24,1%</w:t>
            </w:r>
          </w:p>
        </w:tc>
        <w:tc>
          <w:tcPr>
            <w:tcW w:w="1086" w:type="dxa"/>
            <w:tcBorders>
              <w:top w:val="nil"/>
              <w:left w:val="nil"/>
              <w:bottom w:val="nil"/>
              <w:right w:val="single" w:sz="4" w:space="0" w:color="auto"/>
            </w:tcBorders>
            <w:shd w:val="clear" w:color="auto" w:fill="auto"/>
            <w:noWrap/>
            <w:hideMark/>
          </w:tcPr>
          <w:p w14:paraId="4CDD7525" w14:textId="77777777" w:rsidR="00610DC1" w:rsidRPr="00610DC1" w:rsidRDefault="00610DC1" w:rsidP="00706AE8">
            <w:pPr>
              <w:jc w:val="right"/>
              <w:rPr>
                <w:color w:val="auto"/>
                <w:szCs w:val="20"/>
              </w:rPr>
            </w:pPr>
            <w:r w:rsidRPr="00610DC1">
              <w:rPr>
                <w:color w:val="auto"/>
                <w:szCs w:val="20"/>
              </w:rPr>
              <w:t>30,7%</w:t>
            </w:r>
          </w:p>
        </w:tc>
        <w:tc>
          <w:tcPr>
            <w:tcW w:w="1034" w:type="dxa"/>
            <w:tcBorders>
              <w:top w:val="nil"/>
              <w:left w:val="nil"/>
              <w:bottom w:val="nil"/>
              <w:right w:val="single" w:sz="4" w:space="0" w:color="auto"/>
            </w:tcBorders>
            <w:shd w:val="clear" w:color="auto" w:fill="auto"/>
            <w:noWrap/>
            <w:hideMark/>
          </w:tcPr>
          <w:p w14:paraId="66E3FB55" w14:textId="77777777" w:rsidR="00610DC1" w:rsidRPr="00610DC1" w:rsidRDefault="00610DC1" w:rsidP="00706AE8">
            <w:pPr>
              <w:jc w:val="right"/>
              <w:rPr>
                <w:color w:val="auto"/>
                <w:szCs w:val="20"/>
              </w:rPr>
            </w:pPr>
            <w:r w:rsidRPr="00610DC1">
              <w:rPr>
                <w:color w:val="auto"/>
                <w:szCs w:val="20"/>
              </w:rPr>
              <w:t>17,3%</w:t>
            </w:r>
          </w:p>
        </w:tc>
        <w:tc>
          <w:tcPr>
            <w:tcW w:w="1193" w:type="dxa"/>
            <w:tcBorders>
              <w:top w:val="nil"/>
              <w:left w:val="nil"/>
              <w:bottom w:val="nil"/>
              <w:right w:val="single" w:sz="4" w:space="0" w:color="auto"/>
            </w:tcBorders>
            <w:shd w:val="clear" w:color="auto" w:fill="auto"/>
            <w:noWrap/>
            <w:hideMark/>
          </w:tcPr>
          <w:p w14:paraId="532DE57D" w14:textId="77777777" w:rsidR="00610DC1" w:rsidRPr="00610DC1" w:rsidRDefault="00610DC1" w:rsidP="00706AE8">
            <w:pPr>
              <w:jc w:val="right"/>
              <w:rPr>
                <w:color w:val="auto"/>
                <w:szCs w:val="20"/>
              </w:rPr>
            </w:pPr>
            <w:r w:rsidRPr="00610DC1">
              <w:rPr>
                <w:color w:val="auto"/>
                <w:szCs w:val="20"/>
              </w:rPr>
              <w:t>-6,8</w:t>
            </w:r>
          </w:p>
        </w:tc>
        <w:tc>
          <w:tcPr>
            <w:tcW w:w="1221" w:type="dxa"/>
            <w:tcBorders>
              <w:top w:val="nil"/>
              <w:left w:val="nil"/>
              <w:bottom w:val="nil"/>
              <w:right w:val="single" w:sz="4" w:space="0" w:color="auto"/>
            </w:tcBorders>
            <w:shd w:val="clear" w:color="auto" w:fill="auto"/>
            <w:noWrap/>
            <w:hideMark/>
          </w:tcPr>
          <w:p w14:paraId="22C9BEAF" w14:textId="77777777" w:rsidR="00610DC1" w:rsidRPr="00610DC1" w:rsidRDefault="00610DC1" w:rsidP="00706AE8">
            <w:pPr>
              <w:jc w:val="right"/>
              <w:rPr>
                <w:color w:val="auto"/>
                <w:szCs w:val="20"/>
              </w:rPr>
            </w:pPr>
            <w:r w:rsidRPr="00610DC1">
              <w:rPr>
                <w:color w:val="auto"/>
                <w:szCs w:val="20"/>
              </w:rPr>
              <w:t>-6,8</w:t>
            </w:r>
          </w:p>
        </w:tc>
      </w:tr>
      <w:tr w:rsidR="00610DC1" w:rsidRPr="00610DC1" w14:paraId="7C34C0C9"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4596AE2B" w14:textId="77777777" w:rsidR="00610DC1" w:rsidRPr="00610DC1" w:rsidRDefault="00610DC1" w:rsidP="00706AE8">
            <w:pPr>
              <w:rPr>
                <w:color w:val="auto"/>
                <w:szCs w:val="20"/>
              </w:rPr>
            </w:pPr>
            <w:r w:rsidRPr="00610DC1">
              <w:rPr>
                <w:color w:val="auto"/>
                <w:szCs w:val="20"/>
              </w:rPr>
              <w:t>Côte d'Ivoire</w:t>
            </w:r>
          </w:p>
        </w:tc>
        <w:tc>
          <w:tcPr>
            <w:tcW w:w="1086" w:type="dxa"/>
            <w:tcBorders>
              <w:top w:val="nil"/>
              <w:left w:val="nil"/>
              <w:bottom w:val="nil"/>
              <w:right w:val="single" w:sz="4" w:space="0" w:color="auto"/>
            </w:tcBorders>
            <w:shd w:val="clear" w:color="auto" w:fill="auto"/>
            <w:noWrap/>
            <w:hideMark/>
          </w:tcPr>
          <w:p w14:paraId="40A4765F" w14:textId="77777777" w:rsidR="00610DC1" w:rsidRPr="00610DC1" w:rsidRDefault="00610DC1" w:rsidP="00706AE8">
            <w:pPr>
              <w:jc w:val="right"/>
              <w:rPr>
                <w:color w:val="auto"/>
                <w:szCs w:val="20"/>
              </w:rPr>
            </w:pPr>
            <w:r w:rsidRPr="00610DC1">
              <w:rPr>
                <w:color w:val="auto"/>
                <w:szCs w:val="20"/>
              </w:rPr>
              <w:t>28,2%</w:t>
            </w:r>
          </w:p>
        </w:tc>
        <w:tc>
          <w:tcPr>
            <w:tcW w:w="1034" w:type="dxa"/>
            <w:tcBorders>
              <w:top w:val="nil"/>
              <w:left w:val="nil"/>
              <w:bottom w:val="nil"/>
              <w:right w:val="single" w:sz="4" w:space="0" w:color="auto"/>
            </w:tcBorders>
            <w:shd w:val="clear" w:color="auto" w:fill="auto"/>
            <w:noWrap/>
            <w:hideMark/>
          </w:tcPr>
          <w:p w14:paraId="005DF0AF" w14:textId="77777777" w:rsidR="00610DC1" w:rsidRPr="00610DC1" w:rsidRDefault="00610DC1" w:rsidP="00706AE8">
            <w:pPr>
              <w:jc w:val="right"/>
              <w:rPr>
                <w:color w:val="auto"/>
                <w:szCs w:val="20"/>
              </w:rPr>
            </w:pPr>
            <w:r w:rsidRPr="00610DC1">
              <w:rPr>
                <w:color w:val="auto"/>
                <w:szCs w:val="20"/>
              </w:rPr>
              <w:t>18,9%</w:t>
            </w:r>
          </w:p>
        </w:tc>
        <w:tc>
          <w:tcPr>
            <w:tcW w:w="1086" w:type="dxa"/>
            <w:tcBorders>
              <w:top w:val="nil"/>
              <w:left w:val="nil"/>
              <w:bottom w:val="nil"/>
              <w:right w:val="single" w:sz="4" w:space="0" w:color="auto"/>
            </w:tcBorders>
            <w:shd w:val="clear" w:color="auto" w:fill="auto"/>
            <w:noWrap/>
            <w:hideMark/>
          </w:tcPr>
          <w:p w14:paraId="2EE718B5" w14:textId="77777777" w:rsidR="00610DC1" w:rsidRPr="00610DC1" w:rsidRDefault="00610DC1" w:rsidP="00706AE8">
            <w:pPr>
              <w:jc w:val="right"/>
              <w:rPr>
                <w:color w:val="auto"/>
                <w:szCs w:val="20"/>
              </w:rPr>
            </w:pPr>
            <w:r w:rsidRPr="00610DC1">
              <w:rPr>
                <w:color w:val="auto"/>
                <w:szCs w:val="20"/>
              </w:rPr>
              <w:t>15,5%</w:t>
            </w:r>
          </w:p>
        </w:tc>
        <w:tc>
          <w:tcPr>
            <w:tcW w:w="1034" w:type="dxa"/>
            <w:tcBorders>
              <w:top w:val="nil"/>
              <w:left w:val="nil"/>
              <w:bottom w:val="nil"/>
              <w:right w:val="single" w:sz="4" w:space="0" w:color="auto"/>
            </w:tcBorders>
            <w:shd w:val="clear" w:color="auto" w:fill="auto"/>
            <w:noWrap/>
            <w:hideMark/>
          </w:tcPr>
          <w:p w14:paraId="72AB94E5" w14:textId="77777777" w:rsidR="00610DC1" w:rsidRPr="00610DC1" w:rsidRDefault="00610DC1" w:rsidP="00706AE8">
            <w:pPr>
              <w:jc w:val="right"/>
              <w:rPr>
                <w:color w:val="auto"/>
                <w:szCs w:val="20"/>
              </w:rPr>
            </w:pPr>
            <w:r w:rsidRPr="00610DC1">
              <w:rPr>
                <w:color w:val="auto"/>
                <w:szCs w:val="20"/>
              </w:rPr>
              <w:t>6,6%</w:t>
            </w:r>
          </w:p>
        </w:tc>
        <w:tc>
          <w:tcPr>
            <w:tcW w:w="1193" w:type="dxa"/>
            <w:tcBorders>
              <w:top w:val="nil"/>
              <w:left w:val="nil"/>
              <w:bottom w:val="nil"/>
              <w:right w:val="single" w:sz="4" w:space="0" w:color="auto"/>
            </w:tcBorders>
            <w:shd w:val="clear" w:color="auto" w:fill="auto"/>
            <w:noWrap/>
            <w:hideMark/>
          </w:tcPr>
          <w:p w14:paraId="3B7C05CF" w14:textId="77777777" w:rsidR="00610DC1" w:rsidRPr="00610DC1" w:rsidRDefault="00610DC1" w:rsidP="00706AE8">
            <w:pPr>
              <w:jc w:val="right"/>
              <w:rPr>
                <w:color w:val="auto"/>
                <w:szCs w:val="20"/>
              </w:rPr>
            </w:pPr>
            <w:r w:rsidRPr="00610DC1">
              <w:rPr>
                <w:color w:val="auto"/>
                <w:szCs w:val="20"/>
              </w:rPr>
              <w:t>-12,7</w:t>
            </w:r>
          </w:p>
        </w:tc>
        <w:tc>
          <w:tcPr>
            <w:tcW w:w="1221" w:type="dxa"/>
            <w:tcBorders>
              <w:top w:val="nil"/>
              <w:left w:val="nil"/>
              <w:bottom w:val="nil"/>
              <w:right w:val="single" w:sz="4" w:space="0" w:color="auto"/>
            </w:tcBorders>
            <w:shd w:val="clear" w:color="auto" w:fill="auto"/>
            <w:noWrap/>
            <w:hideMark/>
          </w:tcPr>
          <w:p w14:paraId="1FF7B057" w14:textId="77777777" w:rsidR="00610DC1" w:rsidRPr="00610DC1" w:rsidRDefault="00610DC1" w:rsidP="00706AE8">
            <w:pPr>
              <w:jc w:val="right"/>
              <w:rPr>
                <w:color w:val="auto"/>
                <w:szCs w:val="20"/>
              </w:rPr>
            </w:pPr>
            <w:r w:rsidRPr="00610DC1">
              <w:rPr>
                <w:color w:val="auto"/>
                <w:szCs w:val="20"/>
              </w:rPr>
              <w:t>-12,3</w:t>
            </w:r>
          </w:p>
        </w:tc>
      </w:tr>
      <w:tr w:rsidR="00610DC1" w:rsidRPr="00610DC1" w14:paraId="3A537BD1"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0ED4CE4B" w14:textId="77777777" w:rsidR="00610DC1" w:rsidRPr="00610DC1" w:rsidRDefault="00610DC1" w:rsidP="00706AE8">
            <w:pPr>
              <w:rPr>
                <w:color w:val="auto"/>
                <w:szCs w:val="20"/>
              </w:rPr>
            </w:pPr>
            <w:r w:rsidRPr="00610DC1">
              <w:rPr>
                <w:color w:val="auto"/>
                <w:szCs w:val="20"/>
              </w:rPr>
              <w:t>Gabon</w:t>
            </w:r>
          </w:p>
        </w:tc>
        <w:tc>
          <w:tcPr>
            <w:tcW w:w="1086" w:type="dxa"/>
            <w:tcBorders>
              <w:top w:val="nil"/>
              <w:left w:val="nil"/>
              <w:bottom w:val="nil"/>
              <w:right w:val="single" w:sz="4" w:space="0" w:color="auto"/>
            </w:tcBorders>
            <w:shd w:val="clear" w:color="auto" w:fill="auto"/>
            <w:noWrap/>
            <w:hideMark/>
          </w:tcPr>
          <w:p w14:paraId="14FABCAF" w14:textId="77777777" w:rsidR="00610DC1" w:rsidRPr="00610DC1" w:rsidRDefault="00610DC1" w:rsidP="00706AE8">
            <w:pPr>
              <w:jc w:val="right"/>
              <w:rPr>
                <w:color w:val="auto"/>
                <w:szCs w:val="20"/>
              </w:rPr>
            </w:pPr>
            <w:r w:rsidRPr="00610DC1">
              <w:rPr>
                <w:color w:val="auto"/>
                <w:szCs w:val="20"/>
              </w:rPr>
              <w:t>38,6%</w:t>
            </w:r>
          </w:p>
        </w:tc>
        <w:tc>
          <w:tcPr>
            <w:tcW w:w="1034" w:type="dxa"/>
            <w:tcBorders>
              <w:top w:val="nil"/>
              <w:left w:val="nil"/>
              <w:bottom w:val="nil"/>
              <w:right w:val="single" w:sz="4" w:space="0" w:color="auto"/>
            </w:tcBorders>
            <w:shd w:val="clear" w:color="auto" w:fill="auto"/>
            <w:noWrap/>
            <w:hideMark/>
          </w:tcPr>
          <w:p w14:paraId="72254A35" w14:textId="77777777" w:rsidR="00610DC1" w:rsidRPr="00610DC1" w:rsidRDefault="00610DC1" w:rsidP="00706AE8">
            <w:pPr>
              <w:jc w:val="right"/>
              <w:rPr>
                <w:color w:val="auto"/>
                <w:szCs w:val="20"/>
              </w:rPr>
            </w:pPr>
            <w:r w:rsidRPr="00610DC1">
              <w:rPr>
                <w:color w:val="auto"/>
                <w:szCs w:val="20"/>
              </w:rPr>
              <w:t>24,7%</w:t>
            </w:r>
          </w:p>
        </w:tc>
        <w:tc>
          <w:tcPr>
            <w:tcW w:w="1086" w:type="dxa"/>
            <w:tcBorders>
              <w:top w:val="nil"/>
              <w:left w:val="nil"/>
              <w:bottom w:val="nil"/>
              <w:right w:val="single" w:sz="4" w:space="0" w:color="auto"/>
            </w:tcBorders>
            <w:shd w:val="clear" w:color="auto" w:fill="auto"/>
            <w:noWrap/>
            <w:hideMark/>
          </w:tcPr>
          <w:p w14:paraId="1B9CBBC8" w14:textId="77777777" w:rsidR="00610DC1" w:rsidRPr="00610DC1" w:rsidRDefault="00610DC1" w:rsidP="00706AE8">
            <w:pPr>
              <w:jc w:val="right"/>
              <w:rPr>
                <w:color w:val="auto"/>
                <w:szCs w:val="20"/>
              </w:rPr>
            </w:pPr>
            <w:r w:rsidRPr="00610DC1">
              <w:rPr>
                <w:color w:val="auto"/>
                <w:szCs w:val="20"/>
              </w:rPr>
              <w:t>27,2%</w:t>
            </w:r>
          </w:p>
        </w:tc>
        <w:tc>
          <w:tcPr>
            <w:tcW w:w="1034" w:type="dxa"/>
            <w:tcBorders>
              <w:top w:val="nil"/>
              <w:left w:val="nil"/>
              <w:bottom w:val="nil"/>
              <w:right w:val="single" w:sz="4" w:space="0" w:color="auto"/>
            </w:tcBorders>
            <w:shd w:val="clear" w:color="auto" w:fill="auto"/>
            <w:noWrap/>
            <w:hideMark/>
          </w:tcPr>
          <w:p w14:paraId="66DCAA1E" w14:textId="77777777" w:rsidR="00610DC1" w:rsidRPr="00610DC1" w:rsidRDefault="00610DC1" w:rsidP="00706AE8">
            <w:pPr>
              <w:jc w:val="right"/>
              <w:rPr>
                <w:color w:val="auto"/>
                <w:szCs w:val="20"/>
              </w:rPr>
            </w:pPr>
            <w:r w:rsidRPr="00610DC1">
              <w:rPr>
                <w:color w:val="auto"/>
                <w:szCs w:val="20"/>
              </w:rPr>
              <w:t>13,3%</w:t>
            </w:r>
          </w:p>
        </w:tc>
        <w:tc>
          <w:tcPr>
            <w:tcW w:w="1193" w:type="dxa"/>
            <w:tcBorders>
              <w:top w:val="nil"/>
              <w:left w:val="nil"/>
              <w:bottom w:val="nil"/>
              <w:right w:val="single" w:sz="4" w:space="0" w:color="auto"/>
            </w:tcBorders>
            <w:shd w:val="clear" w:color="auto" w:fill="auto"/>
            <w:noWrap/>
            <w:hideMark/>
          </w:tcPr>
          <w:p w14:paraId="3A771F29" w14:textId="77777777" w:rsidR="00610DC1" w:rsidRPr="00610DC1" w:rsidRDefault="00610DC1" w:rsidP="00706AE8">
            <w:pPr>
              <w:jc w:val="right"/>
              <w:rPr>
                <w:color w:val="auto"/>
                <w:szCs w:val="20"/>
              </w:rPr>
            </w:pPr>
            <w:r w:rsidRPr="00610DC1">
              <w:rPr>
                <w:color w:val="auto"/>
                <w:szCs w:val="20"/>
              </w:rPr>
              <w:t>-11,4</w:t>
            </w:r>
          </w:p>
        </w:tc>
        <w:tc>
          <w:tcPr>
            <w:tcW w:w="1221" w:type="dxa"/>
            <w:tcBorders>
              <w:top w:val="nil"/>
              <w:left w:val="nil"/>
              <w:bottom w:val="nil"/>
              <w:right w:val="single" w:sz="4" w:space="0" w:color="auto"/>
            </w:tcBorders>
            <w:shd w:val="clear" w:color="auto" w:fill="auto"/>
            <w:noWrap/>
            <w:hideMark/>
          </w:tcPr>
          <w:p w14:paraId="06F32EB5" w14:textId="77777777" w:rsidR="00610DC1" w:rsidRPr="00610DC1" w:rsidRDefault="00610DC1" w:rsidP="00706AE8">
            <w:pPr>
              <w:jc w:val="right"/>
              <w:rPr>
                <w:color w:val="auto"/>
                <w:szCs w:val="20"/>
              </w:rPr>
            </w:pPr>
            <w:r w:rsidRPr="00610DC1">
              <w:rPr>
                <w:color w:val="auto"/>
                <w:szCs w:val="20"/>
              </w:rPr>
              <w:t>-11,4</w:t>
            </w:r>
          </w:p>
        </w:tc>
      </w:tr>
      <w:tr w:rsidR="00610DC1" w:rsidRPr="00610DC1" w14:paraId="69EC2CCB"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2FC1E542" w14:textId="77777777" w:rsidR="00610DC1" w:rsidRPr="00610DC1" w:rsidRDefault="00610DC1" w:rsidP="00706AE8">
            <w:pPr>
              <w:rPr>
                <w:color w:val="auto"/>
                <w:szCs w:val="20"/>
              </w:rPr>
            </w:pPr>
            <w:r w:rsidRPr="00610DC1">
              <w:rPr>
                <w:color w:val="auto"/>
                <w:szCs w:val="20"/>
              </w:rPr>
              <w:t>Mali</w:t>
            </w:r>
          </w:p>
        </w:tc>
        <w:tc>
          <w:tcPr>
            <w:tcW w:w="1086" w:type="dxa"/>
            <w:tcBorders>
              <w:top w:val="nil"/>
              <w:left w:val="nil"/>
              <w:bottom w:val="nil"/>
              <w:right w:val="single" w:sz="4" w:space="0" w:color="auto"/>
            </w:tcBorders>
            <w:shd w:val="clear" w:color="auto" w:fill="auto"/>
            <w:noWrap/>
            <w:hideMark/>
          </w:tcPr>
          <w:p w14:paraId="3C84D0C5" w14:textId="77777777" w:rsidR="00610DC1" w:rsidRPr="00610DC1" w:rsidRDefault="00610DC1" w:rsidP="00706AE8">
            <w:pPr>
              <w:jc w:val="right"/>
              <w:rPr>
                <w:color w:val="auto"/>
                <w:szCs w:val="20"/>
              </w:rPr>
            </w:pPr>
            <w:r w:rsidRPr="00610DC1">
              <w:rPr>
                <w:color w:val="auto"/>
                <w:szCs w:val="20"/>
              </w:rPr>
              <w:t>33,7%</w:t>
            </w:r>
          </w:p>
        </w:tc>
        <w:tc>
          <w:tcPr>
            <w:tcW w:w="1034" w:type="dxa"/>
            <w:tcBorders>
              <w:top w:val="nil"/>
              <w:left w:val="nil"/>
              <w:bottom w:val="nil"/>
              <w:right w:val="single" w:sz="4" w:space="0" w:color="auto"/>
            </w:tcBorders>
            <w:shd w:val="clear" w:color="auto" w:fill="auto"/>
            <w:noWrap/>
            <w:hideMark/>
          </w:tcPr>
          <w:p w14:paraId="4E49ED75" w14:textId="77777777" w:rsidR="00610DC1" w:rsidRPr="00610DC1" w:rsidRDefault="00610DC1" w:rsidP="00706AE8">
            <w:pPr>
              <w:jc w:val="right"/>
              <w:rPr>
                <w:color w:val="auto"/>
                <w:szCs w:val="20"/>
              </w:rPr>
            </w:pPr>
            <w:r w:rsidRPr="00610DC1">
              <w:rPr>
                <w:color w:val="auto"/>
                <w:szCs w:val="20"/>
              </w:rPr>
              <w:t>22,7%</w:t>
            </w:r>
          </w:p>
        </w:tc>
        <w:tc>
          <w:tcPr>
            <w:tcW w:w="1086" w:type="dxa"/>
            <w:tcBorders>
              <w:top w:val="nil"/>
              <w:left w:val="nil"/>
              <w:bottom w:val="nil"/>
              <w:right w:val="single" w:sz="4" w:space="0" w:color="auto"/>
            </w:tcBorders>
            <w:shd w:val="clear" w:color="auto" w:fill="auto"/>
            <w:noWrap/>
            <w:hideMark/>
          </w:tcPr>
          <w:p w14:paraId="05277DD2" w14:textId="77777777" w:rsidR="00610DC1" w:rsidRPr="00610DC1" w:rsidRDefault="00610DC1" w:rsidP="00706AE8">
            <w:pPr>
              <w:jc w:val="right"/>
              <w:rPr>
                <w:color w:val="auto"/>
                <w:szCs w:val="20"/>
              </w:rPr>
            </w:pPr>
            <w:r w:rsidRPr="00610DC1">
              <w:rPr>
                <w:color w:val="auto"/>
                <w:szCs w:val="20"/>
              </w:rPr>
              <w:t>30,0%</w:t>
            </w:r>
          </w:p>
        </w:tc>
        <w:tc>
          <w:tcPr>
            <w:tcW w:w="1034" w:type="dxa"/>
            <w:tcBorders>
              <w:top w:val="nil"/>
              <w:left w:val="nil"/>
              <w:bottom w:val="nil"/>
              <w:right w:val="single" w:sz="4" w:space="0" w:color="auto"/>
            </w:tcBorders>
            <w:shd w:val="clear" w:color="auto" w:fill="auto"/>
            <w:noWrap/>
            <w:hideMark/>
          </w:tcPr>
          <w:p w14:paraId="57128C5F" w14:textId="77777777" w:rsidR="00610DC1" w:rsidRPr="00610DC1" w:rsidRDefault="00610DC1" w:rsidP="00706AE8">
            <w:pPr>
              <w:jc w:val="right"/>
              <w:rPr>
                <w:color w:val="auto"/>
                <w:szCs w:val="20"/>
              </w:rPr>
            </w:pPr>
            <w:r w:rsidRPr="00610DC1">
              <w:rPr>
                <w:color w:val="auto"/>
                <w:szCs w:val="20"/>
              </w:rPr>
              <w:t>18,9%</w:t>
            </w:r>
          </w:p>
        </w:tc>
        <w:tc>
          <w:tcPr>
            <w:tcW w:w="1193" w:type="dxa"/>
            <w:tcBorders>
              <w:top w:val="nil"/>
              <w:left w:val="nil"/>
              <w:bottom w:val="nil"/>
              <w:right w:val="single" w:sz="4" w:space="0" w:color="auto"/>
            </w:tcBorders>
            <w:shd w:val="clear" w:color="auto" w:fill="auto"/>
            <w:noWrap/>
            <w:hideMark/>
          </w:tcPr>
          <w:p w14:paraId="7DA0035B" w14:textId="77777777" w:rsidR="00610DC1" w:rsidRPr="00610DC1" w:rsidRDefault="00610DC1" w:rsidP="00706AE8">
            <w:pPr>
              <w:jc w:val="right"/>
              <w:rPr>
                <w:color w:val="auto"/>
                <w:szCs w:val="20"/>
              </w:rPr>
            </w:pPr>
            <w:r w:rsidRPr="00610DC1">
              <w:rPr>
                <w:color w:val="auto"/>
                <w:szCs w:val="20"/>
              </w:rPr>
              <w:t>-3,8</w:t>
            </w:r>
          </w:p>
        </w:tc>
        <w:tc>
          <w:tcPr>
            <w:tcW w:w="1221" w:type="dxa"/>
            <w:tcBorders>
              <w:top w:val="nil"/>
              <w:left w:val="nil"/>
              <w:bottom w:val="nil"/>
              <w:right w:val="single" w:sz="4" w:space="0" w:color="auto"/>
            </w:tcBorders>
            <w:shd w:val="clear" w:color="auto" w:fill="auto"/>
            <w:noWrap/>
            <w:hideMark/>
          </w:tcPr>
          <w:p w14:paraId="7EADBB02" w14:textId="77777777" w:rsidR="00610DC1" w:rsidRPr="00610DC1" w:rsidRDefault="00610DC1" w:rsidP="00706AE8">
            <w:pPr>
              <w:jc w:val="right"/>
              <w:rPr>
                <w:color w:val="auto"/>
                <w:szCs w:val="20"/>
              </w:rPr>
            </w:pPr>
            <w:r w:rsidRPr="00610DC1">
              <w:rPr>
                <w:color w:val="auto"/>
                <w:szCs w:val="20"/>
              </w:rPr>
              <w:t>-3,8</w:t>
            </w:r>
          </w:p>
        </w:tc>
      </w:tr>
      <w:tr w:rsidR="00610DC1" w:rsidRPr="00610DC1" w14:paraId="17AD9EDE"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247F4555" w14:textId="77777777" w:rsidR="00610DC1" w:rsidRPr="00610DC1" w:rsidRDefault="00610DC1" w:rsidP="00706AE8">
            <w:pPr>
              <w:rPr>
                <w:color w:val="auto"/>
                <w:szCs w:val="20"/>
              </w:rPr>
            </w:pPr>
            <w:r w:rsidRPr="00610DC1">
              <w:rPr>
                <w:color w:val="auto"/>
                <w:szCs w:val="20"/>
              </w:rPr>
              <w:t>Niger</w:t>
            </w:r>
          </w:p>
        </w:tc>
        <w:tc>
          <w:tcPr>
            <w:tcW w:w="1086" w:type="dxa"/>
            <w:tcBorders>
              <w:top w:val="nil"/>
              <w:left w:val="nil"/>
              <w:bottom w:val="nil"/>
              <w:right w:val="single" w:sz="4" w:space="0" w:color="auto"/>
            </w:tcBorders>
            <w:shd w:val="clear" w:color="auto" w:fill="auto"/>
            <w:noWrap/>
            <w:hideMark/>
          </w:tcPr>
          <w:p w14:paraId="4193A2B3" w14:textId="77777777" w:rsidR="00610DC1" w:rsidRPr="00610DC1" w:rsidRDefault="00610DC1" w:rsidP="00706AE8">
            <w:pPr>
              <w:jc w:val="right"/>
              <w:rPr>
                <w:color w:val="auto"/>
                <w:szCs w:val="20"/>
              </w:rPr>
            </w:pPr>
            <w:r w:rsidRPr="00610DC1">
              <w:rPr>
                <w:color w:val="auto"/>
                <w:szCs w:val="20"/>
              </w:rPr>
              <w:t>33,3%</w:t>
            </w:r>
          </w:p>
        </w:tc>
        <w:tc>
          <w:tcPr>
            <w:tcW w:w="1034" w:type="dxa"/>
            <w:tcBorders>
              <w:top w:val="nil"/>
              <w:left w:val="nil"/>
              <w:bottom w:val="nil"/>
              <w:right w:val="single" w:sz="4" w:space="0" w:color="auto"/>
            </w:tcBorders>
            <w:shd w:val="clear" w:color="auto" w:fill="auto"/>
            <w:noWrap/>
            <w:hideMark/>
          </w:tcPr>
          <w:p w14:paraId="57D5782E" w14:textId="77777777" w:rsidR="00610DC1" w:rsidRPr="00610DC1" w:rsidRDefault="00610DC1" w:rsidP="00706AE8">
            <w:pPr>
              <w:jc w:val="right"/>
              <w:rPr>
                <w:color w:val="auto"/>
                <w:szCs w:val="20"/>
              </w:rPr>
            </w:pPr>
            <w:r w:rsidRPr="00610DC1">
              <w:rPr>
                <w:color w:val="auto"/>
                <w:szCs w:val="20"/>
              </w:rPr>
              <w:t>25,2%</w:t>
            </w:r>
          </w:p>
        </w:tc>
        <w:tc>
          <w:tcPr>
            <w:tcW w:w="1086" w:type="dxa"/>
            <w:tcBorders>
              <w:top w:val="nil"/>
              <w:left w:val="nil"/>
              <w:bottom w:val="nil"/>
              <w:right w:val="single" w:sz="4" w:space="0" w:color="auto"/>
            </w:tcBorders>
            <w:shd w:val="clear" w:color="auto" w:fill="auto"/>
            <w:noWrap/>
            <w:hideMark/>
          </w:tcPr>
          <w:p w14:paraId="33705DAB" w14:textId="77777777" w:rsidR="00610DC1" w:rsidRPr="00610DC1" w:rsidRDefault="00610DC1" w:rsidP="00706AE8">
            <w:pPr>
              <w:jc w:val="right"/>
              <w:rPr>
                <w:color w:val="auto"/>
                <w:szCs w:val="20"/>
              </w:rPr>
            </w:pPr>
            <w:r w:rsidRPr="00610DC1">
              <w:rPr>
                <w:color w:val="auto"/>
                <w:szCs w:val="20"/>
              </w:rPr>
              <w:t>33,3%</w:t>
            </w:r>
          </w:p>
        </w:tc>
        <w:tc>
          <w:tcPr>
            <w:tcW w:w="1034" w:type="dxa"/>
            <w:tcBorders>
              <w:top w:val="nil"/>
              <w:left w:val="nil"/>
              <w:bottom w:val="nil"/>
              <w:right w:val="single" w:sz="4" w:space="0" w:color="auto"/>
            </w:tcBorders>
            <w:shd w:val="clear" w:color="auto" w:fill="auto"/>
            <w:noWrap/>
            <w:hideMark/>
          </w:tcPr>
          <w:p w14:paraId="78C6449B" w14:textId="77777777" w:rsidR="00610DC1" w:rsidRPr="00610DC1" w:rsidRDefault="00610DC1" w:rsidP="00706AE8">
            <w:pPr>
              <w:jc w:val="right"/>
              <w:rPr>
                <w:color w:val="auto"/>
                <w:szCs w:val="20"/>
              </w:rPr>
            </w:pPr>
            <w:r w:rsidRPr="00610DC1">
              <w:rPr>
                <w:color w:val="auto"/>
                <w:szCs w:val="20"/>
              </w:rPr>
              <w:t>25,2%</w:t>
            </w:r>
          </w:p>
        </w:tc>
        <w:tc>
          <w:tcPr>
            <w:tcW w:w="1193" w:type="dxa"/>
            <w:tcBorders>
              <w:top w:val="nil"/>
              <w:left w:val="nil"/>
              <w:bottom w:val="nil"/>
              <w:right w:val="single" w:sz="4" w:space="0" w:color="auto"/>
            </w:tcBorders>
            <w:shd w:val="clear" w:color="auto" w:fill="auto"/>
            <w:noWrap/>
            <w:hideMark/>
          </w:tcPr>
          <w:p w14:paraId="6942E631" w14:textId="77777777" w:rsidR="00610DC1" w:rsidRPr="00610DC1" w:rsidRDefault="00610DC1" w:rsidP="00706AE8">
            <w:pPr>
              <w:jc w:val="right"/>
              <w:rPr>
                <w:color w:val="auto"/>
                <w:szCs w:val="20"/>
              </w:rPr>
            </w:pPr>
            <w:r w:rsidRPr="00610DC1">
              <w:rPr>
                <w:color w:val="auto"/>
                <w:szCs w:val="20"/>
              </w:rPr>
              <w:t>0,0</w:t>
            </w:r>
          </w:p>
        </w:tc>
        <w:tc>
          <w:tcPr>
            <w:tcW w:w="1221" w:type="dxa"/>
            <w:tcBorders>
              <w:top w:val="nil"/>
              <w:left w:val="nil"/>
              <w:bottom w:val="nil"/>
              <w:right w:val="single" w:sz="4" w:space="0" w:color="auto"/>
            </w:tcBorders>
            <w:shd w:val="clear" w:color="auto" w:fill="auto"/>
            <w:noWrap/>
            <w:hideMark/>
          </w:tcPr>
          <w:p w14:paraId="4685D79E" w14:textId="77777777" w:rsidR="00610DC1" w:rsidRPr="00610DC1" w:rsidRDefault="00610DC1" w:rsidP="00706AE8">
            <w:pPr>
              <w:jc w:val="right"/>
              <w:rPr>
                <w:color w:val="auto"/>
                <w:szCs w:val="20"/>
              </w:rPr>
            </w:pPr>
            <w:r w:rsidRPr="00610DC1">
              <w:rPr>
                <w:color w:val="auto"/>
                <w:szCs w:val="20"/>
              </w:rPr>
              <w:t>0,0</w:t>
            </w:r>
          </w:p>
        </w:tc>
      </w:tr>
      <w:tr w:rsidR="00610DC1" w:rsidRPr="00610DC1" w14:paraId="5EEF0775"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7AB475A6" w14:textId="77777777" w:rsidR="00610DC1" w:rsidRPr="00610DC1" w:rsidRDefault="00610DC1" w:rsidP="00706AE8">
            <w:pPr>
              <w:rPr>
                <w:color w:val="auto"/>
                <w:szCs w:val="20"/>
              </w:rPr>
            </w:pPr>
            <w:r w:rsidRPr="00610DC1">
              <w:rPr>
                <w:color w:val="auto"/>
                <w:szCs w:val="20"/>
              </w:rPr>
              <w:t>Sénégal</w:t>
            </w:r>
          </w:p>
        </w:tc>
        <w:tc>
          <w:tcPr>
            <w:tcW w:w="1086" w:type="dxa"/>
            <w:tcBorders>
              <w:top w:val="nil"/>
              <w:left w:val="nil"/>
              <w:bottom w:val="nil"/>
              <w:right w:val="single" w:sz="4" w:space="0" w:color="auto"/>
            </w:tcBorders>
            <w:shd w:val="clear" w:color="auto" w:fill="auto"/>
            <w:noWrap/>
            <w:hideMark/>
          </w:tcPr>
          <w:p w14:paraId="78125AAF" w14:textId="77777777" w:rsidR="00610DC1" w:rsidRPr="00610DC1" w:rsidRDefault="00610DC1" w:rsidP="00706AE8">
            <w:pPr>
              <w:jc w:val="right"/>
              <w:rPr>
                <w:color w:val="auto"/>
                <w:szCs w:val="20"/>
              </w:rPr>
            </w:pPr>
            <w:r w:rsidRPr="00610DC1">
              <w:rPr>
                <w:color w:val="auto"/>
                <w:szCs w:val="20"/>
              </w:rPr>
              <w:t>31,5%</w:t>
            </w:r>
          </w:p>
        </w:tc>
        <w:tc>
          <w:tcPr>
            <w:tcW w:w="1034" w:type="dxa"/>
            <w:tcBorders>
              <w:top w:val="nil"/>
              <w:left w:val="nil"/>
              <w:bottom w:val="nil"/>
              <w:right w:val="single" w:sz="4" w:space="0" w:color="auto"/>
            </w:tcBorders>
            <w:shd w:val="clear" w:color="auto" w:fill="auto"/>
            <w:noWrap/>
            <w:hideMark/>
          </w:tcPr>
          <w:p w14:paraId="732DF5AA" w14:textId="77777777" w:rsidR="00610DC1" w:rsidRPr="00610DC1" w:rsidRDefault="00610DC1" w:rsidP="00706AE8">
            <w:pPr>
              <w:jc w:val="right"/>
              <w:rPr>
                <w:color w:val="auto"/>
                <w:szCs w:val="20"/>
              </w:rPr>
            </w:pPr>
            <w:r w:rsidRPr="00610DC1">
              <w:rPr>
                <w:color w:val="auto"/>
                <w:szCs w:val="20"/>
              </w:rPr>
              <w:t>23,8%</w:t>
            </w:r>
          </w:p>
        </w:tc>
        <w:tc>
          <w:tcPr>
            <w:tcW w:w="1086" w:type="dxa"/>
            <w:tcBorders>
              <w:top w:val="nil"/>
              <w:left w:val="nil"/>
              <w:bottom w:val="nil"/>
              <w:right w:val="single" w:sz="4" w:space="0" w:color="auto"/>
            </w:tcBorders>
            <w:shd w:val="clear" w:color="auto" w:fill="auto"/>
            <w:noWrap/>
            <w:hideMark/>
          </w:tcPr>
          <w:p w14:paraId="453671F8" w14:textId="77777777" w:rsidR="00610DC1" w:rsidRPr="00610DC1" w:rsidRDefault="00610DC1" w:rsidP="00706AE8">
            <w:pPr>
              <w:jc w:val="right"/>
              <w:rPr>
                <w:color w:val="auto"/>
                <w:szCs w:val="20"/>
              </w:rPr>
            </w:pPr>
            <w:r w:rsidRPr="00610DC1">
              <w:rPr>
                <w:color w:val="auto"/>
                <w:szCs w:val="20"/>
              </w:rPr>
              <w:t>24,9%</w:t>
            </w:r>
          </w:p>
        </w:tc>
        <w:tc>
          <w:tcPr>
            <w:tcW w:w="1034" w:type="dxa"/>
            <w:tcBorders>
              <w:top w:val="nil"/>
              <w:left w:val="nil"/>
              <w:bottom w:val="nil"/>
              <w:right w:val="single" w:sz="4" w:space="0" w:color="auto"/>
            </w:tcBorders>
            <w:shd w:val="clear" w:color="auto" w:fill="auto"/>
            <w:noWrap/>
            <w:hideMark/>
          </w:tcPr>
          <w:p w14:paraId="54BF10A2" w14:textId="77777777" w:rsidR="00610DC1" w:rsidRPr="00610DC1" w:rsidRDefault="00610DC1" w:rsidP="00706AE8">
            <w:pPr>
              <w:jc w:val="right"/>
              <w:rPr>
                <w:color w:val="auto"/>
                <w:szCs w:val="20"/>
              </w:rPr>
            </w:pPr>
            <w:r w:rsidRPr="00610DC1">
              <w:rPr>
                <w:color w:val="auto"/>
                <w:szCs w:val="20"/>
              </w:rPr>
              <w:t>19,7%</w:t>
            </w:r>
          </w:p>
        </w:tc>
        <w:tc>
          <w:tcPr>
            <w:tcW w:w="1193" w:type="dxa"/>
            <w:tcBorders>
              <w:top w:val="nil"/>
              <w:left w:val="nil"/>
              <w:bottom w:val="nil"/>
              <w:right w:val="single" w:sz="4" w:space="0" w:color="auto"/>
            </w:tcBorders>
            <w:shd w:val="clear" w:color="auto" w:fill="auto"/>
            <w:noWrap/>
            <w:hideMark/>
          </w:tcPr>
          <w:p w14:paraId="40EDF303" w14:textId="77777777" w:rsidR="00610DC1" w:rsidRPr="00610DC1" w:rsidRDefault="00610DC1" w:rsidP="00706AE8">
            <w:pPr>
              <w:jc w:val="right"/>
              <w:rPr>
                <w:color w:val="auto"/>
                <w:szCs w:val="20"/>
              </w:rPr>
            </w:pPr>
            <w:r w:rsidRPr="00610DC1">
              <w:rPr>
                <w:color w:val="auto"/>
                <w:szCs w:val="20"/>
              </w:rPr>
              <w:t>-6,6</w:t>
            </w:r>
          </w:p>
        </w:tc>
        <w:tc>
          <w:tcPr>
            <w:tcW w:w="1221" w:type="dxa"/>
            <w:tcBorders>
              <w:top w:val="nil"/>
              <w:left w:val="nil"/>
              <w:bottom w:val="nil"/>
              <w:right w:val="single" w:sz="4" w:space="0" w:color="auto"/>
            </w:tcBorders>
            <w:shd w:val="clear" w:color="auto" w:fill="auto"/>
            <w:noWrap/>
            <w:hideMark/>
          </w:tcPr>
          <w:p w14:paraId="0390A3F8" w14:textId="77777777" w:rsidR="00610DC1" w:rsidRPr="00610DC1" w:rsidRDefault="00610DC1" w:rsidP="00706AE8">
            <w:pPr>
              <w:jc w:val="right"/>
              <w:rPr>
                <w:color w:val="auto"/>
                <w:szCs w:val="20"/>
              </w:rPr>
            </w:pPr>
            <w:r w:rsidRPr="00610DC1">
              <w:rPr>
                <w:color w:val="auto"/>
                <w:szCs w:val="20"/>
              </w:rPr>
              <w:t>-4,2</w:t>
            </w:r>
          </w:p>
        </w:tc>
      </w:tr>
      <w:tr w:rsidR="00610DC1" w:rsidRPr="00610DC1" w14:paraId="0902CDA1" w14:textId="77777777" w:rsidTr="00706AE8">
        <w:trPr>
          <w:trHeight w:val="255"/>
          <w:jc w:val="center"/>
        </w:trPr>
        <w:tc>
          <w:tcPr>
            <w:tcW w:w="1274" w:type="dxa"/>
            <w:tcBorders>
              <w:top w:val="nil"/>
              <w:left w:val="single" w:sz="4" w:space="0" w:color="auto"/>
              <w:bottom w:val="nil"/>
              <w:right w:val="single" w:sz="4" w:space="0" w:color="auto"/>
            </w:tcBorders>
            <w:shd w:val="clear" w:color="auto" w:fill="auto"/>
            <w:noWrap/>
            <w:hideMark/>
          </w:tcPr>
          <w:p w14:paraId="12FDED59" w14:textId="77777777" w:rsidR="00610DC1" w:rsidRPr="00610DC1" w:rsidRDefault="00610DC1" w:rsidP="00706AE8">
            <w:pPr>
              <w:rPr>
                <w:color w:val="auto"/>
                <w:szCs w:val="20"/>
              </w:rPr>
            </w:pPr>
            <w:r w:rsidRPr="00610DC1">
              <w:rPr>
                <w:color w:val="auto"/>
                <w:szCs w:val="20"/>
              </w:rPr>
              <w:t>Tchad</w:t>
            </w:r>
          </w:p>
        </w:tc>
        <w:tc>
          <w:tcPr>
            <w:tcW w:w="1086" w:type="dxa"/>
            <w:tcBorders>
              <w:top w:val="nil"/>
              <w:left w:val="nil"/>
              <w:bottom w:val="nil"/>
              <w:right w:val="single" w:sz="4" w:space="0" w:color="auto"/>
            </w:tcBorders>
            <w:shd w:val="clear" w:color="auto" w:fill="auto"/>
            <w:noWrap/>
            <w:hideMark/>
          </w:tcPr>
          <w:p w14:paraId="32871AA4" w14:textId="77777777" w:rsidR="00610DC1" w:rsidRPr="00610DC1" w:rsidRDefault="00610DC1" w:rsidP="00706AE8">
            <w:pPr>
              <w:jc w:val="right"/>
              <w:rPr>
                <w:color w:val="auto"/>
                <w:szCs w:val="20"/>
              </w:rPr>
            </w:pPr>
            <w:r w:rsidRPr="00610DC1">
              <w:rPr>
                <w:color w:val="auto"/>
                <w:szCs w:val="20"/>
              </w:rPr>
              <w:t>44,4%</w:t>
            </w:r>
          </w:p>
        </w:tc>
        <w:tc>
          <w:tcPr>
            <w:tcW w:w="1034" w:type="dxa"/>
            <w:tcBorders>
              <w:top w:val="nil"/>
              <w:left w:val="nil"/>
              <w:bottom w:val="nil"/>
              <w:right w:val="single" w:sz="4" w:space="0" w:color="auto"/>
            </w:tcBorders>
            <w:shd w:val="clear" w:color="auto" w:fill="auto"/>
            <w:noWrap/>
            <w:hideMark/>
          </w:tcPr>
          <w:p w14:paraId="0415DEF9" w14:textId="77777777" w:rsidR="00610DC1" w:rsidRPr="00610DC1" w:rsidRDefault="00610DC1" w:rsidP="00706AE8">
            <w:pPr>
              <w:jc w:val="right"/>
              <w:rPr>
                <w:color w:val="auto"/>
                <w:szCs w:val="20"/>
              </w:rPr>
            </w:pPr>
            <w:r w:rsidRPr="00610DC1">
              <w:rPr>
                <w:color w:val="auto"/>
                <w:szCs w:val="20"/>
              </w:rPr>
              <w:t>27,7%</w:t>
            </w:r>
          </w:p>
        </w:tc>
        <w:tc>
          <w:tcPr>
            <w:tcW w:w="1086" w:type="dxa"/>
            <w:tcBorders>
              <w:top w:val="nil"/>
              <w:left w:val="nil"/>
              <w:bottom w:val="nil"/>
              <w:right w:val="single" w:sz="4" w:space="0" w:color="auto"/>
            </w:tcBorders>
            <w:shd w:val="clear" w:color="auto" w:fill="auto"/>
            <w:noWrap/>
            <w:hideMark/>
          </w:tcPr>
          <w:p w14:paraId="56179E51" w14:textId="77777777" w:rsidR="00610DC1" w:rsidRPr="00610DC1" w:rsidRDefault="00610DC1" w:rsidP="00706AE8">
            <w:pPr>
              <w:jc w:val="right"/>
              <w:rPr>
                <w:color w:val="auto"/>
                <w:szCs w:val="20"/>
              </w:rPr>
            </w:pPr>
            <w:r w:rsidRPr="00610DC1">
              <w:rPr>
                <w:color w:val="auto"/>
                <w:szCs w:val="20"/>
              </w:rPr>
              <w:t>16,7%</w:t>
            </w:r>
          </w:p>
        </w:tc>
        <w:tc>
          <w:tcPr>
            <w:tcW w:w="1034" w:type="dxa"/>
            <w:tcBorders>
              <w:top w:val="nil"/>
              <w:left w:val="nil"/>
              <w:bottom w:val="nil"/>
              <w:right w:val="single" w:sz="4" w:space="0" w:color="auto"/>
            </w:tcBorders>
            <w:shd w:val="clear" w:color="auto" w:fill="auto"/>
            <w:noWrap/>
            <w:hideMark/>
          </w:tcPr>
          <w:p w14:paraId="63217B8A" w14:textId="77777777" w:rsidR="00610DC1" w:rsidRPr="00610DC1" w:rsidRDefault="00610DC1" w:rsidP="00706AE8">
            <w:pPr>
              <w:jc w:val="right"/>
              <w:rPr>
                <w:color w:val="auto"/>
                <w:szCs w:val="20"/>
              </w:rPr>
            </w:pPr>
            <w:r w:rsidRPr="00610DC1">
              <w:rPr>
                <w:color w:val="auto"/>
                <w:szCs w:val="20"/>
              </w:rPr>
              <w:t>0,0%</w:t>
            </w:r>
          </w:p>
        </w:tc>
        <w:tc>
          <w:tcPr>
            <w:tcW w:w="1193" w:type="dxa"/>
            <w:tcBorders>
              <w:top w:val="nil"/>
              <w:left w:val="nil"/>
              <w:bottom w:val="nil"/>
              <w:right w:val="single" w:sz="4" w:space="0" w:color="auto"/>
            </w:tcBorders>
            <w:shd w:val="clear" w:color="auto" w:fill="auto"/>
            <w:noWrap/>
            <w:hideMark/>
          </w:tcPr>
          <w:p w14:paraId="168D4F7A" w14:textId="77777777" w:rsidR="00610DC1" w:rsidRPr="00610DC1" w:rsidRDefault="00610DC1" w:rsidP="00706AE8">
            <w:pPr>
              <w:jc w:val="right"/>
              <w:rPr>
                <w:color w:val="auto"/>
                <w:szCs w:val="20"/>
              </w:rPr>
            </w:pPr>
            <w:r w:rsidRPr="00610DC1">
              <w:rPr>
                <w:color w:val="auto"/>
                <w:szCs w:val="20"/>
              </w:rPr>
              <w:t>-27,7</w:t>
            </w:r>
          </w:p>
        </w:tc>
        <w:tc>
          <w:tcPr>
            <w:tcW w:w="1221" w:type="dxa"/>
            <w:tcBorders>
              <w:top w:val="nil"/>
              <w:left w:val="nil"/>
              <w:bottom w:val="nil"/>
              <w:right w:val="single" w:sz="4" w:space="0" w:color="auto"/>
            </w:tcBorders>
            <w:shd w:val="clear" w:color="auto" w:fill="auto"/>
            <w:noWrap/>
            <w:hideMark/>
          </w:tcPr>
          <w:p w14:paraId="462EB5D7" w14:textId="77777777" w:rsidR="00610DC1" w:rsidRPr="00610DC1" w:rsidRDefault="00610DC1" w:rsidP="00706AE8">
            <w:pPr>
              <w:jc w:val="right"/>
              <w:rPr>
                <w:color w:val="auto"/>
                <w:szCs w:val="20"/>
              </w:rPr>
            </w:pPr>
            <w:r w:rsidRPr="00610DC1">
              <w:rPr>
                <w:color w:val="auto"/>
                <w:szCs w:val="20"/>
              </w:rPr>
              <w:t>-27,7</w:t>
            </w:r>
          </w:p>
        </w:tc>
      </w:tr>
      <w:tr w:rsidR="00610DC1" w:rsidRPr="00610DC1" w14:paraId="1B9CDF69" w14:textId="77777777" w:rsidTr="00706AE8">
        <w:trPr>
          <w:trHeight w:val="255"/>
          <w:jc w:val="center"/>
        </w:trPr>
        <w:tc>
          <w:tcPr>
            <w:tcW w:w="1274" w:type="dxa"/>
            <w:tcBorders>
              <w:top w:val="nil"/>
              <w:left w:val="single" w:sz="4" w:space="0" w:color="auto"/>
              <w:bottom w:val="single" w:sz="4" w:space="0" w:color="auto"/>
              <w:right w:val="single" w:sz="4" w:space="0" w:color="auto"/>
            </w:tcBorders>
            <w:shd w:val="clear" w:color="auto" w:fill="auto"/>
            <w:noWrap/>
            <w:hideMark/>
          </w:tcPr>
          <w:p w14:paraId="4B9748C5" w14:textId="77777777" w:rsidR="00610DC1" w:rsidRPr="00610DC1" w:rsidRDefault="00610DC1" w:rsidP="00706AE8">
            <w:pPr>
              <w:rPr>
                <w:color w:val="auto"/>
                <w:szCs w:val="20"/>
              </w:rPr>
            </w:pPr>
            <w:r w:rsidRPr="00610DC1">
              <w:rPr>
                <w:color w:val="auto"/>
                <w:szCs w:val="20"/>
              </w:rPr>
              <w:t>Togo</w:t>
            </w:r>
          </w:p>
        </w:tc>
        <w:tc>
          <w:tcPr>
            <w:tcW w:w="1086" w:type="dxa"/>
            <w:tcBorders>
              <w:top w:val="nil"/>
              <w:left w:val="nil"/>
              <w:bottom w:val="single" w:sz="4" w:space="0" w:color="auto"/>
              <w:right w:val="single" w:sz="4" w:space="0" w:color="auto"/>
            </w:tcBorders>
            <w:shd w:val="clear" w:color="auto" w:fill="auto"/>
            <w:noWrap/>
            <w:hideMark/>
          </w:tcPr>
          <w:p w14:paraId="05CF78A6" w14:textId="77777777" w:rsidR="00610DC1" w:rsidRPr="00610DC1" w:rsidRDefault="00610DC1" w:rsidP="00706AE8">
            <w:pPr>
              <w:jc w:val="right"/>
              <w:rPr>
                <w:color w:val="auto"/>
                <w:szCs w:val="20"/>
              </w:rPr>
            </w:pPr>
            <w:r w:rsidRPr="00610DC1">
              <w:rPr>
                <w:color w:val="auto"/>
                <w:szCs w:val="20"/>
              </w:rPr>
              <w:t>31,2%</w:t>
            </w:r>
          </w:p>
        </w:tc>
        <w:tc>
          <w:tcPr>
            <w:tcW w:w="1034" w:type="dxa"/>
            <w:tcBorders>
              <w:top w:val="nil"/>
              <w:left w:val="nil"/>
              <w:bottom w:val="single" w:sz="4" w:space="0" w:color="auto"/>
              <w:right w:val="single" w:sz="4" w:space="0" w:color="auto"/>
            </w:tcBorders>
            <w:shd w:val="clear" w:color="auto" w:fill="auto"/>
            <w:noWrap/>
            <w:hideMark/>
          </w:tcPr>
          <w:p w14:paraId="03542BEF" w14:textId="77777777" w:rsidR="00610DC1" w:rsidRPr="00610DC1" w:rsidRDefault="00610DC1" w:rsidP="00706AE8">
            <w:pPr>
              <w:jc w:val="right"/>
              <w:rPr>
                <w:color w:val="auto"/>
                <w:szCs w:val="20"/>
              </w:rPr>
            </w:pPr>
            <w:r w:rsidRPr="00610DC1">
              <w:rPr>
                <w:color w:val="auto"/>
                <w:szCs w:val="20"/>
              </w:rPr>
              <w:t>23,0%</w:t>
            </w:r>
          </w:p>
        </w:tc>
        <w:tc>
          <w:tcPr>
            <w:tcW w:w="1086" w:type="dxa"/>
            <w:tcBorders>
              <w:top w:val="nil"/>
              <w:left w:val="nil"/>
              <w:bottom w:val="single" w:sz="4" w:space="0" w:color="auto"/>
              <w:right w:val="single" w:sz="4" w:space="0" w:color="auto"/>
            </w:tcBorders>
            <w:shd w:val="clear" w:color="auto" w:fill="auto"/>
            <w:noWrap/>
            <w:hideMark/>
          </w:tcPr>
          <w:p w14:paraId="4F262912" w14:textId="77777777" w:rsidR="00610DC1" w:rsidRPr="00610DC1" w:rsidRDefault="00610DC1" w:rsidP="00706AE8">
            <w:pPr>
              <w:jc w:val="right"/>
              <w:rPr>
                <w:color w:val="auto"/>
                <w:szCs w:val="20"/>
              </w:rPr>
            </w:pPr>
            <w:r w:rsidRPr="00610DC1">
              <w:rPr>
                <w:color w:val="auto"/>
                <w:szCs w:val="20"/>
              </w:rPr>
              <w:t>27,4%</w:t>
            </w:r>
          </w:p>
        </w:tc>
        <w:tc>
          <w:tcPr>
            <w:tcW w:w="1034" w:type="dxa"/>
            <w:tcBorders>
              <w:top w:val="nil"/>
              <w:left w:val="nil"/>
              <w:bottom w:val="single" w:sz="4" w:space="0" w:color="auto"/>
              <w:right w:val="single" w:sz="4" w:space="0" w:color="auto"/>
            </w:tcBorders>
            <w:shd w:val="clear" w:color="auto" w:fill="auto"/>
            <w:noWrap/>
            <w:hideMark/>
          </w:tcPr>
          <w:p w14:paraId="060268B1" w14:textId="77777777" w:rsidR="00610DC1" w:rsidRPr="00610DC1" w:rsidRDefault="00610DC1" w:rsidP="00706AE8">
            <w:pPr>
              <w:jc w:val="right"/>
              <w:rPr>
                <w:color w:val="auto"/>
                <w:szCs w:val="20"/>
              </w:rPr>
            </w:pPr>
            <w:r w:rsidRPr="00610DC1">
              <w:rPr>
                <w:color w:val="auto"/>
                <w:szCs w:val="20"/>
              </w:rPr>
              <w:t>19,8%</w:t>
            </w:r>
          </w:p>
        </w:tc>
        <w:tc>
          <w:tcPr>
            <w:tcW w:w="1193" w:type="dxa"/>
            <w:tcBorders>
              <w:top w:val="nil"/>
              <w:left w:val="nil"/>
              <w:bottom w:val="single" w:sz="4" w:space="0" w:color="auto"/>
              <w:right w:val="single" w:sz="4" w:space="0" w:color="auto"/>
            </w:tcBorders>
            <w:shd w:val="clear" w:color="auto" w:fill="auto"/>
            <w:noWrap/>
            <w:hideMark/>
          </w:tcPr>
          <w:p w14:paraId="25770DEB" w14:textId="77777777" w:rsidR="00610DC1" w:rsidRPr="00610DC1" w:rsidRDefault="00610DC1" w:rsidP="00706AE8">
            <w:pPr>
              <w:jc w:val="right"/>
              <w:rPr>
                <w:color w:val="auto"/>
                <w:szCs w:val="20"/>
              </w:rPr>
            </w:pPr>
            <w:r w:rsidRPr="00610DC1">
              <w:rPr>
                <w:color w:val="auto"/>
                <w:szCs w:val="20"/>
              </w:rPr>
              <w:t>-3,8</w:t>
            </w:r>
          </w:p>
        </w:tc>
        <w:tc>
          <w:tcPr>
            <w:tcW w:w="1221" w:type="dxa"/>
            <w:tcBorders>
              <w:top w:val="nil"/>
              <w:left w:val="nil"/>
              <w:bottom w:val="single" w:sz="4" w:space="0" w:color="auto"/>
              <w:right w:val="single" w:sz="4" w:space="0" w:color="auto"/>
            </w:tcBorders>
            <w:shd w:val="clear" w:color="auto" w:fill="auto"/>
            <w:noWrap/>
            <w:hideMark/>
          </w:tcPr>
          <w:p w14:paraId="635DAC03" w14:textId="77777777" w:rsidR="00610DC1" w:rsidRPr="00610DC1" w:rsidRDefault="00610DC1" w:rsidP="00706AE8">
            <w:pPr>
              <w:jc w:val="right"/>
              <w:rPr>
                <w:color w:val="auto"/>
                <w:szCs w:val="20"/>
              </w:rPr>
            </w:pPr>
            <w:r w:rsidRPr="00610DC1">
              <w:rPr>
                <w:color w:val="auto"/>
                <w:szCs w:val="20"/>
              </w:rPr>
              <w:t>-3,3</w:t>
            </w:r>
          </w:p>
        </w:tc>
      </w:tr>
    </w:tbl>
    <w:p w14:paraId="6C337D55" w14:textId="77777777" w:rsidR="00610DC1" w:rsidRPr="00610DC1" w:rsidRDefault="00610DC1" w:rsidP="00610DC1">
      <w:pPr>
        <w:rPr>
          <w:b/>
          <w:color w:val="auto"/>
        </w:rPr>
      </w:pPr>
      <w:r w:rsidRPr="00610DC1">
        <w:rPr>
          <w:color w:val="auto"/>
        </w:rPr>
        <w:t>Source : calcul du TEMI sur 5 ans</w:t>
      </w:r>
      <w:r w:rsidRPr="00610DC1">
        <w:rPr>
          <w:b/>
          <w:color w:val="auto"/>
        </w:rPr>
        <w:t xml:space="preserve"> </w:t>
      </w:r>
    </w:p>
    <w:sectPr w:rsidR="00610DC1" w:rsidRPr="00610DC1" w:rsidSect="008258E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E0F82" w14:textId="77777777" w:rsidR="00DB0320" w:rsidRDefault="00DB0320" w:rsidP="002730F9">
      <w:r>
        <w:separator/>
      </w:r>
    </w:p>
  </w:endnote>
  <w:endnote w:type="continuationSeparator" w:id="0">
    <w:p w14:paraId="7A117BD9" w14:textId="77777777" w:rsidR="00DB0320" w:rsidRDefault="00DB0320" w:rsidP="00273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EF546" w14:textId="16CC0C8C" w:rsidR="00DB17DA" w:rsidRPr="002730F9" w:rsidRDefault="00DB17DA">
    <w:pPr>
      <w:pStyle w:val="Pieddepage"/>
    </w:pPr>
    <w:sdt>
      <w:sdtPr>
        <w:id w:val="7268900"/>
        <w:docPartObj>
          <w:docPartGallery w:val="Page Numbers (Bottom of Page)"/>
          <w:docPartUnique/>
        </w:docPartObj>
      </w:sdtPr>
      <w:sdtContent>
        <w:sdt>
          <w:sdtPr>
            <w:id w:val="7268901"/>
            <w:docPartObj>
              <w:docPartGallery w:val="Page Numbers (Top of Page)"/>
              <w:docPartUnique/>
            </w:docPartObj>
          </w:sdtPr>
          <w:sdtContent>
            <w:r w:rsidRPr="002730F9">
              <w:t xml:space="preserve">- Page </w:t>
            </w:r>
            <w:r>
              <w:fldChar w:fldCharType="begin"/>
            </w:r>
            <w:r>
              <w:instrText>PAGE</w:instrText>
            </w:r>
            <w:r>
              <w:fldChar w:fldCharType="separate"/>
            </w:r>
            <w:r w:rsidR="009A3B1F">
              <w:rPr>
                <w:noProof/>
              </w:rPr>
              <w:t>3</w:t>
            </w:r>
            <w:r>
              <w:rPr>
                <w:noProof/>
              </w:rPr>
              <w:fldChar w:fldCharType="end"/>
            </w:r>
            <w:r w:rsidRPr="002730F9">
              <w:t xml:space="preserve"> sur </w:t>
            </w:r>
            <w:r>
              <w:fldChar w:fldCharType="begin"/>
            </w:r>
            <w:r>
              <w:instrText>NUMPAGES</w:instrText>
            </w:r>
            <w:r>
              <w:fldChar w:fldCharType="separate"/>
            </w:r>
            <w:r w:rsidR="009A3B1F">
              <w:rPr>
                <w:noProof/>
              </w:rPr>
              <w:t>10</w:t>
            </w:r>
            <w:r>
              <w:rPr>
                <w:noProof/>
              </w:rPr>
              <w:fldChar w:fldCharType="end"/>
            </w:r>
          </w:sdtContent>
        </w:sdt>
      </w:sdtContent>
    </w:sdt>
    <w:r>
      <w:t>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D5BEA" w14:textId="77777777" w:rsidR="00DB0320" w:rsidRDefault="00DB0320" w:rsidP="002730F9">
      <w:r>
        <w:separator/>
      </w:r>
    </w:p>
  </w:footnote>
  <w:footnote w:type="continuationSeparator" w:id="0">
    <w:p w14:paraId="17BC4506" w14:textId="77777777" w:rsidR="00DB0320" w:rsidRDefault="00DB0320" w:rsidP="002730F9">
      <w:r>
        <w:continuationSeparator/>
      </w:r>
    </w:p>
  </w:footnote>
  <w:footnote w:id="1">
    <w:p w14:paraId="4BFD0AE4" w14:textId="77777777" w:rsidR="00DB17DA" w:rsidRDefault="00DB17DA" w:rsidP="00EB1C36">
      <w:pPr>
        <w:pStyle w:val="NDP"/>
        <w:jc w:val="both"/>
      </w:pPr>
      <w:r>
        <w:rPr>
          <w:rStyle w:val="Appelnotedebasdep"/>
        </w:rPr>
        <w:footnoteRef/>
      </w:r>
      <w:r>
        <w:t xml:space="preserve"> Cette approche est similaire à celle utilisée par </w:t>
      </w:r>
      <w:r w:rsidRPr="00612D81">
        <w:t>Doing Business.</w:t>
      </w:r>
    </w:p>
  </w:footnote>
  <w:footnote w:id="2">
    <w:p w14:paraId="4597B7AD" w14:textId="77777777" w:rsidR="00DB17DA" w:rsidRPr="00852103" w:rsidRDefault="00DB17DA" w:rsidP="00EB1C36">
      <w:pPr>
        <w:pStyle w:val="NDP"/>
        <w:jc w:val="both"/>
      </w:pPr>
      <w:r w:rsidRPr="00852103">
        <w:rPr>
          <w:rStyle w:val="Appelnotedebasdep"/>
        </w:rPr>
        <w:footnoteRef/>
      </w:r>
      <w:r w:rsidRPr="00852103">
        <w:t xml:space="preserve"> Voir en annexe 5 la description complète des régimes des investissements retenus.</w:t>
      </w:r>
    </w:p>
  </w:footnote>
  <w:footnote w:id="3">
    <w:p w14:paraId="686E426F" w14:textId="77777777" w:rsidR="00DB17DA" w:rsidRDefault="00DB17DA" w:rsidP="00EB1C36">
      <w:pPr>
        <w:pStyle w:val="NDP"/>
        <w:jc w:val="both"/>
      </w:pPr>
      <w:r>
        <w:rPr>
          <w:rStyle w:val="Appelnotedebasdep"/>
        </w:rPr>
        <w:footnoteRef/>
      </w:r>
      <w:r>
        <w:t xml:space="preserve"> </w:t>
      </w:r>
      <w:r w:rsidRPr="00FD7946">
        <w:t>Le taux de marge avant impôts est défini comme le rapport entre :le bénéfice brut annuel ou flux de trésorerie brut annuel (sans impôts et sans amortissements) et le chiffre d'affaires annuel.</w:t>
      </w:r>
      <w:r>
        <w:t xml:space="preserve"> </w:t>
      </w:r>
      <w:r w:rsidRPr="00FD7946">
        <w:t>Soit 79/1050 = 7,5% et 234/1050 = 22,5% environ.</w:t>
      </w:r>
    </w:p>
  </w:footnote>
  <w:footnote w:id="4">
    <w:p w14:paraId="68F78D50" w14:textId="77777777" w:rsidR="00DB17DA" w:rsidRDefault="00DB17DA" w:rsidP="00EB1C36">
      <w:pPr>
        <w:pStyle w:val="NDP"/>
        <w:jc w:val="both"/>
      </w:pPr>
      <w:r w:rsidRPr="00F462D4">
        <w:rPr>
          <w:rStyle w:val="Appelnotedebasdep"/>
        </w:rPr>
        <w:footnoteRef/>
      </w:r>
      <w:r w:rsidRPr="00F462D4">
        <w:t xml:space="preserve"> Directive n°02/2010/CM/UEMOA portant harmonisation de la fiscalité applicables aux valeurs mobilières dans les Etats membres de l’UEMOA.</w:t>
      </w:r>
    </w:p>
  </w:footnote>
  <w:footnote w:id="5">
    <w:p w14:paraId="7BF532F7" w14:textId="77777777" w:rsidR="00DB17DA" w:rsidRPr="00F462D4" w:rsidRDefault="00DB17DA" w:rsidP="00EB1C36">
      <w:pPr>
        <w:pStyle w:val="NDP"/>
        <w:jc w:val="both"/>
      </w:pPr>
      <w:r w:rsidRPr="00F462D4">
        <w:rPr>
          <w:rStyle w:val="Appelnotedebasdep"/>
        </w:rPr>
        <w:footnoteRef/>
      </w:r>
      <w:r w:rsidRPr="00F462D4">
        <w:t xml:space="preserve"> Article 14 de la Directive n°01/2008/CM/UEMOA du 28 Mars 2008 portant harmonisation des modalités de détermination du résultat imposable des personnes morales au sein de l’UEMOA et Article 34 de la de la Directive n°02/01/UEAC-050-CM-06 du 3 Août 2001 portant révision de l’Acte 3/72-UDEAC-153 du 22 Décembre 1972 instituant l’impôt sur les sociétés.</w:t>
      </w:r>
    </w:p>
  </w:footnote>
  <w:footnote w:id="6">
    <w:p w14:paraId="08B12612" w14:textId="77777777" w:rsidR="00DB17DA" w:rsidRDefault="00DB17DA" w:rsidP="00EB1C36">
      <w:pPr>
        <w:pStyle w:val="NDP"/>
        <w:jc w:val="both"/>
      </w:pPr>
      <w:r>
        <w:rPr>
          <w:rStyle w:val="Appelnotedebasdep"/>
        </w:rPr>
        <w:footnoteRef/>
      </w:r>
      <w:r>
        <w:t xml:space="preserve"> </w:t>
      </w:r>
      <w:r w:rsidRPr="009C1DAC">
        <w:t>Un test de la somme des rangs de Wilcoxon</w:t>
      </w:r>
      <w:r>
        <w:t xml:space="preserve"> </w:t>
      </w:r>
      <w:r w:rsidRPr="009C1DAC">
        <w:t>confirme que la combinaison des taux légaux et des règles d’assiette conduisent à des TEMI IS significativement plus faibles dans les pays de l’UEMOA que dans ceux de la CEMAC.</w:t>
      </w:r>
    </w:p>
  </w:footnote>
  <w:footnote w:id="7">
    <w:p w14:paraId="0F0E293A" w14:textId="77777777" w:rsidR="00DB17DA" w:rsidRPr="00852103" w:rsidRDefault="00DB17DA" w:rsidP="00EB1C36">
      <w:pPr>
        <w:pStyle w:val="NDP"/>
        <w:jc w:val="both"/>
      </w:pPr>
      <w:r w:rsidRPr="00852103">
        <w:rPr>
          <w:rStyle w:val="Appelnotedebasdep"/>
        </w:rPr>
        <w:footnoteRef/>
      </w:r>
      <w:r w:rsidRPr="00852103">
        <w:t xml:space="preserve"> Article 8 de la Directive n°01/2008/CM/UEMOA du 28 Mars 2008 portant harmonisation des modalités de détermination du résultat imposable des personnes morales au sein de l’UEMOA.</w:t>
      </w:r>
    </w:p>
  </w:footnote>
  <w:footnote w:id="8">
    <w:p w14:paraId="2D5061C0" w14:textId="77777777" w:rsidR="00DB17DA" w:rsidRDefault="00DB17DA" w:rsidP="00610DC1">
      <w:pPr>
        <w:pStyle w:val="Notedebasdepage"/>
      </w:pPr>
      <w:r w:rsidRPr="00610DC1">
        <w:rPr>
          <w:rStyle w:val="Appelnotedebasdep"/>
          <w:color w:val="auto"/>
        </w:rPr>
        <w:footnoteRef/>
      </w:r>
      <w:r w:rsidRPr="00610DC1">
        <w:rPr>
          <w:color w:val="auto"/>
        </w:rPr>
        <w:t xml:space="preserve"> Le coefficient 875×PNB/tête correspond au scénario du taux de marge avant impôts de 7,5%. Il est réduit à 720×PNB/tête dans le cas du scénario du taux de marge avant impôts de 22,5%.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FA8CB" w14:textId="77777777" w:rsidR="00DB17DA" w:rsidRDefault="00DB17DA">
    <w:pPr>
      <w:pStyle w:val="En-tte"/>
    </w:pPr>
    <w:r>
      <w:t>- Le taux effectif moyen d’imposition en Afrique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8D6A3C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41804E2C"/>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CA82FD8"/>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FF6601A"/>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034DD9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7AC674"/>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B4915A"/>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1EECBE"/>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2489A4"/>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E2D0090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19B4FAB"/>
    <w:multiLevelType w:val="hybridMultilevel"/>
    <w:tmpl w:val="45486FF2"/>
    <w:lvl w:ilvl="0" w:tplc="FCF4B25C">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80F5BFA"/>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A4513F"/>
    <w:multiLevelType w:val="hybridMultilevel"/>
    <w:tmpl w:val="93907430"/>
    <w:lvl w:ilvl="0" w:tplc="5A14347E">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524F54"/>
    <w:multiLevelType w:val="hybridMultilevel"/>
    <w:tmpl w:val="450409C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D754230"/>
    <w:multiLevelType w:val="multilevel"/>
    <w:tmpl w:val="04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1CC3B16"/>
    <w:multiLevelType w:val="hybridMultilevel"/>
    <w:tmpl w:val="174077F2"/>
    <w:lvl w:ilvl="0" w:tplc="AB12569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4F940A9"/>
    <w:multiLevelType w:val="hybridMultilevel"/>
    <w:tmpl w:val="DC184618"/>
    <w:lvl w:ilvl="0" w:tplc="0E6E0032">
      <w:start w:val="1"/>
      <w:numFmt w:val="decimal"/>
      <w:pStyle w:val="Titre3"/>
      <w:lvlText w:val="%1."/>
      <w:lvlJc w:val="left"/>
      <w:pPr>
        <w:ind w:left="149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8257D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4"/>
  </w:num>
  <w:num w:numId="13">
    <w:abstractNumId w:val="17"/>
  </w:num>
  <w:num w:numId="14">
    <w:abstractNumId w:val="15"/>
  </w:num>
  <w:num w:numId="15">
    <w:abstractNumId w:val="12"/>
  </w:num>
  <w:num w:numId="16">
    <w:abstractNumId w:val="16"/>
  </w:num>
  <w:num w:numId="17">
    <w:abstractNumId w:val="10"/>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6"/>
    <w:lvlOverride w:ilvl="0">
      <w:startOverride w:val="1"/>
    </w:lvlOverride>
  </w:num>
  <w:num w:numId="27">
    <w:abstractNumId w:val="12"/>
    <w:lvlOverride w:ilvl="0">
      <w:startOverride w:val="1"/>
    </w:lvlOverride>
  </w:num>
  <w:num w:numId="28">
    <w:abstractNumId w:val="16"/>
    <w:lvlOverride w:ilvl="0">
      <w:startOverride w:val="1"/>
    </w:lvlOverride>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EC"/>
    <w:rsid w:val="0000231B"/>
    <w:rsid w:val="000029B5"/>
    <w:rsid w:val="00002BBF"/>
    <w:rsid w:val="00007B4F"/>
    <w:rsid w:val="000101CB"/>
    <w:rsid w:val="000109B4"/>
    <w:rsid w:val="000139E2"/>
    <w:rsid w:val="00015F18"/>
    <w:rsid w:val="00020C9F"/>
    <w:rsid w:val="000230BD"/>
    <w:rsid w:val="00023901"/>
    <w:rsid w:val="0002508C"/>
    <w:rsid w:val="00026AB7"/>
    <w:rsid w:val="000305D0"/>
    <w:rsid w:val="000310EA"/>
    <w:rsid w:val="00032380"/>
    <w:rsid w:val="00033246"/>
    <w:rsid w:val="000347D2"/>
    <w:rsid w:val="000351C1"/>
    <w:rsid w:val="00035C01"/>
    <w:rsid w:val="00043961"/>
    <w:rsid w:val="000443B3"/>
    <w:rsid w:val="0004499D"/>
    <w:rsid w:val="000451A8"/>
    <w:rsid w:val="00046922"/>
    <w:rsid w:val="000474AC"/>
    <w:rsid w:val="00050019"/>
    <w:rsid w:val="0005144D"/>
    <w:rsid w:val="00052034"/>
    <w:rsid w:val="000537D7"/>
    <w:rsid w:val="00054B6B"/>
    <w:rsid w:val="00056421"/>
    <w:rsid w:val="0006133A"/>
    <w:rsid w:val="0006394E"/>
    <w:rsid w:val="00065381"/>
    <w:rsid w:val="00066857"/>
    <w:rsid w:val="00067165"/>
    <w:rsid w:val="0007142D"/>
    <w:rsid w:val="00074B3F"/>
    <w:rsid w:val="00075EB9"/>
    <w:rsid w:val="00076D1E"/>
    <w:rsid w:val="00083257"/>
    <w:rsid w:val="000833CF"/>
    <w:rsid w:val="00083735"/>
    <w:rsid w:val="00083D39"/>
    <w:rsid w:val="00083FFE"/>
    <w:rsid w:val="000843CE"/>
    <w:rsid w:val="000844CA"/>
    <w:rsid w:val="00090DD6"/>
    <w:rsid w:val="000926AC"/>
    <w:rsid w:val="000931C6"/>
    <w:rsid w:val="000953CE"/>
    <w:rsid w:val="00096282"/>
    <w:rsid w:val="000968CE"/>
    <w:rsid w:val="000A16F0"/>
    <w:rsid w:val="000A1A8E"/>
    <w:rsid w:val="000A1E13"/>
    <w:rsid w:val="000A30B8"/>
    <w:rsid w:val="000A6D9B"/>
    <w:rsid w:val="000A79D8"/>
    <w:rsid w:val="000B02BA"/>
    <w:rsid w:val="000B1722"/>
    <w:rsid w:val="000B2E0E"/>
    <w:rsid w:val="000B37F2"/>
    <w:rsid w:val="000B3BCF"/>
    <w:rsid w:val="000B3F0F"/>
    <w:rsid w:val="000B4197"/>
    <w:rsid w:val="000C4296"/>
    <w:rsid w:val="000C5179"/>
    <w:rsid w:val="000D07EE"/>
    <w:rsid w:val="000D08AA"/>
    <w:rsid w:val="000D1EAD"/>
    <w:rsid w:val="000D21CB"/>
    <w:rsid w:val="000D2A5C"/>
    <w:rsid w:val="000D2EF5"/>
    <w:rsid w:val="000D5D51"/>
    <w:rsid w:val="000D665E"/>
    <w:rsid w:val="000D7D92"/>
    <w:rsid w:val="000E107B"/>
    <w:rsid w:val="000E1B3A"/>
    <w:rsid w:val="000E376F"/>
    <w:rsid w:val="000E524F"/>
    <w:rsid w:val="000E55F6"/>
    <w:rsid w:val="000E70D7"/>
    <w:rsid w:val="000F1999"/>
    <w:rsid w:val="000F1C10"/>
    <w:rsid w:val="000F1CDE"/>
    <w:rsid w:val="001001BE"/>
    <w:rsid w:val="001014A4"/>
    <w:rsid w:val="0010530A"/>
    <w:rsid w:val="00106159"/>
    <w:rsid w:val="0010615E"/>
    <w:rsid w:val="00110FCB"/>
    <w:rsid w:val="00111CAB"/>
    <w:rsid w:val="00113A77"/>
    <w:rsid w:val="001160F3"/>
    <w:rsid w:val="00127B03"/>
    <w:rsid w:val="001313D4"/>
    <w:rsid w:val="0013243E"/>
    <w:rsid w:val="00137B4B"/>
    <w:rsid w:val="001431F4"/>
    <w:rsid w:val="00146006"/>
    <w:rsid w:val="001460CA"/>
    <w:rsid w:val="00147D7D"/>
    <w:rsid w:val="00155569"/>
    <w:rsid w:val="001568E3"/>
    <w:rsid w:val="00160313"/>
    <w:rsid w:val="00161452"/>
    <w:rsid w:val="00166648"/>
    <w:rsid w:val="001674BD"/>
    <w:rsid w:val="0018204C"/>
    <w:rsid w:val="00183888"/>
    <w:rsid w:val="001922A9"/>
    <w:rsid w:val="001A2423"/>
    <w:rsid w:val="001A3005"/>
    <w:rsid w:val="001A419C"/>
    <w:rsid w:val="001A498F"/>
    <w:rsid w:val="001B2D9F"/>
    <w:rsid w:val="001B567D"/>
    <w:rsid w:val="001B5C33"/>
    <w:rsid w:val="001B674B"/>
    <w:rsid w:val="001B6754"/>
    <w:rsid w:val="001B6961"/>
    <w:rsid w:val="001C51A1"/>
    <w:rsid w:val="001C59AB"/>
    <w:rsid w:val="001D0A50"/>
    <w:rsid w:val="001D177F"/>
    <w:rsid w:val="001D2FE4"/>
    <w:rsid w:val="001D4665"/>
    <w:rsid w:val="001D49DE"/>
    <w:rsid w:val="001D54C5"/>
    <w:rsid w:val="001D6022"/>
    <w:rsid w:val="001D6146"/>
    <w:rsid w:val="001D6627"/>
    <w:rsid w:val="001D78E0"/>
    <w:rsid w:val="001E3027"/>
    <w:rsid w:val="001E4123"/>
    <w:rsid w:val="001E6840"/>
    <w:rsid w:val="001F03CA"/>
    <w:rsid w:val="001F03F6"/>
    <w:rsid w:val="001F0BC7"/>
    <w:rsid w:val="001F1AF0"/>
    <w:rsid w:val="001F5008"/>
    <w:rsid w:val="001F5ACB"/>
    <w:rsid w:val="001F77A1"/>
    <w:rsid w:val="00200AE9"/>
    <w:rsid w:val="00201913"/>
    <w:rsid w:val="0020232C"/>
    <w:rsid w:val="0020426D"/>
    <w:rsid w:val="00204B43"/>
    <w:rsid w:val="00204BDE"/>
    <w:rsid w:val="00205C45"/>
    <w:rsid w:val="0021004A"/>
    <w:rsid w:val="00212463"/>
    <w:rsid w:val="00215340"/>
    <w:rsid w:val="00216458"/>
    <w:rsid w:val="00216983"/>
    <w:rsid w:val="00217626"/>
    <w:rsid w:val="0022126B"/>
    <w:rsid w:val="00224F14"/>
    <w:rsid w:val="002252AC"/>
    <w:rsid w:val="002321B7"/>
    <w:rsid w:val="00235DD9"/>
    <w:rsid w:val="0024452C"/>
    <w:rsid w:val="00247D02"/>
    <w:rsid w:val="00250688"/>
    <w:rsid w:val="0025238A"/>
    <w:rsid w:val="00256F2C"/>
    <w:rsid w:val="00257C58"/>
    <w:rsid w:val="00263849"/>
    <w:rsid w:val="00264084"/>
    <w:rsid w:val="00265798"/>
    <w:rsid w:val="00265C9A"/>
    <w:rsid w:val="00267F5A"/>
    <w:rsid w:val="00271CE8"/>
    <w:rsid w:val="00272496"/>
    <w:rsid w:val="00272D9D"/>
    <w:rsid w:val="002730BD"/>
    <w:rsid w:val="002730F9"/>
    <w:rsid w:val="0027641E"/>
    <w:rsid w:val="00282147"/>
    <w:rsid w:val="0028297C"/>
    <w:rsid w:val="00282B42"/>
    <w:rsid w:val="0028315F"/>
    <w:rsid w:val="00284A2B"/>
    <w:rsid w:val="00285D65"/>
    <w:rsid w:val="002864A0"/>
    <w:rsid w:val="00291DBB"/>
    <w:rsid w:val="00294938"/>
    <w:rsid w:val="002965FF"/>
    <w:rsid w:val="00297DCE"/>
    <w:rsid w:val="00297FD4"/>
    <w:rsid w:val="002A1BE7"/>
    <w:rsid w:val="002A2CB2"/>
    <w:rsid w:val="002A4D24"/>
    <w:rsid w:val="002A51E6"/>
    <w:rsid w:val="002A7B1B"/>
    <w:rsid w:val="002B0858"/>
    <w:rsid w:val="002B0D27"/>
    <w:rsid w:val="002B411E"/>
    <w:rsid w:val="002B49C0"/>
    <w:rsid w:val="002B7420"/>
    <w:rsid w:val="002C2161"/>
    <w:rsid w:val="002C2B5E"/>
    <w:rsid w:val="002C2C33"/>
    <w:rsid w:val="002C2F8F"/>
    <w:rsid w:val="002C4486"/>
    <w:rsid w:val="002C4B12"/>
    <w:rsid w:val="002C51A8"/>
    <w:rsid w:val="002C6035"/>
    <w:rsid w:val="002D0B51"/>
    <w:rsid w:val="002D18D6"/>
    <w:rsid w:val="002D3AA0"/>
    <w:rsid w:val="002E0AF6"/>
    <w:rsid w:val="002E64E5"/>
    <w:rsid w:val="002E6F9D"/>
    <w:rsid w:val="002F36E6"/>
    <w:rsid w:val="003029F0"/>
    <w:rsid w:val="003037F2"/>
    <w:rsid w:val="0030389F"/>
    <w:rsid w:val="00305423"/>
    <w:rsid w:val="0030545E"/>
    <w:rsid w:val="0030639C"/>
    <w:rsid w:val="00306689"/>
    <w:rsid w:val="0031050B"/>
    <w:rsid w:val="0031271F"/>
    <w:rsid w:val="003138F4"/>
    <w:rsid w:val="00313A2C"/>
    <w:rsid w:val="0032077E"/>
    <w:rsid w:val="00320E19"/>
    <w:rsid w:val="00322266"/>
    <w:rsid w:val="00322933"/>
    <w:rsid w:val="00323999"/>
    <w:rsid w:val="00326A28"/>
    <w:rsid w:val="00332306"/>
    <w:rsid w:val="00333A80"/>
    <w:rsid w:val="00335313"/>
    <w:rsid w:val="00340E09"/>
    <w:rsid w:val="00341CE4"/>
    <w:rsid w:val="003458AD"/>
    <w:rsid w:val="00345A97"/>
    <w:rsid w:val="0034625F"/>
    <w:rsid w:val="00350F7C"/>
    <w:rsid w:val="00351BB2"/>
    <w:rsid w:val="003521A2"/>
    <w:rsid w:val="003532B7"/>
    <w:rsid w:val="0035653B"/>
    <w:rsid w:val="0036412E"/>
    <w:rsid w:val="00366671"/>
    <w:rsid w:val="003670D8"/>
    <w:rsid w:val="0036731B"/>
    <w:rsid w:val="00367B70"/>
    <w:rsid w:val="003703D7"/>
    <w:rsid w:val="003724F7"/>
    <w:rsid w:val="00373186"/>
    <w:rsid w:val="0037463D"/>
    <w:rsid w:val="003748F3"/>
    <w:rsid w:val="00376A9D"/>
    <w:rsid w:val="00380435"/>
    <w:rsid w:val="00380705"/>
    <w:rsid w:val="00380BCA"/>
    <w:rsid w:val="003867ED"/>
    <w:rsid w:val="003A0289"/>
    <w:rsid w:val="003A0314"/>
    <w:rsid w:val="003A4FFC"/>
    <w:rsid w:val="003A50EB"/>
    <w:rsid w:val="003A680D"/>
    <w:rsid w:val="003B1F04"/>
    <w:rsid w:val="003B5502"/>
    <w:rsid w:val="003B55DE"/>
    <w:rsid w:val="003B764E"/>
    <w:rsid w:val="003B7CEC"/>
    <w:rsid w:val="003C2E10"/>
    <w:rsid w:val="003C43FA"/>
    <w:rsid w:val="003C695E"/>
    <w:rsid w:val="003C6CE5"/>
    <w:rsid w:val="003D04F3"/>
    <w:rsid w:val="003D15F8"/>
    <w:rsid w:val="003D1F2F"/>
    <w:rsid w:val="003D26CE"/>
    <w:rsid w:val="003E1F0F"/>
    <w:rsid w:val="003E4461"/>
    <w:rsid w:val="003E67F7"/>
    <w:rsid w:val="003F0383"/>
    <w:rsid w:val="003F3CBA"/>
    <w:rsid w:val="003F4B2F"/>
    <w:rsid w:val="003F51D8"/>
    <w:rsid w:val="003F564D"/>
    <w:rsid w:val="003F605E"/>
    <w:rsid w:val="00400AF0"/>
    <w:rsid w:val="0040236B"/>
    <w:rsid w:val="0041131C"/>
    <w:rsid w:val="00412E52"/>
    <w:rsid w:val="00413044"/>
    <w:rsid w:val="00417F9E"/>
    <w:rsid w:val="00421D42"/>
    <w:rsid w:val="00423526"/>
    <w:rsid w:val="004323D9"/>
    <w:rsid w:val="00432CDC"/>
    <w:rsid w:val="004337FC"/>
    <w:rsid w:val="00433F9E"/>
    <w:rsid w:val="00435AFE"/>
    <w:rsid w:val="0043609D"/>
    <w:rsid w:val="00443F63"/>
    <w:rsid w:val="0045160F"/>
    <w:rsid w:val="00451A18"/>
    <w:rsid w:val="0045319F"/>
    <w:rsid w:val="00454308"/>
    <w:rsid w:val="0045668D"/>
    <w:rsid w:val="00460A46"/>
    <w:rsid w:val="004616F3"/>
    <w:rsid w:val="00461B67"/>
    <w:rsid w:val="00464AC6"/>
    <w:rsid w:val="00464EF6"/>
    <w:rsid w:val="00466483"/>
    <w:rsid w:val="00470A3B"/>
    <w:rsid w:val="00471824"/>
    <w:rsid w:val="004727C3"/>
    <w:rsid w:val="0047410A"/>
    <w:rsid w:val="00480B98"/>
    <w:rsid w:val="00482522"/>
    <w:rsid w:val="004842EB"/>
    <w:rsid w:val="004903D6"/>
    <w:rsid w:val="00492A89"/>
    <w:rsid w:val="00493E24"/>
    <w:rsid w:val="00495235"/>
    <w:rsid w:val="0049792E"/>
    <w:rsid w:val="004A0C9B"/>
    <w:rsid w:val="004A1381"/>
    <w:rsid w:val="004A4EEC"/>
    <w:rsid w:val="004A6153"/>
    <w:rsid w:val="004A638A"/>
    <w:rsid w:val="004A7902"/>
    <w:rsid w:val="004A7CDC"/>
    <w:rsid w:val="004B086E"/>
    <w:rsid w:val="004B22F7"/>
    <w:rsid w:val="004B2725"/>
    <w:rsid w:val="004B3674"/>
    <w:rsid w:val="004B42C7"/>
    <w:rsid w:val="004B471D"/>
    <w:rsid w:val="004B6CBB"/>
    <w:rsid w:val="004C4198"/>
    <w:rsid w:val="004C61BA"/>
    <w:rsid w:val="004D0342"/>
    <w:rsid w:val="004D0C60"/>
    <w:rsid w:val="004D0D74"/>
    <w:rsid w:val="004D1A9D"/>
    <w:rsid w:val="004D3EC7"/>
    <w:rsid w:val="004D53D5"/>
    <w:rsid w:val="004D5B4A"/>
    <w:rsid w:val="004D68C4"/>
    <w:rsid w:val="004E2038"/>
    <w:rsid w:val="004E2F5B"/>
    <w:rsid w:val="004F00D8"/>
    <w:rsid w:val="004F0F24"/>
    <w:rsid w:val="004F2506"/>
    <w:rsid w:val="004F699F"/>
    <w:rsid w:val="005002F0"/>
    <w:rsid w:val="005010B6"/>
    <w:rsid w:val="00502578"/>
    <w:rsid w:val="0050289D"/>
    <w:rsid w:val="005028DD"/>
    <w:rsid w:val="00520161"/>
    <w:rsid w:val="005251FB"/>
    <w:rsid w:val="005302E3"/>
    <w:rsid w:val="00530F85"/>
    <w:rsid w:val="00532051"/>
    <w:rsid w:val="0053414A"/>
    <w:rsid w:val="005439A7"/>
    <w:rsid w:val="005449DF"/>
    <w:rsid w:val="00551740"/>
    <w:rsid w:val="00551B73"/>
    <w:rsid w:val="0055430B"/>
    <w:rsid w:val="005562FF"/>
    <w:rsid w:val="005565EB"/>
    <w:rsid w:val="0056176B"/>
    <w:rsid w:val="00561976"/>
    <w:rsid w:val="00562103"/>
    <w:rsid w:val="00562DD3"/>
    <w:rsid w:val="00566836"/>
    <w:rsid w:val="0057011C"/>
    <w:rsid w:val="00572F15"/>
    <w:rsid w:val="00574101"/>
    <w:rsid w:val="00574D60"/>
    <w:rsid w:val="00576BA9"/>
    <w:rsid w:val="00580C7F"/>
    <w:rsid w:val="00582234"/>
    <w:rsid w:val="0058634F"/>
    <w:rsid w:val="005904FC"/>
    <w:rsid w:val="00590B73"/>
    <w:rsid w:val="00590C3E"/>
    <w:rsid w:val="00594FEE"/>
    <w:rsid w:val="005963F2"/>
    <w:rsid w:val="00597921"/>
    <w:rsid w:val="005A10E5"/>
    <w:rsid w:val="005A141F"/>
    <w:rsid w:val="005A5060"/>
    <w:rsid w:val="005A7426"/>
    <w:rsid w:val="005B18FB"/>
    <w:rsid w:val="005B3467"/>
    <w:rsid w:val="005B46EA"/>
    <w:rsid w:val="005B51A6"/>
    <w:rsid w:val="005B623D"/>
    <w:rsid w:val="005B6F1E"/>
    <w:rsid w:val="005C0367"/>
    <w:rsid w:val="005C3A5E"/>
    <w:rsid w:val="005C47EB"/>
    <w:rsid w:val="005C4BBF"/>
    <w:rsid w:val="005C60EE"/>
    <w:rsid w:val="005C75CA"/>
    <w:rsid w:val="005D45D4"/>
    <w:rsid w:val="005D55E7"/>
    <w:rsid w:val="005D5808"/>
    <w:rsid w:val="005D5D52"/>
    <w:rsid w:val="005E2E87"/>
    <w:rsid w:val="005E5CDB"/>
    <w:rsid w:val="005E6E86"/>
    <w:rsid w:val="005F1BAA"/>
    <w:rsid w:val="005F2426"/>
    <w:rsid w:val="005F2AFB"/>
    <w:rsid w:val="005F32DD"/>
    <w:rsid w:val="005F5418"/>
    <w:rsid w:val="005F6045"/>
    <w:rsid w:val="00600A72"/>
    <w:rsid w:val="00601052"/>
    <w:rsid w:val="006062AB"/>
    <w:rsid w:val="00607FB9"/>
    <w:rsid w:val="006106C8"/>
    <w:rsid w:val="00610C16"/>
    <w:rsid w:val="00610DC1"/>
    <w:rsid w:val="00617431"/>
    <w:rsid w:val="006221CC"/>
    <w:rsid w:val="00622597"/>
    <w:rsid w:val="00622B8B"/>
    <w:rsid w:val="006271C9"/>
    <w:rsid w:val="0062794E"/>
    <w:rsid w:val="00627CC2"/>
    <w:rsid w:val="00631F87"/>
    <w:rsid w:val="006324CB"/>
    <w:rsid w:val="006327E5"/>
    <w:rsid w:val="00637BE0"/>
    <w:rsid w:val="00640419"/>
    <w:rsid w:val="00640A32"/>
    <w:rsid w:val="00642C4C"/>
    <w:rsid w:val="00642E91"/>
    <w:rsid w:val="0065149F"/>
    <w:rsid w:val="00654261"/>
    <w:rsid w:val="006600E5"/>
    <w:rsid w:val="00663E1E"/>
    <w:rsid w:val="00664222"/>
    <w:rsid w:val="0066446C"/>
    <w:rsid w:val="00665BE1"/>
    <w:rsid w:val="0066613C"/>
    <w:rsid w:val="006740E9"/>
    <w:rsid w:val="00674DB3"/>
    <w:rsid w:val="00675935"/>
    <w:rsid w:val="006804AE"/>
    <w:rsid w:val="0068101F"/>
    <w:rsid w:val="00681FC2"/>
    <w:rsid w:val="0068220E"/>
    <w:rsid w:val="00682B1C"/>
    <w:rsid w:val="00685C1F"/>
    <w:rsid w:val="006868EC"/>
    <w:rsid w:val="00690632"/>
    <w:rsid w:val="00691744"/>
    <w:rsid w:val="006924B8"/>
    <w:rsid w:val="00693A34"/>
    <w:rsid w:val="0069559A"/>
    <w:rsid w:val="00697302"/>
    <w:rsid w:val="006976C2"/>
    <w:rsid w:val="006A01AA"/>
    <w:rsid w:val="006A01B6"/>
    <w:rsid w:val="006A4EBB"/>
    <w:rsid w:val="006A6153"/>
    <w:rsid w:val="006B0CE1"/>
    <w:rsid w:val="006B0DDB"/>
    <w:rsid w:val="006B29D9"/>
    <w:rsid w:val="006B3E2D"/>
    <w:rsid w:val="006C0A45"/>
    <w:rsid w:val="006C1452"/>
    <w:rsid w:val="006C2247"/>
    <w:rsid w:val="006C2CF9"/>
    <w:rsid w:val="006C7DB9"/>
    <w:rsid w:val="006D030F"/>
    <w:rsid w:val="006D4704"/>
    <w:rsid w:val="006D58C7"/>
    <w:rsid w:val="006D62D8"/>
    <w:rsid w:val="006D67FF"/>
    <w:rsid w:val="006E25E1"/>
    <w:rsid w:val="006E2FE6"/>
    <w:rsid w:val="006E68C8"/>
    <w:rsid w:val="006E7835"/>
    <w:rsid w:val="006F0DD2"/>
    <w:rsid w:val="006F15A2"/>
    <w:rsid w:val="006F19BC"/>
    <w:rsid w:val="006F4110"/>
    <w:rsid w:val="006F7988"/>
    <w:rsid w:val="007041A3"/>
    <w:rsid w:val="00706AE8"/>
    <w:rsid w:val="00710D9D"/>
    <w:rsid w:val="00711737"/>
    <w:rsid w:val="00711787"/>
    <w:rsid w:val="00715720"/>
    <w:rsid w:val="00720A69"/>
    <w:rsid w:val="007233B9"/>
    <w:rsid w:val="00723CA9"/>
    <w:rsid w:val="00727147"/>
    <w:rsid w:val="007303B8"/>
    <w:rsid w:val="00730F2C"/>
    <w:rsid w:val="00731383"/>
    <w:rsid w:val="0073297D"/>
    <w:rsid w:val="007333C8"/>
    <w:rsid w:val="00733DF4"/>
    <w:rsid w:val="00734A96"/>
    <w:rsid w:val="007357E2"/>
    <w:rsid w:val="007365B8"/>
    <w:rsid w:val="00737968"/>
    <w:rsid w:val="00741FC6"/>
    <w:rsid w:val="0074344F"/>
    <w:rsid w:val="0074380A"/>
    <w:rsid w:val="00744D9A"/>
    <w:rsid w:val="00745EB8"/>
    <w:rsid w:val="00746E80"/>
    <w:rsid w:val="00746ECF"/>
    <w:rsid w:val="00747597"/>
    <w:rsid w:val="0075248A"/>
    <w:rsid w:val="0075321D"/>
    <w:rsid w:val="00753B27"/>
    <w:rsid w:val="0075452E"/>
    <w:rsid w:val="00757098"/>
    <w:rsid w:val="007576C1"/>
    <w:rsid w:val="0076139E"/>
    <w:rsid w:val="00763B85"/>
    <w:rsid w:val="00764894"/>
    <w:rsid w:val="007656C6"/>
    <w:rsid w:val="00765A25"/>
    <w:rsid w:val="00771326"/>
    <w:rsid w:val="00772B56"/>
    <w:rsid w:val="00776D53"/>
    <w:rsid w:val="00777505"/>
    <w:rsid w:val="0078055F"/>
    <w:rsid w:val="0078084C"/>
    <w:rsid w:val="007810B0"/>
    <w:rsid w:val="00783C71"/>
    <w:rsid w:val="00784A77"/>
    <w:rsid w:val="007855C2"/>
    <w:rsid w:val="007870DB"/>
    <w:rsid w:val="00790639"/>
    <w:rsid w:val="00791D77"/>
    <w:rsid w:val="00791FDE"/>
    <w:rsid w:val="007924EE"/>
    <w:rsid w:val="00792919"/>
    <w:rsid w:val="00794998"/>
    <w:rsid w:val="00795A39"/>
    <w:rsid w:val="00797986"/>
    <w:rsid w:val="007A0DB7"/>
    <w:rsid w:val="007A23FB"/>
    <w:rsid w:val="007A3295"/>
    <w:rsid w:val="007A3E75"/>
    <w:rsid w:val="007A4328"/>
    <w:rsid w:val="007A52AA"/>
    <w:rsid w:val="007A7211"/>
    <w:rsid w:val="007B0C32"/>
    <w:rsid w:val="007B3BF3"/>
    <w:rsid w:val="007B4E79"/>
    <w:rsid w:val="007C0A9C"/>
    <w:rsid w:val="007C38C0"/>
    <w:rsid w:val="007C47EB"/>
    <w:rsid w:val="007C79D4"/>
    <w:rsid w:val="007D0740"/>
    <w:rsid w:val="007D0896"/>
    <w:rsid w:val="007D0A04"/>
    <w:rsid w:val="007D4722"/>
    <w:rsid w:val="007D49CF"/>
    <w:rsid w:val="007E480F"/>
    <w:rsid w:val="007E4D57"/>
    <w:rsid w:val="007E73E3"/>
    <w:rsid w:val="007E7E6A"/>
    <w:rsid w:val="007F0430"/>
    <w:rsid w:val="007F04A3"/>
    <w:rsid w:val="007F168E"/>
    <w:rsid w:val="007F2097"/>
    <w:rsid w:val="007F2126"/>
    <w:rsid w:val="007F2285"/>
    <w:rsid w:val="007F3397"/>
    <w:rsid w:val="007F36A6"/>
    <w:rsid w:val="007F3911"/>
    <w:rsid w:val="007F5AB8"/>
    <w:rsid w:val="0080287D"/>
    <w:rsid w:val="00802E9F"/>
    <w:rsid w:val="008051DD"/>
    <w:rsid w:val="00806FC9"/>
    <w:rsid w:val="0080745B"/>
    <w:rsid w:val="00810724"/>
    <w:rsid w:val="00812756"/>
    <w:rsid w:val="0081396E"/>
    <w:rsid w:val="00824BFA"/>
    <w:rsid w:val="00825854"/>
    <w:rsid w:val="008258E3"/>
    <w:rsid w:val="00826F11"/>
    <w:rsid w:val="008272C9"/>
    <w:rsid w:val="0083105E"/>
    <w:rsid w:val="008336C7"/>
    <w:rsid w:val="00833783"/>
    <w:rsid w:val="008340B6"/>
    <w:rsid w:val="00836568"/>
    <w:rsid w:val="008406AD"/>
    <w:rsid w:val="00840C4F"/>
    <w:rsid w:val="00841631"/>
    <w:rsid w:val="00841980"/>
    <w:rsid w:val="00843297"/>
    <w:rsid w:val="008438E1"/>
    <w:rsid w:val="0085056B"/>
    <w:rsid w:val="008521CA"/>
    <w:rsid w:val="0085238D"/>
    <w:rsid w:val="00853F5B"/>
    <w:rsid w:val="008547FD"/>
    <w:rsid w:val="00854D1C"/>
    <w:rsid w:val="00856E70"/>
    <w:rsid w:val="00861BD3"/>
    <w:rsid w:val="0086773A"/>
    <w:rsid w:val="00871BF2"/>
    <w:rsid w:val="00873D0E"/>
    <w:rsid w:val="008740C1"/>
    <w:rsid w:val="0087480F"/>
    <w:rsid w:val="00874B6F"/>
    <w:rsid w:val="00880B23"/>
    <w:rsid w:val="00880EE4"/>
    <w:rsid w:val="00882F59"/>
    <w:rsid w:val="00886597"/>
    <w:rsid w:val="008900DC"/>
    <w:rsid w:val="008902CB"/>
    <w:rsid w:val="00890957"/>
    <w:rsid w:val="00891E11"/>
    <w:rsid w:val="008929C8"/>
    <w:rsid w:val="00893BEC"/>
    <w:rsid w:val="0089433A"/>
    <w:rsid w:val="00895897"/>
    <w:rsid w:val="008964D9"/>
    <w:rsid w:val="008A0317"/>
    <w:rsid w:val="008A1159"/>
    <w:rsid w:val="008A27C0"/>
    <w:rsid w:val="008A504B"/>
    <w:rsid w:val="008B01A7"/>
    <w:rsid w:val="008B12DD"/>
    <w:rsid w:val="008B1E56"/>
    <w:rsid w:val="008B318A"/>
    <w:rsid w:val="008C006C"/>
    <w:rsid w:val="008C0B54"/>
    <w:rsid w:val="008C1A07"/>
    <w:rsid w:val="008C23DB"/>
    <w:rsid w:val="008C475C"/>
    <w:rsid w:val="008C478F"/>
    <w:rsid w:val="008C5597"/>
    <w:rsid w:val="008C764C"/>
    <w:rsid w:val="008D01FB"/>
    <w:rsid w:val="008D560D"/>
    <w:rsid w:val="008D6D87"/>
    <w:rsid w:val="008D6D9D"/>
    <w:rsid w:val="008E2C09"/>
    <w:rsid w:val="008E37E8"/>
    <w:rsid w:val="008E3F69"/>
    <w:rsid w:val="008E5CE5"/>
    <w:rsid w:val="008E61DA"/>
    <w:rsid w:val="008E64D0"/>
    <w:rsid w:val="008E698E"/>
    <w:rsid w:val="008E7444"/>
    <w:rsid w:val="008F0B47"/>
    <w:rsid w:val="008F3222"/>
    <w:rsid w:val="008F3332"/>
    <w:rsid w:val="008F4981"/>
    <w:rsid w:val="008F4D31"/>
    <w:rsid w:val="008F6D2E"/>
    <w:rsid w:val="0090155B"/>
    <w:rsid w:val="00901805"/>
    <w:rsid w:val="00904DB1"/>
    <w:rsid w:val="00912C29"/>
    <w:rsid w:val="0091366A"/>
    <w:rsid w:val="009137EE"/>
    <w:rsid w:val="00913F7F"/>
    <w:rsid w:val="00914746"/>
    <w:rsid w:val="0091774A"/>
    <w:rsid w:val="009229A6"/>
    <w:rsid w:val="009230C2"/>
    <w:rsid w:val="0092601F"/>
    <w:rsid w:val="009269F0"/>
    <w:rsid w:val="0093009F"/>
    <w:rsid w:val="00931D83"/>
    <w:rsid w:val="0093450A"/>
    <w:rsid w:val="009357CF"/>
    <w:rsid w:val="00935B88"/>
    <w:rsid w:val="0094006F"/>
    <w:rsid w:val="0094409D"/>
    <w:rsid w:val="00945011"/>
    <w:rsid w:val="00951124"/>
    <w:rsid w:val="009609DF"/>
    <w:rsid w:val="009622EA"/>
    <w:rsid w:val="00965312"/>
    <w:rsid w:val="00970E5C"/>
    <w:rsid w:val="0097238F"/>
    <w:rsid w:val="0097478F"/>
    <w:rsid w:val="00977513"/>
    <w:rsid w:val="009828DB"/>
    <w:rsid w:val="00982AAB"/>
    <w:rsid w:val="009841EA"/>
    <w:rsid w:val="009861AE"/>
    <w:rsid w:val="00986D40"/>
    <w:rsid w:val="00990C27"/>
    <w:rsid w:val="00994121"/>
    <w:rsid w:val="00994FF0"/>
    <w:rsid w:val="00995C66"/>
    <w:rsid w:val="009A0BBE"/>
    <w:rsid w:val="009A2782"/>
    <w:rsid w:val="009A33D0"/>
    <w:rsid w:val="009A3B1F"/>
    <w:rsid w:val="009A3C1D"/>
    <w:rsid w:val="009A5962"/>
    <w:rsid w:val="009A5C68"/>
    <w:rsid w:val="009A7048"/>
    <w:rsid w:val="009B1286"/>
    <w:rsid w:val="009B1C71"/>
    <w:rsid w:val="009B3825"/>
    <w:rsid w:val="009B4459"/>
    <w:rsid w:val="009B505A"/>
    <w:rsid w:val="009C2045"/>
    <w:rsid w:val="009C3D97"/>
    <w:rsid w:val="009C5861"/>
    <w:rsid w:val="009C5F28"/>
    <w:rsid w:val="009D06EC"/>
    <w:rsid w:val="009D08C5"/>
    <w:rsid w:val="009D2BE7"/>
    <w:rsid w:val="009D3315"/>
    <w:rsid w:val="009D4CA8"/>
    <w:rsid w:val="009D50EE"/>
    <w:rsid w:val="009D76F1"/>
    <w:rsid w:val="009E026E"/>
    <w:rsid w:val="009E1233"/>
    <w:rsid w:val="009E21CE"/>
    <w:rsid w:val="009E43FF"/>
    <w:rsid w:val="009E45EF"/>
    <w:rsid w:val="009E6DA8"/>
    <w:rsid w:val="009F1B43"/>
    <w:rsid w:val="009F2BB2"/>
    <w:rsid w:val="009F3289"/>
    <w:rsid w:val="009F74DC"/>
    <w:rsid w:val="00A013E1"/>
    <w:rsid w:val="00A02E25"/>
    <w:rsid w:val="00A03579"/>
    <w:rsid w:val="00A065FF"/>
    <w:rsid w:val="00A23C4E"/>
    <w:rsid w:val="00A25DBE"/>
    <w:rsid w:val="00A27891"/>
    <w:rsid w:val="00A27D35"/>
    <w:rsid w:val="00A32232"/>
    <w:rsid w:val="00A32539"/>
    <w:rsid w:val="00A35371"/>
    <w:rsid w:val="00A37EC1"/>
    <w:rsid w:val="00A407CF"/>
    <w:rsid w:val="00A409C3"/>
    <w:rsid w:val="00A4478F"/>
    <w:rsid w:val="00A451F0"/>
    <w:rsid w:val="00A52B0E"/>
    <w:rsid w:val="00A53CD5"/>
    <w:rsid w:val="00A62281"/>
    <w:rsid w:val="00A64774"/>
    <w:rsid w:val="00A65782"/>
    <w:rsid w:val="00A65EDA"/>
    <w:rsid w:val="00A70459"/>
    <w:rsid w:val="00A7146B"/>
    <w:rsid w:val="00A734AE"/>
    <w:rsid w:val="00A74B8E"/>
    <w:rsid w:val="00A80F61"/>
    <w:rsid w:val="00A82EAA"/>
    <w:rsid w:val="00A853A6"/>
    <w:rsid w:val="00A909F1"/>
    <w:rsid w:val="00A919A3"/>
    <w:rsid w:val="00A92D98"/>
    <w:rsid w:val="00A93337"/>
    <w:rsid w:val="00A93B36"/>
    <w:rsid w:val="00A94B4D"/>
    <w:rsid w:val="00A94FE1"/>
    <w:rsid w:val="00A95C86"/>
    <w:rsid w:val="00A96B60"/>
    <w:rsid w:val="00A97C53"/>
    <w:rsid w:val="00AA3FDC"/>
    <w:rsid w:val="00AA632D"/>
    <w:rsid w:val="00AB0931"/>
    <w:rsid w:val="00AB2066"/>
    <w:rsid w:val="00AB51C2"/>
    <w:rsid w:val="00AB6158"/>
    <w:rsid w:val="00AB748B"/>
    <w:rsid w:val="00AC7584"/>
    <w:rsid w:val="00AD345B"/>
    <w:rsid w:val="00AD397E"/>
    <w:rsid w:val="00AD4781"/>
    <w:rsid w:val="00AD6ADC"/>
    <w:rsid w:val="00AD7768"/>
    <w:rsid w:val="00AD779F"/>
    <w:rsid w:val="00AD7D8C"/>
    <w:rsid w:val="00AE0909"/>
    <w:rsid w:val="00AE2F5B"/>
    <w:rsid w:val="00AE308C"/>
    <w:rsid w:val="00AF1A9D"/>
    <w:rsid w:val="00AF1F90"/>
    <w:rsid w:val="00AF2248"/>
    <w:rsid w:val="00AF596B"/>
    <w:rsid w:val="00B0014B"/>
    <w:rsid w:val="00B03423"/>
    <w:rsid w:val="00B04CF1"/>
    <w:rsid w:val="00B0561F"/>
    <w:rsid w:val="00B0607E"/>
    <w:rsid w:val="00B11910"/>
    <w:rsid w:val="00B12DE7"/>
    <w:rsid w:val="00B147D8"/>
    <w:rsid w:val="00B1706B"/>
    <w:rsid w:val="00B17284"/>
    <w:rsid w:val="00B17492"/>
    <w:rsid w:val="00B2376F"/>
    <w:rsid w:val="00B267C9"/>
    <w:rsid w:val="00B323E4"/>
    <w:rsid w:val="00B32591"/>
    <w:rsid w:val="00B351D1"/>
    <w:rsid w:val="00B358A3"/>
    <w:rsid w:val="00B35AC2"/>
    <w:rsid w:val="00B37DD7"/>
    <w:rsid w:val="00B41A82"/>
    <w:rsid w:val="00B464A8"/>
    <w:rsid w:val="00B4793E"/>
    <w:rsid w:val="00B51C29"/>
    <w:rsid w:val="00B530A0"/>
    <w:rsid w:val="00B56F75"/>
    <w:rsid w:val="00B65042"/>
    <w:rsid w:val="00B757CC"/>
    <w:rsid w:val="00B75B2E"/>
    <w:rsid w:val="00B76F64"/>
    <w:rsid w:val="00B77929"/>
    <w:rsid w:val="00B81128"/>
    <w:rsid w:val="00B835F4"/>
    <w:rsid w:val="00B84462"/>
    <w:rsid w:val="00B845EE"/>
    <w:rsid w:val="00B8510A"/>
    <w:rsid w:val="00B85905"/>
    <w:rsid w:val="00B861F0"/>
    <w:rsid w:val="00B8628A"/>
    <w:rsid w:val="00B907DE"/>
    <w:rsid w:val="00B94DF8"/>
    <w:rsid w:val="00B9567A"/>
    <w:rsid w:val="00BA190F"/>
    <w:rsid w:val="00BA5DBF"/>
    <w:rsid w:val="00BA6CD9"/>
    <w:rsid w:val="00BA727D"/>
    <w:rsid w:val="00BA74F8"/>
    <w:rsid w:val="00BA7FAA"/>
    <w:rsid w:val="00BB1925"/>
    <w:rsid w:val="00BB1FBA"/>
    <w:rsid w:val="00BB2E0C"/>
    <w:rsid w:val="00BB3632"/>
    <w:rsid w:val="00BB3D99"/>
    <w:rsid w:val="00BB417D"/>
    <w:rsid w:val="00BB6CB6"/>
    <w:rsid w:val="00BB7194"/>
    <w:rsid w:val="00BC3026"/>
    <w:rsid w:val="00BC4116"/>
    <w:rsid w:val="00BC6111"/>
    <w:rsid w:val="00BD0488"/>
    <w:rsid w:val="00BD0CF3"/>
    <w:rsid w:val="00BD0D48"/>
    <w:rsid w:val="00BD2572"/>
    <w:rsid w:val="00BD3957"/>
    <w:rsid w:val="00BD4C21"/>
    <w:rsid w:val="00BD70A0"/>
    <w:rsid w:val="00BD7763"/>
    <w:rsid w:val="00BE0487"/>
    <w:rsid w:val="00BE1150"/>
    <w:rsid w:val="00BE2A89"/>
    <w:rsid w:val="00BE2F5F"/>
    <w:rsid w:val="00BE675D"/>
    <w:rsid w:val="00BE795B"/>
    <w:rsid w:val="00BF3C33"/>
    <w:rsid w:val="00BF568F"/>
    <w:rsid w:val="00BF5F98"/>
    <w:rsid w:val="00BF694D"/>
    <w:rsid w:val="00C00A97"/>
    <w:rsid w:val="00C06201"/>
    <w:rsid w:val="00C0724D"/>
    <w:rsid w:val="00C07A30"/>
    <w:rsid w:val="00C1126C"/>
    <w:rsid w:val="00C117DB"/>
    <w:rsid w:val="00C11E58"/>
    <w:rsid w:val="00C12711"/>
    <w:rsid w:val="00C1389C"/>
    <w:rsid w:val="00C15A41"/>
    <w:rsid w:val="00C16201"/>
    <w:rsid w:val="00C22012"/>
    <w:rsid w:val="00C227F7"/>
    <w:rsid w:val="00C24210"/>
    <w:rsid w:val="00C2532B"/>
    <w:rsid w:val="00C254BD"/>
    <w:rsid w:val="00C30C93"/>
    <w:rsid w:val="00C31C04"/>
    <w:rsid w:val="00C33795"/>
    <w:rsid w:val="00C34226"/>
    <w:rsid w:val="00C35D1C"/>
    <w:rsid w:val="00C41F6C"/>
    <w:rsid w:val="00C42064"/>
    <w:rsid w:val="00C4468D"/>
    <w:rsid w:val="00C46950"/>
    <w:rsid w:val="00C47310"/>
    <w:rsid w:val="00C507C6"/>
    <w:rsid w:val="00C5130E"/>
    <w:rsid w:val="00C572BB"/>
    <w:rsid w:val="00C57DF2"/>
    <w:rsid w:val="00C63F15"/>
    <w:rsid w:val="00C760B9"/>
    <w:rsid w:val="00C764A3"/>
    <w:rsid w:val="00C901FC"/>
    <w:rsid w:val="00C941FC"/>
    <w:rsid w:val="00C9431F"/>
    <w:rsid w:val="00C95E82"/>
    <w:rsid w:val="00CA2221"/>
    <w:rsid w:val="00CA3175"/>
    <w:rsid w:val="00CB0C23"/>
    <w:rsid w:val="00CB113E"/>
    <w:rsid w:val="00CB2669"/>
    <w:rsid w:val="00CB3B4F"/>
    <w:rsid w:val="00CB68BB"/>
    <w:rsid w:val="00CB68C3"/>
    <w:rsid w:val="00CC5E55"/>
    <w:rsid w:val="00CD2450"/>
    <w:rsid w:val="00CD46F2"/>
    <w:rsid w:val="00CD4D0C"/>
    <w:rsid w:val="00CD6875"/>
    <w:rsid w:val="00CE38A4"/>
    <w:rsid w:val="00CE426B"/>
    <w:rsid w:val="00CF024F"/>
    <w:rsid w:val="00CF05ED"/>
    <w:rsid w:val="00CF13DC"/>
    <w:rsid w:val="00CF2782"/>
    <w:rsid w:val="00CF2867"/>
    <w:rsid w:val="00CF476A"/>
    <w:rsid w:val="00CF551B"/>
    <w:rsid w:val="00D0044D"/>
    <w:rsid w:val="00D01AAF"/>
    <w:rsid w:val="00D0582F"/>
    <w:rsid w:val="00D0675E"/>
    <w:rsid w:val="00D11146"/>
    <w:rsid w:val="00D11D8D"/>
    <w:rsid w:val="00D12C55"/>
    <w:rsid w:val="00D1307A"/>
    <w:rsid w:val="00D139A8"/>
    <w:rsid w:val="00D16DBA"/>
    <w:rsid w:val="00D20694"/>
    <w:rsid w:val="00D21675"/>
    <w:rsid w:val="00D22BB3"/>
    <w:rsid w:val="00D23FC1"/>
    <w:rsid w:val="00D24489"/>
    <w:rsid w:val="00D24EB7"/>
    <w:rsid w:val="00D30DA7"/>
    <w:rsid w:val="00D31BC8"/>
    <w:rsid w:val="00D32E7A"/>
    <w:rsid w:val="00D34418"/>
    <w:rsid w:val="00D34D00"/>
    <w:rsid w:val="00D37011"/>
    <w:rsid w:val="00D379B1"/>
    <w:rsid w:val="00D43C95"/>
    <w:rsid w:val="00D449EE"/>
    <w:rsid w:val="00D4664A"/>
    <w:rsid w:val="00D46C52"/>
    <w:rsid w:val="00D50211"/>
    <w:rsid w:val="00D509A4"/>
    <w:rsid w:val="00D50BA7"/>
    <w:rsid w:val="00D510DC"/>
    <w:rsid w:val="00D514AD"/>
    <w:rsid w:val="00D526F3"/>
    <w:rsid w:val="00D52BAD"/>
    <w:rsid w:val="00D53A02"/>
    <w:rsid w:val="00D53D69"/>
    <w:rsid w:val="00D541D0"/>
    <w:rsid w:val="00D564A0"/>
    <w:rsid w:val="00D57423"/>
    <w:rsid w:val="00D61E0D"/>
    <w:rsid w:val="00D623C4"/>
    <w:rsid w:val="00D6643B"/>
    <w:rsid w:val="00D70738"/>
    <w:rsid w:val="00D77A77"/>
    <w:rsid w:val="00D81A78"/>
    <w:rsid w:val="00D8309E"/>
    <w:rsid w:val="00D837FD"/>
    <w:rsid w:val="00D84285"/>
    <w:rsid w:val="00D8532E"/>
    <w:rsid w:val="00D869AE"/>
    <w:rsid w:val="00D86E24"/>
    <w:rsid w:val="00D945C0"/>
    <w:rsid w:val="00D95D70"/>
    <w:rsid w:val="00D962A5"/>
    <w:rsid w:val="00D96E4E"/>
    <w:rsid w:val="00D96F72"/>
    <w:rsid w:val="00D96FEE"/>
    <w:rsid w:val="00DA3AD7"/>
    <w:rsid w:val="00DA4DB8"/>
    <w:rsid w:val="00DB0320"/>
    <w:rsid w:val="00DB1405"/>
    <w:rsid w:val="00DB17DA"/>
    <w:rsid w:val="00DB2597"/>
    <w:rsid w:val="00DB48F2"/>
    <w:rsid w:val="00DB7597"/>
    <w:rsid w:val="00DC29F6"/>
    <w:rsid w:val="00DC52A2"/>
    <w:rsid w:val="00DC780F"/>
    <w:rsid w:val="00DD00E5"/>
    <w:rsid w:val="00DD0248"/>
    <w:rsid w:val="00DD0728"/>
    <w:rsid w:val="00DD2774"/>
    <w:rsid w:val="00DD3CB4"/>
    <w:rsid w:val="00DD4B5E"/>
    <w:rsid w:val="00DD4D56"/>
    <w:rsid w:val="00DD59D3"/>
    <w:rsid w:val="00DD6E5E"/>
    <w:rsid w:val="00DD7490"/>
    <w:rsid w:val="00DE2C55"/>
    <w:rsid w:val="00DE2E45"/>
    <w:rsid w:val="00DF1C7A"/>
    <w:rsid w:val="00DF3C4F"/>
    <w:rsid w:val="00DF4BF5"/>
    <w:rsid w:val="00DF5622"/>
    <w:rsid w:val="00DF620C"/>
    <w:rsid w:val="00E00DCD"/>
    <w:rsid w:val="00E01C87"/>
    <w:rsid w:val="00E04624"/>
    <w:rsid w:val="00E07CB1"/>
    <w:rsid w:val="00E125A1"/>
    <w:rsid w:val="00E13001"/>
    <w:rsid w:val="00E206AC"/>
    <w:rsid w:val="00E220B2"/>
    <w:rsid w:val="00E22661"/>
    <w:rsid w:val="00E23DE7"/>
    <w:rsid w:val="00E24019"/>
    <w:rsid w:val="00E26A5F"/>
    <w:rsid w:val="00E30BCC"/>
    <w:rsid w:val="00E31345"/>
    <w:rsid w:val="00E32E4B"/>
    <w:rsid w:val="00E332FE"/>
    <w:rsid w:val="00E338C0"/>
    <w:rsid w:val="00E34C4A"/>
    <w:rsid w:val="00E4211B"/>
    <w:rsid w:val="00E4267C"/>
    <w:rsid w:val="00E43C99"/>
    <w:rsid w:val="00E43F5E"/>
    <w:rsid w:val="00E46974"/>
    <w:rsid w:val="00E534CC"/>
    <w:rsid w:val="00E55A3B"/>
    <w:rsid w:val="00E624F5"/>
    <w:rsid w:val="00E6372C"/>
    <w:rsid w:val="00E641BE"/>
    <w:rsid w:val="00E70FA2"/>
    <w:rsid w:val="00E7120F"/>
    <w:rsid w:val="00E753EA"/>
    <w:rsid w:val="00E8170B"/>
    <w:rsid w:val="00E836B5"/>
    <w:rsid w:val="00E84DF7"/>
    <w:rsid w:val="00E862C9"/>
    <w:rsid w:val="00E964A9"/>
    <w:rsid w:val="00E96E9B"/>
    <w:rsid w:val="00E97ED8"/>
    <w:rsid w:val="00EA1171"/>
    <w:rsid w:val="00EA64CF"/>
    <w:rsid w:val="00EA7284"/>
    <w:rsid w:val="00EB1C36"/>
    <w:rsid w:val="00EB21A9"/>
    <w:rsid w:val="00EB2E61"/>
    <w:rsid w:val="00EB31BC"/>
    <w:rsid w:val="00EB3399"/>
    <w:rsid w:val="00EB3536"/>
    <w:rsid w:val="00EB370A"/>
    <w:rsid w:val="00EB48C0"/>
    <w:rsid w:val="00EC16A5"/>
    <w:rsid w:val="00ED0AA9"/>
    <w:rsid w:val="00ED148C"/>
    <w:rsid w:val="00ED4D3D"/>
    <w:rsid w:val="00ED65A1"/>
    <w:rsid w:val="00ED6975"/>
    <w:rsid w:val="00EE19CA"/>
    <w:rsid w:val="00EE20CD"/>
    <w:rsid w:val="00EE3541"/>
    <w:rsid w:val="00EE4E40"/>
    <w:rsid w:val="00EE640A"/>
    <w:rsid w:val="00EE7C4A"/>
    <w:rsid w:val="00EF0B82"/>
    <w:rsid w:val="00EF1E3D"/>
    <w:rsid w:val="00EF3639"/>
    <w:rsid w:val="00EF5D13"/>
    <w:rsid w:val="00EF65A5"/>
    <w:rsid w:val="00F016DA"/>
    <w:rsid w:val="00F03437"/>
    <w:rsid w:val="00F04F00"/>
    <w:rsid w:val="00F06066"/>
    <w:rsid w:val="00F0723D"/>
    <w:rsid w:val="00F1001E"/>
    <w:rsid w:val="00F12502"/>
    <w:rsid w:val="00F12BD7"/>
    <w:rsid w:val="00F206F3"/>
    <w:rsid w:val="00F24741"/>
    <w:rsid w:val="00F26CC7"/>
    <w:rsid w:val="00F274C7"/>
    <w:rsid w:val="00F34875"/>
    <w:rsid w:val="00F34892"/>
    <w:rsid w:val="00F35652"/>
    <w:rsid w:val="00F44697"/>
    <w:rsid w:val="00F455A4"/>
    <w:rsid w:val="00F5067C"/>
    <w:rsid w:val="00F527BC"/>
    <w:rsid w:val="00F53422"/>
    <w:rsid w:val="00F55DE6"/>
    <w:rsid w:val="00F56AA2"/>
    <w:rsid w:val="00F57534"/>
    <w:rsid w:val="00F57772"/>
    <w:rsid w:val="00F6066D"/>
    <w:rsid w:val="00F60F5E"/>
    <w:rsid w:val="00F612E7"/>
    <w:rsid w:val="00F62DB1"/>
    <w:rsid w:val="00F63DD1"/>
    <w:rsid w:val="00F64464"/>
    <w:rsid w:val="00F64595"/>
    <w:rsid w:val="00F65530"/>
    <w:rsid w:val="00F66B32"/>
    <w:rsid w:val="00F67EE6"/>
    <w:rsid w:val="00F701EA"/>
    <w:rsid w:val="00F75491"/>
    <w:rsid w:val="00F76742"/>
    <w:rsid w:val="00F83ACF"/>
    <w:rsid w:val="00F85E07"/>
    <w:rsid w:val="00F86B9C"/>
    <w:rsid w:val="00F87446"/>
    <w:rsid w:val="00F901A6"/>
    <w:rsid w:val="00F93538"/>
    <w:rsid w:val="00F942A9"/>
    <w:rsid w:val="00F9492F"/>
    <w:rsid w:val="00F94E9D"/>
    <w:rsid w:val="00F96E92"/>
    <w:rsid w:val="00FA026A"/>
    <w:rsid w:val="00FA043F"/>
    <w:rsid w:val="00FA1D2F"/>
    <w:rsid w:val="00FA45C7"/>
    <w:rsid w:val="00FA4CE9"/>
    <w:rsid w:val="00FB08C6"/>
    <w:rsid w:val="00FB1E8C"/>
    <w:rsid w:val="00FB2728"/>
    <w:rsid w:val="00FB283F"/>
    <w:rsid w:val="00FB3F93"/>
    <w:rsid w:val="00FB45A8"/>
    <w:rsid w:val="00FB4BB1"/>
    <w:rsid w:val="00FC54DE"/>
    <w:rsid w:val="00FC710A"/>
    <w:rsid w:val="00FD1BBB"/>
    <w:rsid w:val="00FD4026"/>
    <w:rsid w:val="00FD5CF3"/>
    <w:rsid w:val="00FD7776"/>
    <w:rsid w:val="00FE3623"/>
    <w:rsid w:val="00FE6B1D"/>
    <w:rsid w:val="00FE701A"/>
    <w:rsid w:val="00FF1914"/>
    <w:rsid w:val="00FF1C8F"/>
    <w:rsid w:val="00FF73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3CD4"/>
  <w15:docId w15:val="{B3030E62-A63A-4207-8C17-13F4EE58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DBA"/>
    <w:rPr>
      <w:color w:val="FFC000"/>
    </w:rPr>
  </w:style>
  <w:style w:type="paragraph" w:styleId="Titre1">
    <w:name w:val="heading 1"/>
    <w:next w:val="Normal"/>
    <w:link w:val="Titre1Car"/>
    <w:uiPriority w:val="19"/>
    <w:qFormat/>
    <w:rsid w:val="00DF1C7A"/>
    <w:pPr>
      <w:numPr>
        <w:numId w:val="14"/>
      </w:numPr>
      <w:spacing w:before="240" w:after="120"/>
      <w:ind w:left="568" w:hanging="284"/>
      <w:outlineLvl w:val="0"/>
    </w:pPr>
    <w:rPr>
      <w:rFonts w:ascii="Arial" w:hAnsi="Arial"/>
      <w:b/>
    </w:rPr>
  </w:style>
  <w:style w:type="paragraph" w:styleId="Titre2">
    <w:name w:val="heading 2"/>
    <w:next w:val="Normal"/>
    <w:link w:val="Titre2Car"/>
    <w:uiPriority w:val="19"/>
    <w:qFormat/>
    <w:rsid w:val="00DF1C7A"/>
    <w:pPr>
      <w:numPr>
        <w:numId w:val="15"/>
      </w:numPr>
      <w:spacing w:before="240" w:after="120"/>
      <w:ind w:left="1134" w:hanging="567"/>
      <w:outlineLvl w:val="1"/>
    </w:pPr>
    <w:rPr>
      <w:rFonts w:ascii="Arial" w:hAnsi="Arial"/>
      <w:b/>
    </w:rPr>
  </w:style>
  <w:style w:type="paragraph" w:styleId="Titre3">
    <w:name w:val="heading 3"/>
    <w:next w:val="Normal"/>
    <w:link w:val="Titre3Car"/>
    <w:uiPriority w:val="19"/>
    <w:qFormat/>
    <w:rsid w:val="00DF1C7A"/>
    <w:pPr>
      <w:numPr>
        <w:numId w:val="16"/>
      </w:numPr>
      <w:spacing w:before="240" w:after="120"/>
      <w:ind w:left="1701" w:hanging="567"/>
      <w:outlineLvl w:val="2"/>
    </w:pPr>
    <w:rPr>
      <w:rFonts w:ascii="Arial" w:hAnsi="Arial"/>
      <w:b/>
    </w:rPr>
  </w:style>
  <w:style w:type="paragraph" w:styleId="Titre4">
    <w:name w:val="heading 4"/>
    <w:next w:val="Normal"/>
    <w:link w:val="Titre4Car"/>
    <w:uiPriority w:val="19"/>
    <w:qFormat/>
    <w:rsid w:val="00DF1C7A"/>
    <w:pPr>
      <w:numPr>
        <w:numId w:val="17"/>
      </w:numPr>
      <w:spacing w:before="240" w:after="120"/>
      <w:ind w:left="2268" w:hanging="567"/>
      <w:outlineLvl w:val="3"/>
    </w:pPr>
    <w:rPr>
      <w:rFonts w:ascii="Arial" w:hAnsi="Arial"/>
      <w:b/>
    </w:rPr>
  </w:style>
  <w:style w:type="paragraph" w:styleId="Titre5">
    <w:name w:val="heading 5"/>
    <w:next w:val="Normal"/>
    <w:link w:val="Titre5Car"/>
    <w:uiPriority w:val="19"/>
    <w:rsid w:val="006600E5"/>
    <w:pPr>
      <w:outlineLvl w:val="4"/>
    </w:pPr>
  </w:style>
  <w:style w:type="paragraph" w:styleId="Titre6">
    <w:name w:val="heading 6"/>
    <w:next w:val="Normal"/>
    <w:link w:val="Titre6Car"/>
    <w:uiPriority w:val="19"/>
    <w:rsid w:val="006600E5"/>
    <w:pPr>
      <w:outlineLvl w:val="5"/>
    </w:pPr>
  </w:style>
  <w:style w:type="paragraph" w:styleId="Titre7">
    <w:name w:val="heading 7"/>
    <w:next w:val="Normal"/>
    <w:link w:val="Titre7Car"/>
    <w:uiPriority w:val="19"/>
    <w:rsid w:val="006600E5"/>
    <w:pPr>
      <w:outlineLvl w:val="6"/>
    </w:pPr>
  </w:style>
  <w:style w:type="paragraph" w:styleId="Titre8">
    <w:name w:val="heading 8"/>
    <w:next w:val="Normal"/>
    <w:link w:val="Titre8Car"/>
    <w:uiPriority w:val="19"/>
    <w:rsid w:val="006600E5"/>
    <w:pPr>
      <w:outlineLvl w:val="7"/>
    </w:pPr>
  </w:style>
  <w:style w:type="paragraph" w:styleId="Titre9">
    <w:name w:val="heading 9"/>
    <w:next w:val="Normal"/>
    <w:link w:val="Titre9Car"/>
    <w:uiPriority w:val="19"/>
    <w:rsid w:val="006600E5"/>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6600E5"/>
    <w:pPr>
      <w:pBdr>
        <w:bottom w:val="single" w:sz="4" w:space="1" w:color="auto"/>
      </w:pBdr>
      <w:tabs>
        <w:tab w:val="center" w:pos="4536"/>
        <w:tab w:val="right" w:pos="9072"/>
      </w:tabs>
      <w:contextualSpacing/>
      <w:jc w:val="right"/>
    </w:pPr>
    <w:rPr>
      <w:rFonts w:ascii="Berlin Sans FB" w:hAnsi="Berlin Sans FB"/>
      <w:b/>
    </w:rPr>
  </w:style>
  <w:style w:type="character" w:customStyle="1" w:styleId="En-tteCar">
    <w:name w:val="En-tête Car"/>
    <w:basedOn w:val="Policepardfaut"/>
    <w:link w:val="En-tte"/>
    <w:uiPriority w:val="99"/>
    <w:rsid w:val="003867ED"/>
    <w:rPr>
      <w:rFonts w:ascii="Berlin Sans FB" w:hAnsi="Berlin Sans FB"/>
      <w:b/>
    </w:rPr>
  </w:style>
  <w:style w:type="paragraph" w:styleId="Pieddepage">
    <w:name w:val="footer"/>
    <w:link w:val="PieddepageCar"/>
    <w:uiPriority w:val="99"/>
    <w:rsid w:val="00D379B1"/>
    <w:pPr>
      <w:pBdr>
        <w:top w:val="single" w:sz="4" w:space="1" w:color="auto"/>
      </w:pBdr>
      <w:tabs>
        <w:tab w:val="center" w:pos="4536"/>
        <w:tab w:val="right" w:pos="9072"/>
      </w:tabs>
      <w:contextualSpacing/>
      <w:jc w:val="center"/>
    </w:pPr>
    <w:rPr>
      <w:rFonts w:ascii="Berlin Sans FB" w:hAnsi="Berlin Sans FB"/>
      <w:b/>
    </w:rPr>
  </w:style>
  <w:style w:type="character" w:customStyle="1" w:styleId="PieddepageCar">
    <w:name w:val="Pied de page Car"/>
    <w:basedOn w:val="Policepardfaut"/>
    <w:link w:val="Pieddepage"/>
    <w:uiPriority w:val="99"/>
    <w:rsid w:val="003867ED"/>
    <w:rPr>
      <w:rFonts w:ascii="Berlin Sans FB" w:hAnsi="Berlin Sans FB"/>
      <w:b/>
    </w:rPr>
  </w:style>
  <w:style w:type="character" w:styleId="Numrodepage">
    <w:name w:val="page number"/>
    <w:basedOn w:val="Policepardfaut"/>
    <w:uiPriority w:val="99"/>
    <w:rsid w:val="005A141F"/>
  </w:style>
  <w:style w:type="paragraph" w:styleId="Titre">
    <w:name w:val="Title"/>
    <w:next w:val="Normal"/>
    <w:link w:val="TitreCar"/>
    <w:uiPriority w:val="29"/>
    <w:qFormat/>
    <w:rsid w:val="00B907DE"/>
    <w:pPr>
      <w:spacing w:before="240" w:after="240"/>
    </w:pPr>
    <w:rPr>
      <w:rFonts w:ascii="Arial" w:hAnsi="Arial"/>
      <w:b/>
    </w:rPr>
  </w:style>
  <w:style w:type="character" w:customStyle="1" w:styleId="TitreCar">
    <w:name w:val="Titre Car"/>
    <w:basedOn w:val="Policepardfaut"/>
    <w:link w:val="Titre"/>
    <w:uiPriority w:val="29"/>
    <w:rsid w:val="00B907DE"/>
    <w:rPr>
      <w:rFonts w:ascii="Arial" w:hAnsi="Arial"/>
      <w:b/>
    </w:rPr>
  </w:style>
  <w:style w:type="paragraph" w:styleId="Paragraphedeliste">
    <w:name w:val="List Paragraph"/>
    <w:basedOn w:val="Normal"/>
    <w:uiPriority w:val="99"/>
    <w:rsid w:val="00982AAB"/>
    <w:pPr>
      <w:ind w:left="720"/>
      <w:contextualSpacing/>
    </w:pPr>
  </w:style>
  <w:style w:type="character" w:customStyle="1" w:styleId="Titre1Car">
    <w:name w:val="Titre 1 Car"/>
    <w:basedOn w:val="Policepardfaut"/>
    <w:link w:val="Titre1"/>
    <w:uiPriority w:val="19"/>
    <w:rsid w:val="00DF1C7A"/>
    <w:rPr>
      <w:rFonts w:ascii="Arial" w:hAnsi="Arial"/>
      <w:b/>
    </w:rPr>
  </w:style>
  <w:style w:type="paragraph" w:styleId="Notedebasdepage">
    <w:name w:val="footnote text"/>
    <w:aliases w:val="Car,FOOTNOTES,fn,single space,Char Char Char,Char Char,Char ChaFootnote Text,ALTS FOOTNOTE,ADB,ft,Footnote Text Char1,Footnote Text Char Char,FOOTNOTES Car Car,Footnote Text Char Car Car,Footnote text, Car,footnote text,ft Car Car"/>
    <w:basedOn w:val="Normal"/>
    <w:link w:val="NotedebasdepageCar"/>
    <w:uiPriority w:val="99"/>
    <w:qFormat/>
    <w:rsid w:val="00861BD3"/>
    <w:rPr>
      <w:sz w:val="20"/>
      <w:szCs w:val="20"/>
    </w:rPr>
  </w:style>
  <w:style w:type="character" w:customStyle="1" w:styleId="NotedebasdepageCar">
    <w:name w:val="Note de bas de page Car"/>
    <w:aliases w:val="Car Car,FOOTNOTES Car,fn Car,single space Car,Char Char Char Car,Char Char Car,Char ChaFootnote Text Car,ALTS FOOTNOTE Car,ADB Car,ft Car,Footnote Text Char1 Car,Footnote Text Char Char Car,FOOTNOTES Car Car Car,Footnote text Car"/>
    <w:basedOn w:val="Policepardfaut"/>
    <w:link w:val="Notedebasdepage"/>
    <w:uiPriority w:val="99"/>
    <w:rsid w:val="003867ED"/>
    <w:rPr>
      <w:sz w:val="20"/>
      <w:szCs w:val="20"/>
    </w:rPr>
  </w:style>
  <w:style w:type="character" w:styleId="Appelnotedebasdep">
    <w:name w:val="footnote reference"/>
    <w:aliases w:val="Error-Fußnotenzeichen5,Error-Fußnotenzeichen6,Error-Fußnotenzeichen3,ftref,Liste à puces Car,Car Char Car Char Char Car Char Char Car Char Car Char Car Car Car Char Char Car Car Char Cha,Error-Fußnot...Footnote Reference,note bp"/>
    <w:basedOn w:val="Policepardfaut"/>
    <w:uiPriority w:val="99"/>
    <w:rsid w:val="00861BD3"/>
    <w:rPr>
      <w:vertAlign w:val="superscript"/>
    </w:rPr>
  </w:style>
  <w:style w:type="paragraph" w:styleId="Notedefin">
    <w:name w:val="endnote text"/>
    <w:basedOn w:val="Normal"/>
    <w:link w:val="NotedefinCar"/>
    <w:uiPriority w:val="35"/>
    <w:rsid w:val="0081396E"/>
    <w:rPr>
      <w:sz w:val="20"/>
      <w:szCs w:val="20"/>
    </w:rPr>
  </w:style>
  <w:style w:type="character" w:customStyle="1" w:styleId="NotedefinCar">
    <w:name w:val="Note de fin Car"/>
    <w:basedOn w:val="Policepardfaut"/>
    <w:link w:val="Notedefin"/>
    <w:uiPriority w:val="35"/>
    <w:rsid w:val="003867ED"/>
    <w:rPr>
      <w:sz w:val="20"/>
      <w:szCs w:val="20"/>
    </w:rPr>
  </w:style>
  <w:style w:type="character" w:styleId="Appeldenotedefin">
    <w:name w:val="endnote reference"/>
    <w:basedOn w:val="Policepardfaut"/>
    <w:uiPriority w:val="99"/>
    <w:rsid w:val="0081396E"/>
    <w:rPr>
      <w:vertAlign w:val="superscript"/>
    </w:rPr>
  </w:style>
  <w:style w:type="paragraph" w:styleId="Normalcentr">
    <w:name w:val="Block Text"/>
    <w:basedOn w:val="Normal"/>
    <w:next w:val="Normal"/>
    <w:uiPriority w:val="99"/>
    <w:rsid w:val="004B086E"/>
    <w:pPr>
      <w:jc w:val="center"/>
    </w:pPr>
  </w:style>
  <w:style w:type="character" w:styleId="Numrodeligne">
    <w:name w:val="line number"/>
    <w:basedOn w:val="Policepardfaut"/>
    <w:uiPriority w:val="33"/>
    <w:rsid w:val="006106C8"/>
    <w:rPr>
      <w:rFonts w:ascii="Times New Roman" w:hAnsi="Times New Roman"/>
      <w:sz w:val="20"/>
    </w:rPr>
  </w:style>
  <w:style w:type="paragraph" w:styleId="Signature">
    <w:name w:val="Signature"/>
    <w:basedOn w:val="Normal"/>
    <w:link w:val="SignatureCar"/>
    <w:uiPriority w:val="99"/>
    <w:rsid w:val="00D139A8"/>
    <w:pPr>
      <w:ind w:left="4252"/>
    </w:pPr>
  </w:style>
  <w:style w:type="character" w:customStyle="1" w:styleId="SignatureCar">
    <w:name w:val="Signature Car"/>
    <w:basedOn w:val="Policepardfaut"/>
    <w:link w:val="Signature"/>
    <w:uiPriority w:val="99"/>
    <w:rsid w:val="0069559A"/>
  </w:style>
  <w:style w:type="paragraph" w:styleId="Index1">
    <w:name w:val="index 1"/>
    <w:next w:val="Normal"/>
    <w:link w:val="Index1Car"/>
    <w:autoRedefine/>
    <w:uiPriority w:val="99"/>
    <w:rsid w:val="00DB48F2"/>
    <w:pPr>
      <w:ind w:left="284" w:hanging="284"/>
    </w:pPr>
  </w:style>
  <w:style w:type="character" w:customStyle="1" w:styleId="Titre2Car">
    <w:name w:val="Titre 2 Car"/>
    <w:basedOn w:val="Policepardfaut"/>
    <w:link w:val="Titre2"/>
    <w:uiPriority w:val="19"/>
    <w:rsid w:val="00DF1C7A"/>
    <w:rPr>
      <w:rFonts w:ascii="Arial" w:hAnsi="Arial"/>
      <w:b/>
    </w:rPr>
  </w:style>
  <w:style w:type="character" w:customStyle="1" w:styleId="Titre3Car">
    <w:name w:val="Titre 3 Car"/>
    <w:basedOn w:val="Policepardfaut"/>
    <w:link w:val="Titre3"/>
    <w:uiPriority w:val="19"/>
    <w:rsid w:val="00DF1C7A"/>
    <w:rPr>
      <w:rFonts w:ascii="Arial" w:hAnsi="Arial"/>
      <w:b/>
    </w:rPr>
  </w:style>
  <w:style w:type="character" w:customStyle="1" w:styleId="Titre4Car">
    <w:name w:val="Titre 4 Car"/>
    <w:basedOn w:val="Policepardfaut"/>
    <w:link w:val="Titre4"/>
    <w:uiPriority w:val="19"/>
    <w:rsid w:val="00DF1C7A"/>
    <w:rPr>
      <w:rFonts w:ascii="Arial" w:hAnsi="Arial"/>
      <w:b/>
    </w:rPr>
  </w:style>
  <w:style w:type="character" w:customStyle="1" w:styleId="Titre5Car">
    <w:name w:val="Titre 5 Car"/>
    <w:basedOn w:val="Policepardfaut"/>
    <w:link w:val="Titre5"/>
    <w:uiPriority w:val="19"/>
    <w:rsid w:val="003867ED"/>
  </w:style>
  <w:style w:type="character" w:customStyle="1" w:styleId="Titre6Car">
    <w:name w:val="Titre 6 Car"/>
    <w:basedOn w:val="Policepardfaut"/>
    <w:link w:val="Titre6"/>
    <w:uiPriority w:val="19"/>
    <w:rsid w:val="003867ED"/>
  </w:style>
  <w:style w:type="character" w:customStyle="1" w:styleId="Titre7Car">
    <w:name w:val="Titre 7 Car"/>
    <w:basedOn w:val="Policepardfaut"/>
    <w:link w:val="Titre7"/>
    <w:uiPriority w:val="19"/>
    <w:rsid w:val="003867ED"/>
  </w:style>
  <w:style w:type="character" w:customStyle="1" w:styleId="Titre8Car">
    <w:name w:val="Titre 8 Car"/>
    <w:basedOn w:val="Policepardfaut"/>
    <w:link w:val="Titre8"/>
    <w:uiPriority w:val="19"/>
    <w:rsid w:val="003867ED"/>
  </w:style>
  <w:style w:type="character" w:customStyle="1" w:styleId="Titre9Car">
    <w:name w:val="Titre 9 Car"/>
    <w:basedOn w:val="Policepardfaut"/>
    <w:link w:val="Titre9"/>
    <w:uiPriority w:val="19"/>
    <w:rsid w:val="003867ED"/>
  </w:style>
  <w:style w:type="paragraph" w:styleId="Sous-titre">
    <w:name w:val="Subtitle"/>
    <w:next w:val="Normal"/>
    <w:link w:val="Sous-titreCar"/>
    <w:uiPriority w:val="30"/>
    <w:rsid w:val="00532051"/>
  </w:style>
  <w:style w:type="character" w:customStyle="1" w:styleId="Sous-titreCar">
    <w:name w:val="Sous-titre Car"/>
    <w:basedOn w:val="Policepardfaut"/>
    <w:link w:val="Sous-titre"/>
    <w:uiPriority w:val="30"/>
    <w:rsid w:val="003867ED"/>
  </w:style>
  <w:style w:type="character" w:styleId="Emphaseple">
    <w:name w:val="Subtle Emphasis"/>
    <w:basedOn w:val="Policepardfaut"/>
    <w:uiPriority w:val="99"/>
    <w:rsid w:val="00D11D8D"/>
    <w:rPr>
      <w:i/>
      <w:iCs/>
      <w:color w:val="808080" w:themeColor="text1" w:themeTint="7F"/>
    </w:rPr>
  </w:style>
  <w:style w:type="paragraph" w:styleId="Sansinterligne">
    <w:name w:val="No Spacing"/>
    <w:basedOn w:val="Normal"/>
    <w:next w:val="Normal"/>
    <w:link w:val="SansinterligneCar"/>
    <w:uiPriority w:val="99"/>
    <w:rsid w:val="00D541D0"/>
  </w:style>
  <w:style w:type="character" w:styleId="Accentuation">
    <w:name w:val="Emphasis"/>
    <w:basedOn w:val="Policepardfaut"/>
    <w:uiPriority w:val="99"/>
    <w:rsid w:val="001A3005"/>
    <w:rPr>
      <w:i/>
      <w:iCs/>
    </w:rPr>
  </w:style>
  <w:style w:type="character" w:styleId="Emphaseintense">
    <w:name w:val="Intense Emphasis"/>
    <w:basedOn w:val="Policepardfaut"/>
    <w:uiPriority w:val="99"/>
    <w:rsid w:val="001A3005"/>
    <w:rPr>
      <w:b/>
      <w:bCs/>
      <w:i/>
      <w:iCs/>
      <w:color w:val="4F81BD" w:themeColor="accent1"/>
    </w:rPr>
  </w:style>
  <w:style w:type="character" w:styleId="lev">
    <w:name w:val="Strong"/>
    <w:basedOn w:val="Policepardfaut"/>
    <w:uiPriority w:val="99"/>
    <w:rsid w:val="001A3005"/>
    <w:rPr>
      <w:b/>
      <w:bCs/>
    </w:rPr>
  </w:style>
  <w:style w:type="paragraph" w:styleId="Citation">
    <w:name w:val="Quote"/>
    <w:next w:val="Normal"/>
    <w:link w:val="CitationCar"/>
    <w:uiPriority w:val="9"/>
    <w:rsid w:val="00D379B1"/>
    <w:rPr>
      <w:iCs/>
      <w:color w:val="000000" w:themeColor="text1"/>
    </w:rPr>
  </w:style>
  <w:style w:type="character" w:customStyle="1" w:styleId="CitationCar">
    <w:name w:val="Citation Car"/>
    <w:basedOn w:val="Policepardfaut"/>
    <w:link w:val="Citation"/>
    <w:uiPriority w:val="9"/>
    <w:rsid w:val="003867ED"/>
    <w:rPr>
      <w:iCs/>
      <w:color w:val="000000" w:themeColor="text1"/>
    </w:rPr>
  </w:style>
  <w:style w:type="paragraph" w:styleId="Citationintense">
    <w:name w:val="Intense Quote"/>
    <w:next w:val="Normal"/>
    <w:link w:val="CitationintenseCar"/>
    <w:uiPriority w:val="10"/>
    <w:rsid w:val="00D379B1"/>
  </w:style>
  <w:style w:type="character" w:customStyle="1" w:styleId="CitationintenseCar">
    <w:name w:val="Citation intense Car"/>
    <w:basedOn w:val="Policepardfaut"/>
    <w:link w:val="Citationintense"/>
    <w:uiPriority w:val="10"/>
    <w:rsid w:val="003867ED"/>
  </w:style>
  <w:style w:type="character" w:styleId="Rfrenceple">
    <w:name w:val="Subtle Reference"/>
    <w:basedOn w:val="Policepardfaut"/>
    <w:uiPriority w:val="99"/>
    <w:rsid w:val="001A3005"/>
    <w:rPr>
      <w:smallCaps/>
      <w:color w:val="C0504D" w:themeColor="accent2"/>
      <w:u w:val="single"/>
    </w:rPr>
  </w:style>
  <w:style w:type="character" w:styleId="Rfrenceintense">
    <w:name w:val="Intense Reference"/>
    <w:basedOn w:val="Policepardfaut"/>
    <w:uiPriority w:val="99"/>
    <w:rsid w:val="001A3005"/>
    <w:rPr>
      <w:b/>
      <w:bCs/>
      <w:smallCaps/>
      <w:color w:val="C0504D" w:themeColor="accent2"/>
      <w:spacing w:val="5"/>
      <w:u w:val="single"/>
    </w:rPr>
  </w:style>
  <w:style w:type="character" w:styleId="Titredulivre">
    <w:name w:val="Book Title"/>
    <w:basedOn w:val="Policepardfaut"/>
    <w:uiPriority w:val="99"/>
    <w:rsid w:val="001A3005"/>
    <w:rPr>
      <w:b/>
      <w:bCs/>
      <w:smallCaps/>
      <w:spacing w:val="5"/>
    </w:rPr>
  </w:style>
  <w:style w:type="paragraph" w:styleId="Lgende">
    <w:name w:val="caption"/>
    <w:next w:val="Normal"/>
    <w:link w:val="LgendeCar"/>
    <w:uiPriority w:val="12"/>
    <w:qFormat/>
    <w:rsid w:val="002C51A8"/>
    <w:pPr>
      <w:spacing w:before="120" w:after="60"/>
      <w:contextualSpacing/>
    </w:pPr>
    <w:rPr>
      <w:b/>
    </w:rPr>
  </w:style>
  <w:style w:type="paragraph" w:styleId="Tabledesillustrations">
    <w:name w:val="table of figures"/>
    <w:basedOn w:val="Normal"/>
    <w:next w:val="Normal"/>
    <w:uiPriority w:val="99"/>
    <w:rsid w:val="00451A18"/>
  </w:style>
  <w:style w:type="paragraph" w:styleId="Textebrut">
    <w:name w:val="Plain Text"/>
    <w:basedOn w:val="Normal"/>
    <w:link w:val="TextebrutCar"/>
    <w:uiPriority w:val="99"/>
    <w:rsid w:val="00451A18"/>
    <w:rPr>
      <w:rFonts w:ascii="Consolas" w:hAnsi="Consolas" w:cs="Consolas"/>
      <w:sz w:val="21"/>
      <w:szCs w:val="21"/>
    </w:rPr>
  </w:style>
  <w:style w:type="character" w:customStyle="1" w:styleId="TextebrutCar">
    <w:name w:val="Texte brut Car"/>
    <w:basedOn w:val="Policepardfaut"/>
    <w:link w:val="Textebrut"/>
    <w:uiPriority w:val="99"/>
    <w:rsid w:val="0069559A"/>
    <w:rPr>
      <w:rFonts w:ascii="Consolas" w:hAnsi="Consolas" w:cs="Consolas"/>
      <w:sz w:val="21"/>
      <w:szCs w:val="21"/>
    </w:rPr>
  </w:style>
  <w:style w:type="paragraph" w:styleId="Titredenote">
    <w:name w:val="Note Heading"/>
    <w:basedOn w:val="Normal"/>
    <w:next w:val="Normal"/>
    <w:link w:val="TitredenoteCar"/>
    <w:uiPriority w:val="99"/>
    <w:rsid w:val="00451A18"/>
  </w:style>
  <w:style w:type="character" w:customStyle="1" w:styleId="TitredenoteCar">
    <w:name w:val="Titre de note Car"/>
    <w:basedOn w:val="Policepardfaut"/>
    <w:link w:val="Titredenote"/>
    <w:uiPriority w:val="99"/>
    <w:rsid w:val="0069559A"/>
  </w:style>
  <w:style w:type="paragraph" w:styleId="Retraitcorpsdetexte">
    <w:name w:val="Body Text Indent"/>
    <w:basedOn w:val="Normal"/>
    <w:link w:val="RetraitcorpsdetexteCar"/>
    <w:uiPriority w:val="99"/>
    <w:rsid w:val="00451A18"/>
    <w:pPr>
      <w:spacing w:after="120"/>
      <w:ind w:left="283"/>
    </w:pPr>
  </w:style>
  <w:style w:type="character" w:customStyle="1" w:styleId="RetraitcorpsdetexteCar">
    <w:name w:val="Retrait corps de texte Car"/>
    <w:basedOn w:val="Policepardfaut"/>
    <w:link w:val="Retraitcorpsdetexte"/>
    <w:uiPriority w:val="99"/>
    <w:rsid w:val="0069559A"/>
  </w:style>
  <w:style w:type="paragraph" w:styleId="Corpsdetexte">
    <w:name w:val="Body Text"/>
    <w:basedOn w:val="Normal"/>
    <w:link w:val="CorpsdetexteCar"/>
    <w:uiPriority w:val="99"/>
    <w:rsid w:val="00451A18"/>
  </w:style>
  <w:style w:type="character" w:customStyle="1" w:styleId="CorpsdetexteCar">
    <w:name w:val="Corps de texte Car"/>
    <w:basedOn w:val="Policepardfaut"/>
    <w:link w:val="Corpsdetexte"/>
    <w:uiPriority w:val="99"/>
    <w:rsid w:val="0069559A"/>
  </w:style>
  <w:style w:type="paragraph" w:styleId="Commentaire">
    <w:name w:val="annotation text"/>
    <w:next w:val="Normal"/>
    <w:link w:val="CommentaireCar"/>
    <w:uiPriority w:val="11"/>
    <w:rsid w:val="00D379B1"/>
  </w:style>
  <w:style w:type="character" w:customStyle="1" w:styleId="CommentaireCar">
    <w:name w:val="Commentaire Car"/>
    <w:basedOn w:val="Policepardfaut"/>
    <w:link w:val="Commentaire"/>
    <w:uiPriority w:val="11"/>
    <w:rsid w:val="003867ED"/>
  </w:style>
  <w:style w:type="paragraph" w:styleId="Bibliographie">
    <w:name w:val="Bibliography"/>
    <w:next w:val="Normal"/>
    <w:link w:val="BibliographieCar"/>
    <w:uiPriority w:val="13"/>
    <w:rsid w:val="00D379B1"/>
  </w:style>
  <w:style w:type="paragraph" w:styleId="Corpsdetexte2">
    <w:name w:val="Body Text 2"/>
    <w:basedOn w:val="Normal"/>
    <w:link w:val="Corpsdetexte2Car"/>
    <w:uiPriority w:val="99"/>
    <w:rsid w:val="00451A18"/>
  </w:style>
  <w:style w:type="character" w:customStyle="1" w:styleId="Corpsdetexte2Car">
    <w:name w:val="Corps de texte 2 Car"/>
    <w:basedOn w:val="Policepardfaut"/>
    <w:link w:val="Corpsdetexte2"/>
    <w:uiPriority w:val="99"/>
    <w:rsid w:val="0069559A"/>
  </w:style>
  <w:style w:type="paragraph" w:styleId="Corpsdetexte3">
    <w:name w:val="Body Text 3"/>
    <w:basedOn w:val="Normal"/>
    <w:link w:val="Corpsdetexte3Car"/>
    <w:uiPriority w:val="99"/>
    <w:rsid w:val="00451A18"/>
  </w:style>
  <w:style w:type="character" w:customStyle="1" w:styleId="Corpsdetexte3Car">
    <w:name w:val="Corps de texte 3 Car"/>
    <w:basedOn w:val="Policepardfaut"/>
    <w:link w:val="Corpsdetexte3"/>
    <w:uiPriority w:val="99"/>
    <w:rsid w:val="0069559A"/>
  </w:style>
  <w:style w:type="character" w:styleId="Marquedecommentaire">
    <w:name w:val="annotation reference"/>
    <w:basedOn w:val="Policepardfaut"/>
    <w:uiPriority w:val="99"/>
    <w:rsid w:val="00433F9E"/>
    <w:rPr>
      <w:sz w:val="16"/>
      <w:szCs w:val="16"/>
    </w:rPr>
  </w:style>
  <w:style w:type="paragraph" w:styleId="Objetducommentaire">
    <w:name w:val="annotation subject"/>
    <w:basedOn w:val="Commentaire"/>
    <w:next w:val="Commentaire"/>
    <w:link w:val="ObjetducommentaireCar"/>
    <w:uiPriority w:val="99"/>
    <w:rsid w:val="00433F9E"/>
    <w:rPr>
      <w:b/>
      <w:bCs/>
      <w:sz w:val="20"/>
      <w:szCs w:val="20"/>
    </w:rPr>
  </w:style>
  <w:style w:type="character" w:customStyle="1" w:styleId="ObjetducommentaireCar">
    <w:name w:val="Objet du commentaire Car"/>
    <w:basedOn w:val="CommentaireCar"/>
    <w:link w:val="Objetducommentaire"/>
    <w:uiPriority w:val="99"/>
    <w:rsid w:val="0069559A"/>
    <w:rPr>
      <w:b/>
      <w:bCs/>
      <w:sz w:val="20"/>
      <w:szCs w:val="20"/>
    </w:rPr>
  </w:style>
  <w:style w:type="paragraph" w:styleId="Textedebulles">
    <w:name w:val="Balloon Text"/>
    <w:basedOn w:val="Normal"/>
    <w:link w:val="TextedebullesCar"/>
    <w:uiPriority w:val="99"/>
    <w:rsid w:val="00433F9E"/>
    <w:rPr>
      <w:rFonts w:ascii="Tahoma" w:hAnsi="Tahoma" w:cs="Tahoma"/>
      <w:sz w:val="16"/>
      <w:szCs w:val="16"/>
    </w:rPr>
  </w:style>
  <w:style w:type="character" w:customStyle="1" w:styleId="TextedebullesCar">
    <w:name w:val="Texte de bulles Car"/>
    <w:basedOn w:val="Policepardfaut"/>
    <w:link w:val="Textedebulles"/>
    <w:uiPriority w:val="99"/>
    <w:rsid w:val="0069559A"/>
    <w:rPr>
      <w:rFonts w:ascii="Tahoma" w:hAnsi="Tahoma" w:cs="Tahoma"/>
      <w:sz w:val="16"/>
      <w:szCs w:val="16"/>
    </w:rPr>
  </w:style>
  <w:style w:type="paragraph" w:styleId="Rvision">
    <w:name w:val="Revision"/>
    <w:hidden/>
    <w:uiPriority w:val="99"/>
    <w:semiHidden/>
    <w:rsid w:val="00433F9E"/>
  </w:style>
  <w:style w:type="character" w:customStyle="1" w:styleId="SansinterligneCar">
    <w:name w:val="Sans interligne Car"/>
    <w:basedOn w:val="Policepardfaut"/>
    <w:link w:val="Sansinterligne"/>
    <w:uiPriority w:val="99"/>
    <w:rsid w:val="0069559A"/>
  </w:style>
  <w:style w:type="paragraph" w:styleId="TM2">
    <w:name w:val="toc 2"/>
    <w:next w:val="Normal"/>
    <w:link w:val="TM2Car"/>
    <w:autoRedefine/>
    <w:uiPriority w:val="39"/>
    <w:rsid w:val="00FA45C7"/>
    <w:pPr>
      <w:spacing w:before="60" w:after="60"/>
      <w:ind w:left="284"/>
    </w:pPr>
  </w:style>
  <w:style w:type="character" w:styleId="Lienhypertexte">
    <w:name w:val="Hyperlink"/>
    <w:basedOn w:val="Policepardfaut"/>
    <w:uiPriority w:val="99"/>
    <w:rsid w:val="00EE7C4A"/>
    <w:rPr>
      <w:color w:val="0000FF" w:themeColor="hyperlink"/>
      <w:u w:val="single"/>
    </w:rPr>
  </w:style>
  <w:style w:type="paragraph" w:styleId="Titreindex">
    <w:name w:val="index heading"/>
    <w:basedOn w:val="Normal"/>
    <w:next w:val="Index1"/>
    <w:uiPriority w:val="99"/>
    <w:rsid w:val="00EE7C4A"/>
    <w:rPr>
      <w:rFonts w:asciiTheme="majorHAnsi" w:eastAsiaTheme="majorEastAsia" w:hAnsiTheme="majorHAnsi" w:cstheme="majorBidi"/>
      <w:b/>
      <w:bCs/>
    </w:rPr>
  </w:style>
  <w:style w:type="paragraph" w:styleId="TitreTR">
    <w:name w:val="toa heading"/>
    <w:basedOn w:val="Normal"/>
    <w:next w:val="Normal"/>
    <w:uiPriority w:val="99"/>
    <w:rsid w:val="00EE7C4A"/>
    <w:pPr>
      <w:spacing w:before="120"/>
    </w:pPr>
    <w:rPr>
      <w:rFonts w:asciiTheme="majorHAnsi" w:eastAsiaTheme="majorEastAsia" w:hAnsiTheme="majorHAnsi" w:cstheme="majorBidi"/>
      <w:b/>
      <w:bCs/>
    </w:rPr>
  </w:style>
  <w:style w:type="paragraph" w:styleId="AdresseHTML">
    <w:name w:val="HTML Address"/>
    <w:basedOn w:val="Normal"/>
    <w:link w:val="AdresseHTMLCar"/>
    <w:uiPriority w:val="99"/>
    <w:rsid w:val="009F74DC"/>
    <w:rPr>
      <w:i/>
      <w:iCs/>
    </w:rPr>
  </w:style>
  <w:style w:type="character" w:customStyle="1" w:styleId="AdresseHTMLCar">
    <w:name w:val="Adresse HTML Car"/>
    <w:basedOn w:val="Policepardfaut"/>
    <w:link w:val="AdresseHTML"/>
    <w:uiPriority w:val="99"/>
    <w:rsid w:val="009F74DC"/>
    <w:rPr>
      <w:i/>
      <w:iCs/>
    </w:rPr>
  </w:style>
  <w:style w:type="paragraph" w:styleId="Adresseexpditeur">
    <w:name w:val="envelope return"/>
    <w:basedOn w:val="Normal"/>
    <w:uiPriority w:val="99"/>
    <w:rsid w:val="009F74DC"/>
    <w:rPr>
      <w:rFonts w:asciiTheme="majorHAnsi" w:eastAsiaTheme="majorEastAsia" w:hAnsiTheme="majorHAnsi" w:cstheme="majorBidi"/>
      <w:sz w:val="20"/>
      <w:szCs w:val="20"/>
    </w:rPr>
  </w:style>
  <w:style w:type="paragraph" w:styleId="Listepuces2">
    <w:name w:val="List Bullet 2"/>
    <w:basedOn w:val="Normal"/>
    <w:uiPriority w:val="99"/>
    <w:rsid w:val="008C1A07"/>
    <w:pPr>
      <w:numPr>
        <w:numId w:val="7"/>
      </w:numPr>
      <w:ind w:left="568" w:hanging="284"/>
      <w:contextualSpacing/>
    </w:pPr>
  </w:style>
  <w:style w:type="paragraph" w:styleId="Listepuces3">
    <w:name w:val="List Bullet 3"/>
    <w:basedOn w:val="Normal"/>
    <w:uiPriority w:val="99"/>
    <w:rsid w:val="008C1A07"/>
    <w:pPr>
      <w:numPr>
        <w:numId w:val="8"/>
      </w:numPr>
      <w:ind w:left="851" w:hanging="284"/>
      <w:contextualSpacing/>
    </w:pPr>
  </w:style>
  <w:style w:type="paragraph" w:styleId="Listepuces4">
    <w:name w:val="List Bullet 4"/>
    <w:basedOn w:val="Normal"/>
    <w:uiPriority w:val="99"/>
    <w:rsid w:val="008C1A07"/>
    <w:pPr>
      <w:numPr>
        <w:numId w:val="9"/>
      </w:numPr>
      <w:ind w:left="1135" w:hanging="284"/>
      <w:contextualSpacing/>
    </w:pPr>
  </w:style>
  <w:style w:type="paragraph" w:styleId="Listepuces5">
    <w:name w:val="List Bullet 5"/>
    <w:basedOn w:val="Normal"/>
    <w:uiPriority w:val="99"/>
    <w:rsid w:val="000451A8"/>
    <w:pPr>
      <w:numPr>
        <w:numId w:val="10"/>
      </w:numPr>
      <w:ind w:left="1418" w:hanging="284"/>
      <w:contextualSpacing/>
    </w:pPr>
  </w:style>
  <w:style w:type="paragraph" w:styleId="Listecontinue2">
    <w:name w:val="List Continue 2"/>
    <w:basedOn w:val="Normal"/>
    <w:uiPriority w:val="99"/>
    <w:rsid w:val="000451A8"/>
    <w:pPr>
      <w:spacing w:after="120"/>
      <w:ind w:left="567"/>
      <w:contextualSpacing/>
    </w:pPr>
  </w:style>
  <w:style w:type="paragraph" w:styleId="Listecontinue3">
    <w:name w:val="List Continue 3"/>
    <w:basedOn w:val="Normal"/>
    <w:uiPriority w:val="99"/>
    <w:rsid w:val="008964D9"/>
    <w:pPr>
      <w:spacing w:after="120"/>
      <w:ind w:left="849"/>
      <w:contextualSpacing/>
    </w:pPr>
  </w:style>
  <w:style w:type="paragraph" w:styleId="Listecontinue5">
    <w:name w:val="List Continue 5"/>
    <w:basedOn w:val="Normal"/>
    <w:uiPriority w:val="99"/>
    <w:rsid w:val="008964D9"/>
    <w:pPr>
      <w:spacing w:after="120"/>
      <w:ind w:left="1415"/>
      <w:contextualSpacing/>
    </w:pPr>
  </w:style>
  <w:style w:type="paragraph" w:styleId="Listenumros4">
    <w:name w:val="List Number 4"/>
    <w:basedOn w:val="Normal"/>
    <w:uiPriority w:val="99"/>
    <w:rsid w:val="000451A8"/>
    <w:pPr>
      <w:numPr>
        <w:numId w:val="4"/>
      </w:numPr>
      <w:ind w:left="1135" w:hanging="284"/>
      <w:contextualSpacing/>
    </w:pPr>
  </w:style>
  <w:style w:type="paragraph" w:styleId="Listenumros2">
    <w:name w:val="List Number 2"/>
    <w:basedOn w:val="Normal"/>
    <w:uiPriority w:val="99"/>
    <w:rsid w:val="008C1A07"/>
    <w:pPr>
      <w:numPr>
        <w:numId w:val="2"/>
      </w:numPr>
      <w:ind w:left="568" w:hanging="284"/>
      <w:contextualSpacing/>
    </w:pPr>
  </w:style>
  <w:style w:type="paragraph" w:styleId="Listenumros">
    <w:name w:val="List Number"/>
    <w:basedOn w:val="Normal"/>
    <w:uiPriority w:val="99"/>
    <w:rsid w:val="008C1A07"/>
    <w:pPr>
      <w:numPr>
        <w:numId w:val="1"/>
      </w:numPr>
      <w:ind w:left="284" w:hanging="284"/>
      <w:contextualSpacing/>
    </w:pPr>
  </w:style>
  <w:style w:type="paragraph" w:styleId="Liste">
    <w:name w:val="List"/>
    <w:basedOn w:val="Normal"/>
    <w:uiPriority w:val="99"/>
    <w:rsid w:val="00282147"/>
    <w:pPr>
      <w:ind w:left="283" w:hanging="283"/>
      <w:contextualSpacing/>
    </w:pPr>
  </w:style>
  <w:style w:type="paragraph" w:styleId="Liste2">
    <w:name w:val="List 2"/>
    <w:basedOn w:val="Normal"/>
    <w:uiPriority w:val="99"/>
    <w:rsid w:val="008C1A07"/>
    <w:pPr>
      <w:ind w:left="568" w:hanging="284"/>
      <w:contextualSpacing/>
    </w:pPr>
  </w:style>
  <w:style w:type="paragraph" w:styleId="Liste3">
    <w:name w:val="List 3"/>
    <w:basedOn w:val="Normal"/>
    <w:uiPriority w:val="99"/>
    <w:rsid w:val="00282147"/>
    <w:pPr>
      <w:ind w:left="849" w:hanging="283"/>
      <w:contextualSpacing/>
    </w:pPr>
  </w:style>
  <w:style w:type="paragraph" w:styleId="Liste4">
    <w:name w:val="List 4"/>
    <w:basedOn w:val="Normal"/>
    <w:uiPriority w:val="99"/>
    <w:rsid w:val="000451A8"/>
    <w:pPr>
      <w:ind w:left="1135" w:hanging="284"/>
      <w:contextualSpacing/>
    </w:pPr>
  </w:style>
  <w:style w:type="paragraph" w:styleId="TM1">
    <w:name w:val="toc 1"/>
    <w:next w:val="Normal"/>
    <w:link w:val="TM1Car"/>
    <w:autoRedefine/>
    <w:uiPriority w:val="39"/>
    <w:rsid w:val="000968CE"/>
    <w:pPr>
      <w:tabs>
        <w:tab w:val="left" w:pos="567"/>
        <w:tab w:val="right" w:leader="dot" w:pos="9062"/>
      </w:tabs>
      <w:spacing w:before="240" w:after="120"/>
    </w:pPr>
    <w:rPr>
      <w:smallCaps/>
    </w:rPr>
  </w:style>
  <w:style w:type="character" w:styleId="Textedelespacerserv">
    <w:name w:val="Placeholder Text"/>
    <w:basedOn w:val="Policepardfaut"/>
    <w:uiPriority w:val="99"/>
    <w:rsid w:val="00C2532B"/>
    <w:rPr>
      <w:color w:val="808080"/>
    </w:rPr>
  </w:style>
  <w:style w:type="character" w:customStyle="1" w:styleId="BibliographieCar">
    <w:name w:val="Bibliographie Car"/>
    <w:basedOn w:val="Policepardfaut"/>
    <w:link w:val="Bibliographie"/>
    <w:uiPriority w:val="13"/>
    <w:rsid w:val="003867ED"/>
  </w:style>
  <w:style w:type="character" w:styleId="Lienhypertextesuivivisit">
    <w:name w:val="FollowedHyperlink"/>
    <w:basedOn w:val="Policepardfaut"/>
    <w:uiPriority w:val="37"/>
    <w:rsid w:val="00106159"/>
    <w:rPr>
      <w:color w:val="800080" w:themeColor="followedHyperlink"/>
      <w:u w:val="single"/>
    </w:rPr>
  </w:style>
  <w:style w:type="paragraph" w:styleId="TM3">
    <w:name w:val="toc 3"/>
    <w:next w:val="Normal"/>
    <w:link w:val="TM3Car"/>
    <w:autoRedefine/>
    <w:uiPriority w:val="39"/>
    <w:rsid w:val="000968CE"/>
    <w:pPr>
      <w:ind w:left="567"/>
    </w:pPr>
  </w:style>
  <w:style w:type="paragraph" w:styleId="TM4">
    <w:name w:val="toc 4"/>
    <w:next w:val="Normal"/>
    <w:link w:val="TM4Car"/>
    <w:autoRedefine/>
    <w:uiPriority w:val="19"/>
    <w:rsid w:val="00DD0728"/>
  </w:style>
  <w:style w:type="paragraph" w:styleId="TM5">
    <w:name w:val="toc 5"/>
    <w:next w:val="Normal"/>
    <w:link w:val="TM5Car"/>
    <w:autoRedefine/>
    <w:uiPriority w:val="19"/>
    <w:rsid w:val="00DD0728"/>
  </w:style>
  <w:style w:type="paragraph" w:styleId="TM6">
    <w:name w:val="toc 6"/>
    <w:next w:val="Normal"/>
    <w:link w:val="TM6Car"/>
    <w:autoRedefine/>
    <w:uiPriority w:val="19"/>
    <w:rsid w:val="00DD0728"/>
  </w:style>
  <w:style w:type="paragraph" w:styleId="TM7">
    <w:name w:val="toc 7"/>
    <w:next w:val="Normal"/>
    <w:link w:val="TM7Car"/>
    <w:autoRedefine/>
    <w:uiPriority w:val="19"/>
    <w:rsid w:val="00DD0728"/>
  </w:style>
  <w:style w:type="paragraph" w:styleId="TM8">
    <w:name w:val="toc 8"/>
    <w:next w:val="Normal"/>
    <w:link w:val="TM8Car"/>
    <w:autoRedefine/>
    <w:uiPriority w:val="19"/>
    <w:rsid w:val="00DD0728"/>
  </w:style>
  <w:style w:type="paragraph" w:styleId="TM9">
    <w:name w:val="toc 9"/>
    <w:next w:val="Normal"/>
    <w:link w:val="TM9Car"/>
    <w:autoRedefine/>
    <w:uiPriority w:val="19"/>
    <w:rsid w:val="00DD0728"/>
  </w:style>
  <w:style w:type="character" w:customStyle="1" w:styleId="TM1Car">
    <w:name w:val="TM 1 Car"/>
    <w:basedOn w:val="Policepardfaut"/>
    <w:link w:val="TM1"/>
    <w:uiPriority w:val="39"/>
    <w:rsid w:val="000968CE"/>
    <w:rPr>
      <w:smallCaps/>
    </w:rPr>
  </w:style>
  <w:style w:type="character" w:customStyle="1" w:styleId="TM2Car">
    <w:name w:val="TM 2 Car"/>
    <w:basedOn w:val="Policepardfaut"/>
    <w:link w:val="TM2"/>
    <w:uiPriority w:val="39"/>
    <w:rsid w:val="00FA45C7"/>
  </w:style>
  <w:style w:type="character" w:customStyle="1" w:styleId="TM3Car">
    <w:name w:val="TM 3 Car"/>
    <w:basedOn w:val="Policepardfaut"/>
    <w:link w:val="TM3"/>
    <w:uiPriority w:val="39"/>
    <w:rsid w:val="000968CE"/>
  </w:style>
  <w:style w:type="character" w:customStyle="1" w:styleId="TM4Car">
    <w:name w:val="TM 4 Car"/>
    <w:basedOn w:val="Policepardfaut"/>
    <w:link w:val="TM4"/>
    <w:uiPriority w:val="19"/>
    <w:rsid w:val="003867ED"/>
  </w:style>
  <w:style w:type="character" w:customStyle="1" w:styleId="TM5Car">
    <w:name w:val="TM 5 Car"/>
    <w:basedOn w:val="Policepardfaut"/>
    <w:link w:val="TM5"/>
    <w:uiPriority w:val="19"/>
    <w:rsid w:val="003867ED"/>
  </w:style>
  <w:style w:type="character" w:customStyle="1" w:styleId="TM6Car">
    <w:name w:val="TM 6 Car"/>
    <w:basedOn w:val="Policepardfaut"/>
    <w:link w:val="TM6"/>
    <w:uiPriority w:val="19"/>
    <w:rsid w:val="003867ED"/>
  </w:style>
  <w:style w:type="character" w:customStyle="1" w:styleId="TM7Car">
    <w:name w:val="TM 7 Car"/>
    <w:basedOn w:val="Policepardfaut"/>
    <w:link w:val="TM7"/>
    <w:uiPriority w:val="19"/>
    <w:rsid w:val="003867ED"/>
  </w:style>
  <w:style w:type="character" w:customStyle="1" w:styleId="TM8Car">
    <w:name w:val="TM 8 Car"/>
    <w:basedOn w:val="Policepardfaut"/>
    <w:link w:val="TM8"/>
    <w:uiPriority w:val="19"/>
    <w:rsid w:val="003867ED"/>
  </w:style>
  <w:style w:type="character" w:customStyle="1" w:styleId="TM9Car">
    <w:name w:val="TM 9 Car"/>
    <w:basedOn w:val="Policepardfaut"/>
    <w:link w:val="TM9"/>
    <w:uiPriority w:val="19"/>
    <w:rsid w:val="003867ED"/>
  </w:style>
  <w:style w:type="paragraph" w:styleId="Index2">
    <w:name w:val="index 2"/>
    <w:next w:val="Normal"/>
    <w:link w:val="Index2Car"/>
    <w:autoRedefine/>
    <w:uiPriority w:val="99"/>
    <w:rsid w:val="00DB48F2"/>
    <w:pPr>
      <w:ind w:left="568" w:hanging="284"/>
    </w:pPr>
  </w:style>
  <w:style w:type="paragraph" w:styleId="Index3">
    <w:name w:val="index 3"/>
    <w:next w:val="Normal"/>
    <w:link w:val="Index3Car"/>
    <w:autoRedefine/>
    <w:uiPriority w:val="99"/>
    <w:rsid w:val="00DB48F2"/>
    <w:pPr>
      <w:ind w:left="851" w:hanging="284"/>
    </w:pPr>
  </w:style>
  <w:style w:type="paragraph" w:styleId="Index4">
    <w:name w:val="index 4"/>
    <w:next w:val="Normal"/>
    <w:link w:val="Index4Car"/>
    <w:autoRedefine/>
    <w:uiPriority w:val="99"/>
    <w:rsid w:val="00DB48F2"/>
    <w:pPr>
      <w:ind w:left="1135" w:hanging="284"/>
    </w:pPr>
  </w:style>
  <w:style w:type="paragraph" w:styleId="Index5">
    <w:name w:val="index 5"/>
    <w:next w:val="Normal"/>
    <w:link w:val="Index5Car"/>
    <w:autoRedefine/>
    <w:uiPriority w:val="99"/>
    <w:rsid w:val="00DB48F2"/>
    <w:pPr>
      <w:ind w:left="1418" w:hanging="284"/>
    </w:pPr>
  </w:style>
  <w:style w:type="paragraph" w:styleId="Index6">
    <w:name w:val="index 6"/>
    <w:next w:val="Normal"/>
    <w:link w:val="Index6Car"/>
    <w:autoRedefine/>
    <w:uiPriority w:val="99"/>
    <w:rsid w:val="00DB48F2"/>
    <w:pPr>
      <w:ind w:left="1702" w:hanging="284"/>
    </w:pPr>
  </w:style>
  <w:style w:type="paragraph" w:styleId="Index7">
    <w:name w:val="index 7"/>
    <w:next w:val="Normal"/>
    <w:link w:val="Index7Car"/>
    <w:autoRedefine/>
    <w:uiPriority w:val="99"/>
    <w:rsid w:val="00DB48F2"/>
    <w:pPr>
      <w:ind w:left="1985" w:hanging="284"/>
    </w:pPr>
  </w:style>
  <w:style w:type="paragraph" w:styleId="Index8">
    <w:name w:val="index 8"/>
    <w:next w:val="Normal"/>
    <w:link w:val="Index8Car"/>
    <w:autoRedefine/>
    <w:uiPriority w:val="99"/>
    <w:rsid w:val="00DB48F2"/>
    <w:pPr>
      <w:ind w:left="2269" w:hanging="284"/>
    </w:pPr>
  </w:style>
  <w:style w:type="paragraph" w:styleId="Index9">
    <w:name w:val="index 9"/>
    <w:next w:val="Normal"/>
    <w:link w:val="Index9Car"/>
    <w:autoRedefine/>
    <w:uiPriority w:val="99"/>
    <w:rsid w:val="00DB48F2"/>
    <w:pPr>
      <w:ind w:left="2552" w:hanging="284"/>
    </w:pPr>
  </w:style>
  <w:style w:type="character" w:customStyle="1" w:styleId="Index1Car">
    <w:name w:val="Index 1 Car"/>
    <w:basedOn w:val="Policepardfaut"/>
    <w:link w:val="Index1"/>
    <w:uiPriority w:val="99"/>
    <w:rsid w:val="00DB48F2"/>
  </w:style>
  <w:style w:type="character" w:customStyle="1" w:styleId="Index2Car">
    <w:name w:val="Index 2 Car"/>
    <w:basedOn w:val="Policepardfaut"/>
    <w:link w:val="Index2"/>
    <w:uiPriority w:val="99"/>
    <w:rsid w:val="00DB48F2"/>
  </w:style>
  <w:style w:type="character" w:customStyle="1" w:styleId="Index3Car">
    <w:name w:val="Index 3 Car"/>
    <w:basedOn w:val="Policepardfaut"/>
    <w:link w:val="Index3"/>
    <w:uiPriority w:val="99"/>
    <w:rsid w:val="00DB48F2"/>
  </w:style>
  <w:style w:type="character" w:customStyle="1" w:styleId="Index4Car">
    <w:name w:val="Index 4 Car"/>
    <w:basedOn w:val="Policepardfaut"/>
    <w:link w:val="Index4"/>
    <w:uiPriority w:val="99"/>
    <w:rsid w:val="00DB48F2"/>
  </w:style>
  <w:style w:type="character" w:customStyle="1" w:styleId="Index5Car">
    <w:name w:val="Index 5 Car"/>
    <w:basedOn w:val="Policepardfaut"/>
    <w:link w:val="Index5"/>
    <w:uiPriority w:val="99"/>
    <w:rsid w:val="00DB48F2"/>
  </w:style>
  <w:style w:type="character" w:customStyle="1" w:styleId="Index6Car">
    <w:name w:val="Index 6 Car"/>
    <w:basedOn w:val="Policepardfaut"/>
    <w:link w:val="Index6"/>
    <w:uiPriority w:val="99"/>
    <w:rsid w:val="00DB48F2"/>
  </w:style>
  <w:style w:type="character" w:customStyle="1" w:styleId="Index7Car">
    <w:name w:val="Index 7 Car"/>
    <w:basedOn w:val="Policepardfaut"/>
    <w:link w:val="Index7"/>
    <w:uiPriority w:val="99"/>
    <w:rsid w:val="00DB48F2"/>
  </w:style>
  <w:style w:type="character" w:customStyle="1" w:styleId="Index8Car">
    <w:name w:val="Index 8 Car"/>
    <w:basedOn w:val="Policepardfaut"/>
    <w:link w:val="Index8"/>
    <w:uiPriority w:val="99"/>
    <w:rsid w:val="00DB48F2"/>
  </w:style>
  <w:style w:type="character" w:customStyle="1" w:styleId="Index9Car">
    <w:name w:val="Index 9 Car"/>
    <w:basedOn w:val="Policepardfaut"/>
    <w:link w:val="Index9"/>
    <w:uiPriority w:val="99"/>
    <w:rsid w:val="00DB48F2"/>
  </w:style>
  <w:style w:type="paragraph" w:styleId="Listenumros3">
    <w:name w:val="List Number 3"/>
    <w:basedOn w:val="Normal"/>
    <w:uiPriority w:val="99"/>
    <w:rsid w:val="008C1A07"/>
    <w:pPr>
      <w:numPr>
        <w:numId w:val="3"/>
      </w:numPr>
      <w:ind w:left="851" w:hanging="284"/>
      <w:contextualSpacing/>
    </w:pPr>
  </w:style>
  <w:style w:type="paragraph" w:styleId="Listenumros5">
    <w:name w:val="List Number 5"/>
    <w:basedOn w:val="Normal"/>
    <w:uiPriority w:val="99"/>
    <w:rsid w:val="008C1A07"/>
    <w:pPr>
      <w:numPr>
        <w:numId w:val="5"/>
      </w:numPr>
      <w:ind w:left="1418" w:hanging="284"/>
      <w:contextualSpacing/>
    </w:pPr>
  </w:style>
  <w:style w:type="paragraph" w:styleId="Listepuces">
    <w:name w:val="List Bullet"/>
    <w:basedOn w:val="Normal"/>
    <w:uiPriority w:val="99"/>
    <w:rsid w:val="000451A8"/>
    <w:pPr>
      <w:numPr>
        <w:numId w:val="6"/>
      </w:numPr>
      <w:ind w:left="284" w:hanging="284"/>
      <w:contextualSpacing/>
    </w:pPr>
  </w:style>
  <w:style w:type="paragraph" w:styleId="Listecontinue">
    <w:name w:val="List Continue"/>
    <w:basedOn w:val="Normal"/>
    <w:uiPriority w:val="99"/>
    <w:rsid w:val="000451A8"/>
    <w:pPr>
      <w:spacing w:after="120"/>
      <w:ind w:left="284"/>
      <w:contextualSpacing/>
    </w:pPr>
  </w:style>
  <w:style w:type="paragraph" w:customStyle="1" w:styleId="Texte">
    <w:name w:val="Texte"/>
    <w:next w:val="Normal"/>
    <w:link w:val="TexteCar"/>
    <w:uiPriority w:val="1"/>
    <w:qFormat/>
    <w:rsid w:val="00204B43"/>
    <w:pPr>
      <w:spacing w:before="120" w:after="120"/>
      <w:jc w:val="both"/>
    </w:pPr>
  </w:style>
  <w:style w:type="character" w:customStyle="1" w:styleId="LgendeCar">
    <w:name w:val="Légende Car"/>
    <w:basedOn w:val="Policepardfaut"/>
    <w:link w:val="Lgende"/>
    <w:uiPriority w:val="12"/>
    <w:rsid w:val="002C51A8"/>
    <w:rPr>
      <w:b/>
    </w:rPr>
  </w:style>
  <w:style w:type="character" w:customStyle="1" w:styleId="TexteCar">
    <w:name w:val="Texte Car"/>
    <w:basedOn w:val="Policepardfaut"/>
    <w:link w:val="Texte"/>
    <w:uiPriority w:val="1"/>
    <w:rsid w:val="00204B43"/>
  </w:style>
  <w:style w:type="table" w:styleId="Grilledutableau">
    <w:name w:val="Table Grid"/>
    <w:basedOn w:val="TableauNormal"/>
    <w:uiPriority w:val="59"/>
    <w:rsid w:val="009E2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au">
    <w:name w:val="Tableau"/>
    <w:next w:val="Normal"/>
    <w:qFormat/>
    <w:rsid w:val="0085056B"/>
  </w:style>
  <w:style w:type="paragraph" w:styleId="NormalWeb">
    <w:name w:val="Normal (Web)"/>
    <w:basedOn w:val="Normal"/>
    <w:uiPriority w:val="99"/>
    <w:unhideWhenUsed/>
    <w:rsid w:val="008E2C09"/>
    <w:pPr>
      <w:spacing w:before="100" w:beforeAutospacing="1" w:after="100" w:afterAutospacing="1"/>
    </w:pPr>
    <w:rPr>
      <w:rFonts w:eastAsiaTheme="minorEastAsia"/>
    </w:rPr>
  </w:style>
  <w:style w:type="paragraph" w:customStyle="1" w:styleId="Grandtitre">
    <w:name w:val="Grand titre"/>
    <w:next w:val="Normal"/>
    <w:uiPriority w:val="27"/>
    <w:qFormat/>
    <w:rsid w:val="00D16DBA"/>
    <w:pPr>
      <w:spacing w:before="840" w:after="240"/>
      <w:jc w:val="center"/>
    </w:pPr>
    <w:rPr>
      <w:rFonts w:ascii="Arial Black" w:hAnsi="Arial Black"/>
      <w:b/>
      <w:sz w:val="40"/>
    </w:rPr>
  </w:style>
  <w:style w:type="paragraph" w:customStyle="1" w:styleId="Grandsous-titre">
    <w:name w:val="Grand sous-titre"/>
    <w:basedOn w:val="Sous-titre"/>
    <w:next w:val="Normal"/>
    <w:uiPriority w:val="28"/>
    <w:qFormat/>
    <w:rsid w:val="00D16DBA"/>
    <w:pPr>
      <w:spacing w:after="840"/>
      <w:jc w:val="center"/>
    </w:pPr>
    <w:rPr>
      <w:rFonts w:ascii="Arial Black" w:hAnsi="Arial Black"/>
      <w:b/>
    </w:rPr>
  </w:style>
  <w:style w:type="paragraph" w:styleId="Explorateurdedocuments">
    <w:name w:val="Document Map"/>
    <w:basedOn w:val="Normal"/>
    <w:link w:val="ExplorateurdedocumentsCar"/>
    <w:uiPriority w:val="99"/>
    <w:rsid w:val="00DB2597"/>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DB2597"/>
    <w:rPr>
      <w:rFonts w:ascii="Tahoma" w:hAnsi="Tahoma" w:cs="Tahoma"/>
      <w:color w:val="FF0000"/>
      <w:sz w:val="16"/>
      <w:szCs w:val="16"/>
    </w:rPr>
  </w:style>
  <w:style w:type="paragraph" w:customStyle="1" w:styleId="Corpstexte">
    <w:name w:val="Corps texte"/>
    <w:basedOn w:val="Normal"/>
    <w:link w:val="CorpstexteCar"/>
    <w:qFormat/>
    <w:rsid w:val="00EB1C36"/>
    <w:pPr>
      <w:spacing w:after="200" w:line="276" w:lineRule="auto"/>
      <w:jc w:val="both"/>
    </w:pPr>
    <w:rPr>
      <w:rFonts w:asciiTheme="minorHAnsi" w:eastAsiaTheme="minorHAnsi" w:hAnsiTheme="minorHAnsi"/>
      <w:color w:val="auto"/>
      <w:sz w:val="22"/>
      <w:lang w:eastAsia="en-US"/>
    </w:rPr>
  </w:style>
  <w:style w:type="paragraph" w:customStyle="1" w:styleId="Graphiques">
    <w:name w:val="Graphiques"/>
    <w:basedOn w:val="Lgende"/>
    <w:link w:val="GraphiquesCar"/>
    <w:qFormat/>
    <w:rsid w:val="00EB1C36"/>
    <w:pPr>
      <w:spacing w:after="120"/>
      <w:contextualSpacing w:val="0"/>
      <w:jc w:val="center"/>
    </w:pPr>
    <w:rPr>
      <w:rFonts w:asciiTheme="minorHAnsi" w:hAnsiTheme="minorHAnsi"/>
      <w:sz w:val="20"/>
    </w:rPr>
  </w:style>
  <w:style w:type="character" w:customStyle="1" w:styleId="CorpstexteCar">
    <w:name w:val="Corps texte Car"/>
    <w:basedOn w:val="Policepardfaut"/>
    <w:link w:val="Corpstexte"/>
    <w:rsid w:val="00EB1C36"/>
    <w:rPr>
      <w:rFonts w:asciiTheme="minorHAnsi" w:eastAsiaTheme="minorHAnsi" w:hAnsiTheme="minorHAnsi"/>
      <w:sz w:val="22"/>
      <w:lang w:eastAsia="en-US"/>
    </w:rPr>
  </w:style>
  <w:style w:type="paragraph" w:customStyle="1" w:styleId="Sources">
    <w:name w:val="Sources"/>
    <w:basedOn w:val="Normal"/>
    <w:link w:val="SourcesCar"/>
    <w:qFormat/>
    <w:rsid w:val="00EB1C36"/>
    <w:pPr>
      <w:spacing w:line="264" w:lineRule="auto"/>
      <w:ind w:firstLine="708"/>
    </w:pPr>
    <w:rPr>
      <w:rFonts w:asciiTheme="minorHAnsi" w:eastAsia="SimSun" w:hAnsiTheme="minorHAnsi"/>
      <w:color w:val="auto"/>
      <w:sz w:val="20"/>
      <w:szCs w:val="20"/>
      <w:lang w:eastAsia="x-none"/>
    </w:rPr>
  </w:style>
  <w:style w:type="character" w:customStyle="1" w:styleId="GraphiquesCar">
    <w:name w:val="Graphiques Car"/>
    <w:basedOn w:val="LgendeCar"/>
    <w:link w:val="Graphiques"/>
    <w:rsid w:val="00EB1C36"/>
    <w:rPr>
      <w:rFonts w:asciiTheme="minorHAnsi" w:hAnsiTheme="minorHAnsi"/>
      <w:b/>
      <w:sz w:val="20"/>
    </w:rPr>
  </w:style>
  <w:style w:type="paragraph" w:customStyle="1" w:styleId="Titreparties1">
    <w:name w:val="Titre parties 1"/>
    <w:basedOn w:val="Titre2"/>
    <w:link w:val="Titreparties1Car"/>
    <w:qFormat/>
    <w:rsid w:val="00EB1C36"/>
    <w:pPr>
      <w:keepNext/>
      <w:keepLines/>
      <w:numPr>
        <w:numId w:val="0"/>
      </w:numPr>
      <w:spacing w:before="200" w:after="0" w:line="276" w:lineRule="auto"/>
    </w:pPr>
    <w:rPr>
      <w:rFonts w:asciiTheme="minorHAnsi" w:eastAsiaTheme="majorEastAsia" w:hAnsiTheme="minorHAnsi" w:cstheme="majorBidi"/>
      <w:bCs/>
      <w:sz w:val="26"/>
      <w:szCs w:val="26"/>
      <w:lang w:eastAsia="en-US"/>
    </w:rPr>
  </w:style>
  <w:style w:type="character" w:customStyle="1" w:styleId="SourcesCar">
    <w:name w:val="Sources Car"/>
    <w:basedOn w:val="Policepardfaut"/>
    <w:link w:val="Sources"/>
    <w:rsid w:val="00EB1C36"/>
    <w:rPr>
      <w:rFonts w:asciiTheme="minorHAnsi" w:eastAsia="SimSun" w:hAnsiTheme="minorHAnsi"/>
      <w:sz w:val="20"/>
      <w:szCs w:val="20"/>
      <w:lang w:eastAsia="x-none"/>
    </w:rPr>
  </w:style>
  <w:style w:type="paragraph" w:customStyle="1" w:styleId="Titre2parties">
    <w:name w:val="Titre 2 parties"/>
    <w:basedOn w:val="Titre3"/>
    <w:link w:val="Titre2partiesCar"/>
    <w:qFormat/>
    <w:rsid w:val="00EB1C36"/>
    <w:pPr>
      <w:keepNext/>
      <w:keepLines/>
      <w:numPr>
        <w:numId w:val="0"/>
      </w:numPr>
      <w:spacing w:before="320" w:line="276" w:lineRule="auto"/>
      <w:jc w:val="center"/>
    </w:pPr>
    <w:rPr>
      <w:rFonts w:asciiTheme="minorHAnsi" w:eastAsiaTheme="majorEastAsia" w:hAnsiTheme="minorHAnsi" w:cstheme="majorBidi"/>
      <w:bCs/>
      <w:szCs w:val="22"/>
      <w:lang w:eastAsia="en-US"/>
    </w:rPr>
  </w:style>
  <w:style w:type="character" w:customStyle="1" w:styleId="Titreparties1Car">
    <w:name w:val="Titre parties 1 Car"/>
    <w:basedOn w:val="Titre2Car"/>
    <w:link w:val="Titreparties1"/>
    <w:rsid w:val="00EB1C36"/>
    <w:rPr>
      <w:rFonts w:asciiTheme="minorHAnsi" w:eastAsiaTheme="majorEastAsia" w:hAnsiTheme="minorHAnsi" w:cstheme="majorBidi"/>
      <w:b/>
      <w:bCs/>
      <w:sz w:val="26"/>
      <w:szCs w:val="26"/>
      <w:lang w:eastAsia="en-US"/>
    </w:rPr>
  </w:style>
  <w:style w:type="paragraph" w:customStyle="1" w:styleId="tableaux">
    <w:name w:val="tableaux"/>
    <w:basedOn w:val="Normal"/>
    <w:link w:val="tableauxCar"/>
    <w:qFormat/>
    <w:rsid w:val="00EB1C36"/>
    <w:pPr>
      <w:spacing w:before="120" w:after="120" w:line="264" w:lineRule="auto"/>
      <w:jc w:val="center"/>
    </w:pPr>
    <w:rPr>
      <w:rFonts w:asciiTheme="minorHAnsi" w:eastAsia="SimSun" w:hAnsiTheme="minorHAnsi"/>
      <w:b/>
      <w:color w:val="auto"/>
      <w:sz w:val="20"/>
      <w:szCs w:val="20"/>
      <w:lang w:val="fr-CA" w:eastAsia="fr-BE"/>
    </w:rPr>
  </w:style>
  <w:style w:type="character" w:customStyle="1" w:styleId="Titre2partiesCar">
    <w:name w:val="Titre 2 parties Car"/>
    <w:basedOn w:val="Titre3Car"/>
    <w:link w:val="Titre2parties"/>
    <w:rsid w:val="00EB1C36"/>
    <w:rPr>
      <w:rFonts w:asciiTheme="minorHAnsi" w:eastAsiaTheme="majorEastAsia" w:hAnsiTheme="minorHAnsi" w:cstheme="majorBidi"/>
      <w:b/>
      <w:bCs/>
      <w:szCs w:val="22"/>
      <w:lang w:eastAsia="en-US"/>
    </w:rPr>
  </w:style>
  <w:style w:type="character" w:customStyle="1" w:styleId="tableauxCar">
    <w:name w:val="tableaux Car"/>
    <w:basedOn w:val="Policepardfaut"/>
    <w:link w:val="tableaux"/>
    <w:rsid w:val="00EB1C36"/>
    <w:rPr>
      <w:rFonts w:asciiTheme="minorHAnsi" w:eastAsia="SimSun" w:hAnsiTheme="minorHAnsi"/>
      <w:b/>
      <w:sz w:val="20"/>
      <w:szCs w:val="20"/>
      <w:lang w:val="fr-CA" w:eastAsia="fr-BE"/>
    </w:rPr>
  </w:style>
  <w:style w:type="paragraph" w:customStyle="1" w:styleId="NDP">
    <w:name w:val="NDP"/>
    <w:basedOn w:val="Notedebasdepage"/>
    <w:link w:val="NDPCar"/>
    <w:qFormat/>
    <w:rsid w:val="00EB1C36"/>
    <w:rPr>
      <w:rFonts w:asciiTheme="minorHAnsi" w:eastAsiaTheme="minorHAnsi" w:hAnsiTheme="minorHAnsi"/>
      <w:color w:val="auto"/>
      <w:lang w:eastAsia="en-US"/>
    </w:rPr>
  </w:style>
  <w:style w:type="character" w:customStyle="1" w:styleId="NDPCar">
    <w:name w:val="NDP Car"/>
    <w:basedOn w:val="NotedebasdepageCar"/>
    <w:link w:val="NDP"/>
    <w:rsid w:val="00EB1C36"/>
    <w:rPr>
      <w:rFonts w:asciiTheme="minorHAnsi" w:eastAsiaTheme="minorHAnsi" w:hAnsiTheme="minorHAns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8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olution-fiscale.fr/simulez-votre-propre-reforme-fiscale" TargetMode="Externa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alcxml.com/calculators/trump-tax-reform-calculator" TargetMode="External"/><Relationship Id="rId4" Type="http://schemas.openxmlformats.org/officeDocument/2006/relationships/settings" Target="settings.xml"/><Relationship Id="rId9" Type="http://schemas.openxmlformats.org/officeDocument/2006/relationships/hyperlink" Target="http://www.crfb.org/corporate/"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abouter\Desktop\FERDI\2.%20Zone%20Franc%202016\Mod&#232;le%20IS\R&#233;daction%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'Graphs nouveaux'!$B$1</c:f>
              <c:strCache>
                <c:ptCount val="1"/>
                <c:pt idx="0">
                  <c:v>Taux de marge avant impôts de 7,5%</c:v>
                </c:pt>
              </c:strCache>
            </c:strRef>
          </c:tx>
          <c:spPr>
            <a:solidFill>
              <a:schemeClr val="tx2">
                <a:lumMod val="60000"/>
                <a:lumOff val="40000"/>
              </a:schemeClr>
            </a:solidFill>
          </c:spPr>
          <c:invertIfNegative val="0"/>
          <c:cat>
            <c:strRef>
              <c:f>'Graphs nouveaux'!$A$2:$A$13</c:f>
              <c:strCache>
                <c:ptCount val="12"/>
                <c:pt idx="0">
                  <c:v>Côte d'Ivoire</c:v>
                </c:pt>
                <c:pt idx="1">
                  <c:v>Burkina Faso</c:v>
                </c:pt>
                <c:pt idx="2">
                  <c:v>Sénégal</c:v>
                </c:pt>
                <c:pt idx="3">
                  <c:v>Bénin</c:v>
                </c:pt>
                <c:pt idx="4">
                  <c:v>Togo</c:v>
                </c:pt>
                <c:pt idx="5">
                  <c:v>Niger</c:v>
                </c:pt>
                <c:pt idx="6">
                  <c:v>Mali</c:v>
                </c:pt>
                <c:pt idx="7">
                  <c:v>Centrafrique</c:v>
                </c:pt>
                <c:pt idx="8">
                  <c:v>Congo</c:v>
                </c:pt>
                <c:pt idx="9">
                  <c:v>Gabon</c:v>
                </c:pt>
                <c:pt idx="10">
                  <c:v>Cameroun</c:v>
                </c:pt>
                <c:pt idx="11">
                  <c:v>Tchad</c:v>
                </c:pt>
              </c:strCache>
            </c:strRef>
          </c:cat>
          <c:val>
            <c:numRef>
              <c:f>'Graphs nouveaux'!$B$2:$B$13</c:f>
              <c:numCache>
                <c:formatCode>0.0%</c:formatCode>
                <c:ptCount val="12"/>
                <c:pt idx="0">
                  <c:v>0.28212095046102048</c:v>
                </c:pt>
                <c:pt idx="1">
                  <c:v>0.31093388222840057</c:v>
                </c:pt>
                <c:pt idx="2">
                  <c:v>0.31459716244220237</c:v>
                </c:pt>
                <c:pt idx="3">
                  <c:v>0.31941361813840624</c:v>
                </c:pt>
                <c:pt idx="4">
                  <c:v>0.31160677832519357</c:v>
                </c:pt>
                <c:pt idx="5">
                  <c:v>0.33326295321158972</c:v>
                </c:pt>
                <c:pt idx="6">
                  <c:v>0.33731551687258304</c:v>
                </c:pt>
                <c:pt idx="7">
                  <c:v>0.33506639055715276</c:v>
                </c:pt>
                <c:pt idx="8">
                  <c:v>0.37482113739259615</c:v>
                </c:pt>
                <c:pt idx="9">
                  <c:v>0.38563199802889464</c:v>
                </c:pt>
                <c:pt idx="10">
                  <c:v>0.39476286541624439</c:v>
                </c:pt>
                <c:pt idx="11">
                  <c:v>0.44383258402846387</c:v>
                </c:pt>
              </c:numCache>
            </c:numRef>
          </c:val>
          <c:extLst>
            <c:ext xmlns:c16="http://schemas.microsoft.com/office/drawing/2014/chart" uri="{C3380CC4-5D6E-409C-BE32-E72D297353CC}">
              <c16:uniqueId val="{00000000-0659-46FD-8C11-1200A4803D84}"/>
            </c:ext>
          </c:extLst>
        </c:ser>
        <c:ser>
          <c:idx val="1"/>
          <c:order val="1"/>
          <c:tx>
            <c:strRef>
              <c:f>'Graphs nouveaux'!$C$1</c:f>
              <c:strCache>
                <c:ptCount val="1"/>
                <c:pt idx="0">
                  <c:v>Taux de marge avant impôts de 22,5%</c:v>
                </c:pt>
              </c:strCache>
            </c:strRef>
          </c:tx>
          <c:spPr>
            <a:solidFill>
              <a:srgbClr val="C00000"/>
            </a:solidFill>
          </c:spPr>
          <c:invertIfNegative val="0"/>
          <c:cat>
            <c:strRef>
              <c:f>'Graphs nouveaux'!$A$2:$A$13</c:f>
              <c:strCache>
                <c:ptCount val="12"/>
                <c:pt idx="0">
                  <c:v>Côte d'Ivoire</c:v>
                </c:pt>
                <c:pt idx="1">
                  <c:v>Burkina Faso</c:v>
                </c:pt>
                <c:pt idx="2">
                  <c:v>Sénégal</c:v>
                </c:pt>
                <c:pt idx="3">
                  <c:v>Bénin</c:v>
                </c:pt>
                <c:pt idx="4">
                  <c:v>Togo</c:v>
                </c:pt>
                <c:pt idx="5">
                  <c:v>Niger</c:v>
                </c:pt>
                <c:pt idx="6">
                  <c:v>Mali</c:v>
                </c:pt>
                <c:pt idx="7">
                  <c:v>Centrafrique</c:v>
                </c:pt>
                <c:pt idx="8">
                  <c:v>Congo</c:v>
                </c:pt>
                <c:pt idx="9">
                  <c:v>Gabon</c:v>
                </c:pt>
                <c:pt idx="10">
                  <c:v>Cameroun</c:v>
                </c:pt>
                <c:pt idx="11">
                  <c:v>Tchad</c:v>
                </c:pt>
              </c:strCache>
            </c:strRef>
          </c:cat>
          <c:val>
            <c:numRef>
              <c:f>'Graphs nouveaux'!$C$2:$C$13</c:f>
              <c:numCache>
                <c:formatCode>0.0%</c:formatCode>
                <c:ptCount val="12"/>
                <c:pt idx="0">
                  <c:v>0.31052373968555813</c:v>
                </c:pt>
                <c:pt idx="1">
                  <c:v>0.32853109699163963</c:v>
                </c:pt>
                <c:pt idx="2">
                  <c:v>0.33804775996980341</c:v>
                </c:pt>
                <c:pt idx="3">
                  <c:v>0.33967382834587212</c:v>
                </c:pt>
                <c:pt idx="4">
                  <c:v>0.34035015165679605</c:v>
                </c:pt>
                <c:pt idx="5">
                  <c:v>0.3443494585628869</c:v>
                </c:pt>
                <c:pt idx="6">
                  <c:v>0.34571763176467601</c:v>
                </c:pt>
                <c:pt idx="7">
                  <c:v>0.36151814040177366</c:v>
                </c:pt>
                <c:pt idx="8">
                  <c:v>0.37493961476074805</c:v>
                </c:pt>
                <c:pt idx="9">
                  <c:v>0.3951492642918068</c:v>
                </c:pt>
                <c:pt idx="10">
                  <c:v>0.40187534974109634</c:v>
                </c:pt>
                <c:pt idx="11">
                  <c:v>0.44791783819764391</c:v>
                </c:pt>
              </c:numCache>
            </c:numRef>
          </c:val>
          <c:extLst>
            <c:ext xmlns:c16="http://schemas.microsoft.com/office/drawing/2014/chart" uri="{C3380CC4-5D6E-409C-BE32-E72D297353CC}">
              <c16:uniqueId val="{00000001-0659-46FD-8C11-1200A4803D84}"/>
            </c:ext>
          </c:extLst>
        </c:ser>
        <c:dLbls>
          <c:showLegendKey val="0"/>
          <c:showVal val="0"/>
          <c:showCatName val="0"/>
          <c:showSerName val="0"/>
          <c:showPercent val="0"/>
          <c:showBubbleSize val="0"/>
        </c:dLbls>
        <c:gapWidth val="150"/>
        <c:axId val="223024640"/>
        <c:axId val="223086848"/>
      </c:barChart>
      <c:catAx>
        <c:axId val="223024640"/>
        <c:scaling>
          <c:orientation val="minMax"/>
        </c:scaling>
        <c:delete val="0"/>
        <c:axPos val="b"/>
        <c:numFmt formatCode="General" sourceLinked="0"/>
        <c:majorTickMark val="out"/>
        <c:minorTickMark val="none"/>
        <c:tickLblPos val="nextTo"/>
        <c:crossAx val="223086848"/>
        <c:crosses val="autoZero"/>
        <c:auto val="1"/>
        <c:lblAlgn val="ctr"/>
        <c:lblOffset val="100"/>
        <c:noMultiLvlLbl val="0"/>
      </c:catAx>
      <c:valAx>
        <c:axId val="223086848"/>
        <c:scaling>
          <c:orientation val="minMax"/>
        </c:scaling>
        <c:delete val="0"/>
        <c:axPos val="l"/>
        <c:majorGridlines/>
        <c:numFmt formatCode="0%" sourceLinked="0"/>
        <c:majorTickMark val="out"/>
        <c:minorTickMark val="none"/>
        <c:tickLblPos val="nextTo"/>
        <c:crossAx val="223024640"/>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'Graphs nouveaux'!$B$67</c:f>
              <c:strCache>
                <c:ptCount val="1"/>
                <c:pt idx="0">
                  <c:v>Taux statutaire d'IS sous le régime général</c:v>
                </c:pt>
              </c:strCache>
            </c:strRef>
          </c:tx>
          <c:spPr>
            <a:solidFill>
              <a:schemeClr val="accent3"/>
            </a:solidFill>
          </c:spPr>
          <c:invertIfNegative val="0"/>
          <c:cat>
            <c:strRef>
              <c:f>'Graphs nouveaux'!$A$68:$A$79</c:f>
              <c:strCache>
                <c:ptCount val="12"/>
                <c:pt idx="0">
                  <c:v>Côte d'Ivoire</c:v>
                </c:pt>
                <c:pt idx="1">
                  <c:v>Burkina Faso</c:v>
                </c:pt>
                <c:pt idx="2">
                  <c:v>Togo</c:v>
                </c:pt>
                <c:pt idx="3">
                  <c:v>Mali</c:v>
                </c:pt>
                <c:pt idx="4">
                  <c:v>Bénin</c:v>
                </c:pt>
                <c:pt idx="5">
                  <c:v>Sénégal</c:v>
                </c:pt>
                <c:pt idx="6">
                  <c:v>Congo</c:v>
                </c:pt>
                <c:pt idx="7">
                  <c:v>Gabon</c:v>
                </c:pt>
                <c:pt idx="8">
                  <c:v>Niger</c:v>
                </c:pt>
                <c:pt idx="9">
                  <c:v>Centrafrique</c:v>
                </c:pt>
                <c:pt idx="10">
                  <c:v>Cameroun</c:v>
                </c:pt>
                <c:pt idx="11">
                  <c:v>Tchad</c:v>
                </c:pt>
              </c:strCache>
            </c:strRef>
          </c:cat>
          <c:val>
            <c:numRef>
              <c:f>'Graphs nouveaux'!$B$68:$B$79</c:f>
              <c:numCache>
                <c:formatCode>0.0%</c:formatCode>
                <c:ptCount val="12"/>
                <c:pt idx="0">
                  <c:v>0.25</c:v>
                </c:pt>
                <c:pt idx="1">
                  <c:v>0.27500000000000002</c:v>
                </c:pt>
                <c:pt idx="2">
                  <c:v>0.28999999999999998</c:v>
                </c:pt>
                <c:pt idx="3">
                  <c:v>0.3</c:v>
                </c:pt>
                <c:pt idx="4">
                  <c:v>0.3</c:v>
                </c:pt>
                <c:pt idx="5">
                  <c:v>0.3</c:v>
                </c:pt>
                <c:pt idx="6">
                  <c:v>0.3</c:v>
                </c:pt>
                <c:pt idx="7">
                  <c:v>0.3</c:v>
                </c:pt>
                <c:pt idx="8">
                  <c:v>0.3</c:v>
                </c:pt>
                <c:pt idx="9">
                  <c:v>0.3</c:v>
                </c:pt>
                <c:pt idx="10">
                  <c:v>0.33</c:v>
                </c:pt>
                <c:pt idx="11">
                  <c:v>0.35</c:v>
                </c:pt>
              </c:numCache>
            </c:numRef>
          </c:val>
          <c:extLst>
            <c:ext xmlns:c16="http://schemas.microsoft.com/office/drawing/2014/chart" uri="{C3380CC4-5D6E-409C-BE32-E72D297353CC}">
              <c16:uniqueId val="{00000000-C3F6-4C27-A396-5C4FCAA1D9D1}"/>
            </c:ext>
          </c:extLst>
        </c:ser>
        <c:ser>
          <c:idx val="1"/>
          <c:order val="1"/>
          <c:tx>
            <c:strRef>
              <c:f>'Graphs nouveaux'!$C$67</c:f>
              <c:strCache>
                <c:ptCount val="1"/>
                <c:pt idx="0">
                  <c:v>Taux effectif moyen d'IS sous le régime général (marge avant impôts de 22,5%)</c:v>
                </c:pt>
              </c:strCache>
            </c:strRef>
          </c:tx>
          <c:spPr>
            <a:solidFill>
              <a:schemeClr val="tx2">
                <a:lumMod val="60000"/>
                <a:lumOff val="40000"/>
              </a:schemeClr>
            </a:solidFill>
          </c:spPr>
          <c:invertIfNegative val="0"/>
          <c:cat>
            <c:strRef>
              <c:f>'Graphs nouveaux'!$A$68:$A$79</c:f>
              <c:strCache>
                <c:ptCount val="12"/>
                <c:pt idx="0">
                  <c:v>Côte d'Ivoire</c:v>
                </c:pt>
                <c:pt idx="1">
                  <c:v>Burkina Faso</c:v>
                </c:pt>
                <c:pt idx="2">
                  <c:v>Togo</c:v>
                </c:pt>
                <c:pt idx="3">
                  <c:v>Mali</c:v>
                </c:pt>
                <c:pt idx="4">
                  <c:v>Bénin</c:v>
                </c:pt>
                <c:pt idx="5">
                  <c:v>Sénégal</c:v>
                </c:pt>
                <c:pt idx="6">
                  <c:v>Congo</c:v>
                </c:pt>
                <c:pt idx="7">
                  <c:v>Gabon</c:v>
                </c:pt>
                <c:pt idx="8">
                  <c:v>Niger</c:v>
                </c:pt>
                <c:pt idx="9">
                  <c:v>Centrafrique</c:v>
                </c:pt>
                <c:pt idx="10">
                  <c:v>Cameroun</c:v>
                </c:pt>
                <c:pt idx="11">
                  <c:v>Tchad</c:v>
                </c:pt>
              </c:strCache>
            </c:strRef>
          </c:cat>
          <c:val>
            <c:numRef>
              <c:f>'Graphs nouveaux'!$C$68:$C$79</c:f>
              <c:numCache>
                <c:formatCode>0.0%</c:formatCode>
                <c:ptCount val="12"/>
                <c:pt idx="0">
                  <c:v>0.22944298187514994</c:v>
                </c:pt>
                <c:pt idx="1">
                  <c:v>0.25590504705808181</c:v>
                </c:pt>
                <c:pt idx="2">
                  <c:v>0.26986350417034044</c:v>
                </c:pt>
                <c:pt idx="3">
                  <c:v>0.27530375762979553</c:v>
                </c:pt>
                <c:pt idx="4">
                  <c:v>0.27831016788620538</c:v>
                </c:pt>
                <c:pt idx="5">
                  <c:v>0.27916914224517947</c:v>
                </c:pt>
                <c:pt idx="6">
                  <c:v>0.27995169180859847</c:v>
                </c:pt>
                <c:pt idx="7">
                  <c:v>0.28209912770603462</c:v>
                </c:pt>
                <c:pt idx="8">
                  <c:v>0.2837647373762473</c:v>
                </c:pt>
                <c:pt idx="9">
                  <c:v>0.2863939995009061</c:v>
                </c:pt>
                <c:pt idx="10">
                  <c:v>0.31267121996381719</c:v>
                </c:pt>
                <c:pt idx="11">
                  <c:v>0.3253496766228588</c:v>
                </c:pt>
              </c:numCache>
            </c:numRef>
          </c:val>
          <c:extLst>
            <c:ext xmlns:c16="http://schemas.microsoft.com/office/drawing/2014/chart" uri="{C3380CC4-5D6E-409C-BE32-E72D297353CC}">
              <c16:uniqueId val="{00000001-C3F6-4C27-A396-5C4FCAA1D9D1}"/>
            </c:ext>
          </c:extLst>
        </c:ser>
        <c:ser>
          <c:idx val="2"/>
          <c:order val="2"/>
          <c:tx>
            <c:strRef>
              <c:f>'Graphs nouveaux'!$D$67</c:f>
              <c:strCache>
                <c:ptCount val="1"/>
                <c:pt idx="0">
                  <c:v>Taux effectif moyen d'IS sous le régime général (marge avant impôts de 7,5%)</c:v>
                </c:pt>
              </c:strCache>
            </c:strRef>
          </c:tx>
          <c:spPr>
            <a:solidFill>
              <a:srgbClr val="C00000"/>
            </a:solidFill>
          </c:spPr>
          <c:invertIfNegative val="0"/>
          <c:cat>
            <c:strRef>
              <c:f>'Graphs nouveaux'!$A$68:$A$79</c:f>
              <c:strCache>
                <c:ptCount val="12"/>
                <c:pt idx="0">
                  <c:v>Côte d'Ivoire</c:v>
                </c:pt>
                <c:pt idx="1">
                  <c:v>Burkina Faso</c:v>
                </c:pt>
                <c:pt idx="2">
                  <c:v>Togo</c:v>
                </c:pt>
                <c:pt idx="3">
                  <c:v>Mali</c:v>
                </c:pt>
                <c:pt idx="4">
                  <c:v>Bénin</c:v>
                </c:pt>
                <c:pt idx="5">
                  <c:v>Sénégal</c:v>
                </c:pt>
                <c:pt idx="6">
                  <c:v>Congo</c:v>
                </c:pt>
                <c:pt idx="7">
                  <c:v>Gabon</c:v>
                </c:pt>
                <c:pt idx="8">
                  <c:v>Niger</c:v>
                </c:pt>
                <c:pt idx="9">
                  <c:v>Centrafrique</c:v>
                </c:pt>
                <c:pt idx="10">
                  <c:v>Cameroun</c:v>
                </c:pt>
                <c:pt idx="11">
                  <c:v>Tchad</c:v>
                </c:pt>
              </c:strCache>
            </c:strRef>
          </c:cat>
          <c:val>
            <c:numRef>
              <c:f>'Graphs nouveaux'!$D$68:$D$79</c:f>
              <c:numCache>
                <c:formatCode>0.0%</c:formatCode>
                <c:ptCount val="12"/>
                <c:pt idx="0">
                  <c:v>0.1891095918833556</c:v>
                </c:pt>
                <c:pt idx="1">
                  <c:v>0.2184402659695078</c:v>
                </c:pt>
                <c:pt idx="2">
                  <c:v>0.23035518956784398</c:v>
                </c:pt>
                <c:pt idx="3">
                  <c:v>0.22684910487812726</c:v>
                </c:pt>
                <c:pt idx="4">
                  <c:v>0.23575416816926686</c:v>
                </c:pt>
                <c:pt idx="5">
                  <c:v>0.23829847196673409</c:v>
                </c:pt>
                <c:pt idx="6">
                  <c:v>0.24061640358496295</c:v>
                </c:pt>
                <c:pt idx="7">
                  <c:v>0.24697716307863307</c:v>
                </c:pt>
                <c:pt idx="8">
                  <c:v>0.2519107410891383</c:v>
                </c:pt>
                <c:pt idx="9">
                  <c:v>0.25969868206597535</c:v>
                </c:pt>
                <c:pt idx="10">
                  <c:v>0.29240506329113897</c:v>
                </c:pt>
                <c:pt idx="11">
                  <c:v>0.2769851180980879</c:v>
                </c:pt>
              </c:numCache>
            </c:numRef>
          </c:val>
          <c:extLst>
            <c:ext xmlns:c16="http://schemas.microsoft.com/office/drawing/2014/chart" uri="{C3380CC4-5D6E-409C-BE32-E72D297353CC}">
              <c16:uniqueId val="{00000002-C3F6-4C27-A396-5C4FCAA1D9D1}"/>
            </c:ext>
          </c:extLst>
        </c:ser>
        <c:dLbls>
          <c:showLegendKey val="0"/>
          <c:showVal val="0"/>
          <c:showCatName val="0"/>
          <c:showSerName val="0"/>
          <c:showPercent val="0"/>
          <c:showBubbleSize val="0"/>
        </c:dLbls>
        <c:gapWidth val="150"/>
        <c:axId val="232715008"/>
        <c:axId val="232717312"/>
      </c:barChart>
      <c:catAx>
        <c:axId val="232715008"/>
        <c:scaling>
          <c:orientation val="minMax"/>
        </c:scaling>
        <c:delete val="0"/>
        <c:axPos val="b"/>
        <c:numFmt formatCode="General" sourceLinked="0"/>
        <c:majorTickMark val="out"/>
        <c:minorTickMark val="none"/>
        <c:tickLblPos val="nextTo"/>
        <c:crossAx val="232717312"/>
        <c:crosses val="autoZero"/>
        <c:auto val="1"/>
        <c:lblAlgn val="ctr"/>
        <c:lblOffset val="100"/>
        <c:noMultiLvlLbl val="0"/>
      </c:catAx>
      <c:valAx>
        <c:axId val="232717312"/>
        <c:scaling>
          <c:orientation val="minMax"/>
        </c:scaling>
        <c:delete val="0"/>
        <c:axPos val="l"/>
        <c:majorGridlines/>
        <c:numFmt formatCode="0%" sourceLinked="0"/>
        <c:majorTickMark val="out"/>
        <c:minorTickMark val="none"/>
        <c:tickLblPos val="nextTo"/>
        <c:crossAx val="232715008"/>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'Graphs nouveaux'!$B$23</c:f>
              <c:strCache>
                <c:ptCount val="1"/>
                <c:pt idx="0">
                  <c:v>Taux de marge avant impôts de 7,5%</c:v>
                </c:pt>
              </c:strCache>
            </c:strRef>
          </c:tx>
          <c:spPr>
            <a:solidFill>
              <a:schemeClr val="tx2">
                <a:lumMod val="60000"/>
                <a:lumOff val="40000"/>
              </a:schemeClr>
            </a:solidFill>
          </c:spPr>
          <c:invertIfNegative val="0"/>
          <c:cat>
            <c:strRef>
              <c:f>'Graphs nouveaux'!$A$24:$A$35</c:f>
              <c:strCache>
                <c:ptCount val="12"/>
                <c:pt idx="0">
                  <c:v>Bénin</c:v>
                </c:pt>
                <c:pt idx="1">
                  <c:v>Côte d'Ivoire</c:v>
                </c:pt>
                <c:pt idx="2">
                  <c:v>Tchad</c:v>
                </c:pt>
                <c:pt idx="3">
                  <c:v>Gabon</c:v>
                </c:pt>
                <c:pt idx="4">
                  <c:v>Cameroun</c:v>
                </c:pt>
                <c:pt idx="5">
                  <c:v>Congo</c:v>
                </c:pt>
                <c:pt idx="6">
                  <c:v>Centrafrique</c:v>
                </c:pt>
                <c:pt idx="7">
                  <c:v>Mali</c:v>
                </c:pt>
                <c:pt idx="8">
                  <c:v>Burkina Faso</c:v>
                </c:pt>
                <c:pt idx="9">
                  <c:v>Sénégal</c:v>
                </c:pt>
                <c:pt idx="10">
                  <c:v>Togo</c:v>
                </c:pt>
                <c:pt idx="11">
                  <c:v>Niger</c:v>
                </c:pt>
              </c:strCache>
            </c:strRef>
          </c:cat>
          <c:val>
            <c:numRef>
              <c:f>'Graphs nouveaux'!$B$24:$B$35</c:f>
              <c:numCache>
                <c:formatCode>0.0%</c:formatCode>
                <c:ptCount val="12"/>
                <c:pt idx="0">
                  <c:v>0.18334299427293685</c:v>
                </c:pt>
                <c:pt idx="1">
                  <c:v>0.15476009275488006</c:v>
                </c:pt>
                <c:pt idx="2">
                  <c:v>0.16684746593037603</c:v>
                </c:pt>
                <c:pt idx="3">
                  <c:v>0.27156622735532482</c:v>
                </c:pt>
                <c:pt idx="4">
                  <c:v>0.35992890106255243</c:v>
                </c:pt>
                <c:pt idx="5">
                  <c:v>0.30727350923200297</c:v>
                </c:pt>
                <c:pt idx="6">
                  <c:v>0.3281216691859396</c:v>
                </c:pt>
                <c:pt idx="7">
                  <c:v>0.29950733272622859</c:v>
                </c:pt>
                <c:pt idx="8">
                  <c:v>0.23890846952099326</c:v>
                </c:pt>
                <c:pt idx="9">
                  <c:v>0.24889507845550163</c:v>
                </c:pt>
                <c:pt idx="10">
                  <c:v>0.27405360652398303</c:v>
                </c:pt>
                <c:pt idx="11">
                  <c:v>0.33326295321158972</c:v>
                </c:pt>
              </c:numCache>
            </c:numRef>
          </c:val>
          <c:extLst>
            <c:ext xmlns:c16="http://schemas.microsoft.com/office/drawing/2014/chart" uri="{C3380CC4-5D6E-409C-BE32-E72D297353CC}">
              <c16:uniqueId val="{00000000-097F-47D5-A128-F8E627A7C072}"/>
            </c:ext>
          </c:extLst>
        </c:ser>
        <c:ser>
          <c:idx val="1"/>
          <c:order val="1"/>
          <c:tx>
            <c:strRef>
              <c:f>'Graphs nouveaux'!$C$23</c:f>
              <c:strCache>
                <c:ptCount val="1"/>
                <c:pt idx="0">
                  <c:v>Taux de marge avant impôts de 22,5%</c:v>
                </c:pt>
              </c:strCache>
            </c:strRef>
          </c:tx>
          <c:spPr>
            <a:solidFill>
              <a:srgbClr val="C00000"/>
            </a:solidFill>
          </c:spPr>
          <c:invertIfNegative val="0"/>
          <c:cat>
            <c:strRef>
              <c:f>'Graphs nouveaux'!$A$24:$A$35</c:f>
              <c:strCache>
                <c:ptCount val="12"/>
                <c:pt idx="0">
                  <c:v>Bénin</c:v>
                </c:pt>
                <c:pt idx="1">
                  <c:v>Côte d'Ivoire</c:v>
                </c:pt>
                <c:pt idx="2">
                  <c:v>Tchad</c:v>
                </c:pt>
                <c:pt idx="3">
                  <c:v>Gabon</c:v>
                </c:pt>
                <c:pt idx="4">
                  <c:v>Cameroun</c:v>
                </c:pt>
                <c:pt idx="5">
                  <c:v>Congo</c:v>
                </c:pt>
                <c:pt idx="6">
                  <c:v>Centrafrique</c:v>
                </c:pt>
                <c:pt idx="7">
                  <c:v>Mali</c:v>
                </c:pt>
                <c:pt idx="8">
                  <c:v>Burkina Faso</c:v>
                </c:pt>
                <c:pt idx="9">
                  <c:v>Sénégal</c:v>
                </c:pt>
                <c:pt idx="10">
                  <c:v>Togo</c:v>
                </c:pt>
                <c:pt idx="11">
                  <c:v>Niger</c:v>
                </c:pt>
              </c:strCache>
            </c:strRef>
          </c:cat>
          <c:val>
            <c:numRef>
              <c:f>'Graphs nouveaux'!$C$24:$C$35</c:f>
              <c:numCache>
                <c:formatCode>0.0%</c:formatCode>
                <c:ptCount val="12"/>
                <c:pt idx="0">
                  <c:v>9.5017506613512881E-2</c:v>
                </c:pt>
                <c:pt idx="1">
                  <c:v>0.1019275526822031</c:v>
                </c:pt>
                <c:pt idx="2">
                  <c:v>0.12256816157478509</c:v>
                </c:pt>
                <c:pt idx="3">
                  <c:v>0.15792193145756706</c:v>
                </c:pt>
                <c:pt idx="4">
                  <c:v>0.20645583726371058</c:v>
                </c:pt>
                <c:pt idx="5">
                  <c:v>0.2238724594659515</c:v>
                </c:pt>
                <c:pt idx="6">
                  <c:v>0.23091094081792168</c:v>
                </c:pt>
                <c:pt idx="7">
                  <c:v>0.29983367215971007</c:v>
                </c:pt>
                <c:pt idx="8">
                  <c:v>0.303081466717319</c:v>
                </c:pt>
                <c:pt idx="9">
                  <c:v>0.31522027378167838</c:v>
                </c:pt>
                <c:pt idx="10">
                  <c:v>0.32204485813066652</c:v>
                </c:pt>
                <c:pt idx="11">
                  <c:v>0.3443494585628869</c:v>
                </c:pt>
              </c:numCache>
            </c:numRef>
          </c:val>
          <c:extLst>
            <c:ext xmlns:c16="http://schemas.microsoft.com/office/drawing/2014/chart" uri="{C3380CC4-5D6E-409C-BE32-E72D297353CC}">
              <c16:uniqueId val="{00000001-097F-47D5-A128-F8E627A7C072}"/>
            </c:ext>
          </c:extLst>
        </c:ser>
        <c:dLbls>
          <c:showLegendKey val="0"/>
          <c:showVal val="0"/>
          <c:showCatName val="0"/>
          <c:showSerName val="0"/>
          <c:showPercent val="0"/>
          <c:showBubbleSize val="0"/>
        </c:dLbls>
        <c:gapWidth val="150"/>
        <c:axId val="424086144"/>
        <c:axId val="446472960"/>
      </c:barChart>
      <c:catAx>
        <c:axId val="424086144"/>
        <c:scaling>
          <c:orientation val="minMax"/>
        </c:scaling>
        <c:delete val="0"/>
        <c:axPos val="b"/>
        <c:numFmt formatCode="General" sourceLinked="0"/>
        <c:majorTickMark val="out"/>
        <c:minorTickMark val="none"/>
        <c:tickLblPos val="nextTo"/>
        <c:crossAx val="446472960"/>
        <c:crosses val="autoZero"/>
        <c:auto val="1"/>
        <c:lblAlgn val="ctr"/>
        <c:lblOffset val="100"/>
        <c:noMultiLvlLbl val="0"/>
      </c:catAx>
      <c:valAx>
        <c:axId val="446472960"/>
        <c:scaling>
          <c:orientation val="minMax"/>
        </c:scaling>
        <c:delete val="0"/>
        <c:axPos val="l"/>
        <c:majorGridlines/>
        <c:numFmt formatCode="0%" sourceLinked="0"/>
        <c:majorTickMark val="out"/>
        <c:minorTickMark val="none"/>
        <c:tickLblPos val="nextTo"/>
        <c:crossAx val="424086144"/>
        <c:crosses val="autoZero"/>
        <c:crossBetween val="between"/>
      </c:valAx>
    </c:plotArea>
    <c:legend>
      <c:legendPos val="b"/>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28151503038103E-2"/>
          <c:y val="4.9064157957902158E-2"/>
          <c:w val="0.91718487912868119"/>
          <c:h val="0.42472742811071917"/>
        </c:manualLayout>
      </c:layout>
      <c:barChart>
        <c:barDir val="col"/>
        <c:grouping val="clustered"/>
        <c:varyColors val="0"/>
        <c:ser>
          <c:idx val="0"/>
          <c:order val="0"/>
          <c:tx>
            <c:strRef>
              <c:f>'Graphs nouveaux'!$B$91</c:f>
              <c:strCache>
                <c:ptCount val="1"/>
                <c:pt idx="0">
                  <c:v>Taux statutaire d'IS sous le régime général</c:v>
                </c:pt>
              </c:strCache>
            </c:strRef>
          </c:tx>
          <c:spPr>
            <a:solidFill>
              <a:schemeClr val="accent3"/>
            </a:solidFill>
          </c:spPr>
          <c:invertIfNegative val="0"/>
          <c:cat>
            <c:strRef>
              <c:f>'Graphs nouveaux'!$A$92:$A$103</c:f>
              <c:strCache>
                <c:ptCount val="12"/>
                <c:pt idx="0">
                  <c:v>Tchad</c:v>
                </c:pt>
                <c:pt idx="1">
                  <c:v>Côte d'Ivoire</c:v>
                </c:pt>
                <c:pt idx="2">
                  <c:v>Bénin</c:v>
                </c:pt>
                <c:pt idx="3">
                  <c:v>Gabon</c:v>
                </c:pt>
                <c:pt idx="4">
                  <c:v>Congo</c:v>
                </c:pt>
                <c:pt idx="5">
                  <c:v>Centrafrique</c:v>
                </c:pt>
                <c:pt idx="6">
                  <c:v>Cameroun</c:v>
                </c:pt>
                <c:pt idx="7">
                  <c:v>Mali</c:v>
                </c:pt>
                <c:pt idx="8">
                  <c:v>Burkina Faso</c:v>
                </c:pt>
                <c:pt idx="9">
                  <c:v>Togo</c:v>
                </c:pt>
                <c:pt idx="10">
                  <c:v>Sénégal</c:v>
                </c:pt>
                <c:pt idx="11">
                  <c:v>Niger</c:v>
                </c:pt>
              </c:strCache>
            </c:strRef>
          </c:cat>
          <c:val>
            <c:numRef>
              <c:f>'Graphs nouveaux'!$B$92:$B$103</c:f>
              <c:numCache>
                <c:formatCode>0.0%</c:formatCode>
                <c:ptCount val="12"/>
                <c:pt idx="0">
                  <c:v>0.35</c:v>
                </c:pt>
                <c:pt idx="1">
                  <c:v>0.25</c:v>
                </c:pt>
                <c:pt idx="2">
                  <c:v>0.3</c:v>
                </c:pt>
                <c:pt idx="3">
                  <c:v>0.3</c:v>
                </c:pt>
                <c:pt idx="4">
                  <c:v>0.3</c:v>
                </c:pt>
                <c:pt idx="5">
                  <c:v>0.3</c:v>
                </c:pt>
                <c:pt idx="6">
                  <c:v>0.33</c:v>
                </c:pt>
                <c:pt idx="7">
                  <c:v>0.3</c:v>
                </c:pt>
                <c:pt idx="8">
                  <c:v>0.27500000000000002</c:v>
                </c:pt>
                <c:pt idx="9">
                  <c:v>0.28999999999999998</c:v>
                </c:pt>
                <c:pt idx="10">
                  <c:v>0.3</c:v>
                </c:pt>
                <c:pt idx="11">
                  <c:v>0.3</c:v>
                </c:pt>
              </c:numCache>
            </c:numRef>
          </c:val>
          <c:extLst>
            <c:ext xmlns:c16="http://schemas.microsoft.com/office/drawing/2014/chart" uri="{C3380CC4-5D6E-409C-BE32-E72D297353CC}">
              <c16:uniqueId val="{00000000-55B3-41E3-9DC4-FA0E2F565E65}"/>
            </c:ext>
          </c:extLst>
        </c:ser>
        <c:ser>
          <c:idx val="1"/>
          <c:order val="1"/>
          <c:tx>
            <c:strRef>
              <c:f>'Graphs nouveaux'!$C$91</c:f>
              <c:strCache>
                <c:ptCount val="1"/>
                <c:pt idx="0">
                  <c:v>Taux effectif moyen d'IS sous le régime des investissements (marge avant impôts de 22,5%)</c:v>
                </c:pt>
              </c:strCache>
            </c:strRef>
          </c:tx>
          <c:spPr>
            <a:solidFill>
              <a:schemeClr val="tx2">
                <a:lumMod val="60000"/>
                <a:lumOff val="40000"/>
              </a:schemeClr>
            </a:solidFill>
          </c:spPr>
          <c:invertIfNegative val="0"/>
          <c:cat>
            <c:strRef>
              <c:f>'Graphs nouveaux'!$A$92:$A$103</c:f>
              <c:strCache>
                <c:ptCount val="12"/>
                <c:pt idx="0">
                  <c:v>Tchad</c:v>
                </c:pt>
                <c:pt idx="1">
                  <c:v>Côte d'Ivoire</c:v>
                </c:pt>
                <c:pt idx="2">
                  <c:v>Bénin</c:v>
                </c:pt>
                <c:pt idx="3">
                  <c:v>Gabon</c:v>
                </c:pt>
                <c:pt idx="4">
                  <c:v>Congo</c:v>
                </c:pt>
                <c:pt idx="5">
                  <c:v>Centrafrique</c:v>
                </c:pt>
                <c:pt idx="6">
                  <c:v>Cameroun</c:v>
                </c:pt>
                <c:pt idx="7">
                  <c:v>Mali</c:v>
                </c:pt>
                <c:pt idx="8">
                  <c:v>Burkina Faso</c:v>
                </c:pt>
                <c:pt idx="9">
                  <c:v>Togo</c:v>
                </c:pt>
                <c:pt idx="10">
                  <c:v>Sénégal</c:v>
                </c:pt>
                <c:pt idx="11">
                  <c:v>Niger</c:v>
                </c:pt>
              </c:strCache>
            </c:strRef>
          </c:cat>
          <c:val>
            <c:numRef>
              <c:f>'Graphs nouveaux'!$C$92:$C$103</c:f>
              <c:numCache>
                <c:formatCode>0.0%</c:formatCode>
                <c:ptCount val="12"/>
                <c:pt idx="0">
                  <c:v>0</c:v>
                </c:pt>
                <c:pt idx="1">
                  <c:v>2.2435897435897433E-2</c:v>
                </c:pt>
                <c:pt idx="2">
                  <c:v>3.3653846153846145E-2</c:v>
                </c:pt>
                <c:pt idx="3">
                  <c:v>4.4871794871794837E-2</c:v>
                </c:pt>
                <c:pt idx="4">
                  <c:v>0.12888453651380186</c:v>
                </c:pt>
                <c:pt idx="5">
                  <c:v>0.15578679991705408</c:v>
                </c:pt>
                <c:pt idx="6">
                  <c:v>0.1563356099819086</c:v>
                </c:pt>
                <c:pt idx="7">
                  <c:v>0.22941979802482959</c:v>
                </c:pt>
                <c:pt idx="8">
                  <c:v>0.23850830139914575</c:v>
                </c:pt>
                <c:pt idx="9">
                  <c:v>0.25325041887509131</c:v>
                </c:pt>
                <c:pt idx="10">
                  <c:v>0.26450191246731086</c:v>
                </c:pt>
                <c:pt idx="11">
                  <c:v>0.2837647373762473</c:v>
                </c:pt>
              </c:numCache>
            </c:numRef>
          </c:val>
          <c:extLst>
            <c:ext xmlns:c16="http://schemas.microsoft.com/office/drawing/2014/chart" uri="{C3380CC4-5D6E-409C-BE32-E72D297353CC}">
              <c16:uniqueId val="{00000001-55B3-41E3-9DC4-FA0E2F565E65}"/>
            </c:ext>
          </c:extLst>
        </c:ser>
        <c:ser>
          <c:idx val="2"/>
          <c:order val="2"/>
          <c:tx>
            <c:strRef>
              <c:f>'Graphs nouveaux'!$D$91</c:f>
              <c:strCache>
                <c:ptCount val="1"/>
                <c:pt idx="0">
                  <c:v>Taux effectif moyen d'IS sous le régime des investissements (marge avant impôts de 7,5%)</c:v>
                </c:pt>
              </c:strCache>
            </c:strRef>
          </c:tx>
          <c:spPr>
            <a:solidFill>
              <a:srgbClr val="C00000"/>
            </a:solidFill>
          </c:spPr>
          <c:invertIfNegative val="0"/>
          <c:cat>
            <c:strRef>
              <c:f>'Graphs nouveaux'!$A$92:$A$103</c:f>
              <c:strCache>
                <c:ptCount val="12"/>
                <c:pt idx="0">
                  <c:v>Tchad</c:v>
                </c:pt>
                <c:pt idx="1">
                  <c:v>Côte d'Ivoire</c:v>
                </c:pt>
                <c:pt idx="2">
                  <c:v>Bénin</c:v>
                </c:pt>
                <c:pt idx="3">
                  <c:v>Gabon</c:v>
                </c:pt>
                <c:pt idx="4">
                  <c:v>Congo</c:v>
                </c:pt>
                <c:pt idx="5">
                  <c:v>Centrafrique</c:v>
                </c:pt>
                <c:pt idx="6">
                  <c:v>Cameroun</c:v>
                </c:pt>
                <c:pt idx="7">
                  <c:v>Mali</c:v>
                </c:pt>
                <c:pt idx="8">
                  <c:v>Burkina Faso</c:v>
                </c:pt>
                <c:pt idx="9">
                  <c:v>Togo</c:v>
                </c:pt>
                <c:pt idx="10">
                  <c:v>Sénégal</c:v>
                </c:pt>
                <c:pt idx="11">
                  <c:v>Niger</c:v>
                </c:pt>
              </c:strCache>
            </c:strRef>
          </c:cat>
          <c:val>
            <c:numRef>
              <c:f>'Graphs nouveaux'!$D$92:$D$103</c:f>
              <c:numCache>
                <c:formatCode>0.0%</c:formatCode>
                <c:ptCount val="12"/>
                <c:pt idx="0">
                  <c:v>0</c:v>
                </c:pt>
                <c:pt idx="1">
                  <c:v>6.6455696202531583E-2</c:v>
                </c:pt>
                <c:pt idx="2">
                  <c:v>9.9683544303797431E-2</c:v>
                </c:pt>
                <c:pt idx="3">
                  <c:v>0.13291139240506317</c:v>
                </c:pt>
                <c:pt idx="4">
                  <c:v>0.1730687754243698</c:v>
                </c:pt>
                <c:pt idx="5">
                  <c:v>0.25275396069476225</c:v>
                </c:pt>
                <c:pt idx="6">
                  <c:v>0.29240506329113897</c:v>
                </c:pt>
                <c:pt idx="7">
                  <c:v>0.18904092073177273</c:v>
                </c:pt>
                <c:pt idx="8">
                  <c:v>0.17026770136336633</c:v>
                </c:pt>
                <c:pt idx="9">
                  <c:v>0.19781438138721619</c:v>
                </c:pt>
                <c:pt idx="10">
                  <c:v>0.19676727405598265</c:v>
                </c:pt>
                <c:pt idx="11">
                  <c:v>0.2519107410891383</c:v>
                </c:pt>
              </c:numCache>
            </c:numRef>
          </c:val>
          <c:extLst>
            <c:ext xmlns:c16="http://schemas.microsoft.com/office/drawing/2014/chart" uri="{C3380CC4-5D6E-409C-BE32-E72D297353CC}">
              <c16:uniqueId val="{00000002-55B3-41E3-9DC4-FA0E2F565E65}"/>
            </c:ext>
          </c:extLst>
        </c:ser>
        <c:dLbls>
          <c:showLegendKey val="0"/>
          <c:showVal val="0"/>
          <c:showCatName val="0"/>
          <c:showSerName val="0"/>
          <c:showPercent val="0"/>
          <c:showBubbleSize val="0"/>
        </c:dLbls>
        <c:gapWidth val="150"/>
        <c:axId val="477213056"/>
        <c:axId val="477214592"/>
      </c:barChart>
      <c:catAx>
        <c:axId val="477213056"/>
        <c:scaling>
          <c:orientation val="minMax"/>
        </c:scaling>
        <c:delete val="0"/>
        <c:axPos val="b"/>
        <c:numFmt formatCode="General" sourceLinked="0"/>
        <c:majorTickMark val="out"/>
        <c:minorTickMark val="none"/>
        <c:tickLblPos val="nextTo"/>
        <c:crossAx val="477214592"/>
        <c:crosses val="autoZero"/>
        <c:auto val="1"/>
        <c:lblAlgn val="ctr"/>
        <c:lblOffset val="100"/>
        <c:noMultiLvlLbl val="0"/>
      </c:catAx>
      <c:valAx>
        <c:axId val="477214592"/>
        <c:scaling>
          <c:orientation val="minMax"/>
        </c:scaling>
        <c:delete val="0"/>
        <c:axPos val="l"/>
        <c:majorGridlines/>
        <c:numFmt formatCode="0%" sourceLinked="0"/>
        <c:majorTickMark val="out"/>
        <c:minorTickMark val="none"/>
        <c:tickLblPos val="nextTo"/>
        <c:crossAx val="477213056"/>
        <c:crosses val="autoZero"/>
        <c:crossBetween val="between"/>
      </c:valAx>
    </c:plotArea>
    <c:legend>
      <c:legendPos val="b"/>
      <c:layout>
        <c:manualLayout>
          <c:xMode val="edge"/>
          <c:yMode val="edge"/>
          <c:x val="4.0980026082859721E-4"/>
          <c:y val="0.74891303780397611"/>
          <c:w val="0.99801408189177121"/>
          <c:h val="0.24946622003741242"/>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1CF7F8-6846-401F-9CFC-98D3B16B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3044</Words>
  <Characters>16745</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UdA</Company>
  <LinksUpToDate>false</LinksUpToDate>
  <CharactersWithSpaces>19750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Yannick BOUTERIGE</dc:creator>
  <cp:lastModifiedBy>grrotagr</cp:lastModifiedBy>
  <cp:revision>5</cp:revision>
  <cp:lastPrinted>2018-03-07T17:22:00Z</cp:lastPrinted>
  <dcterms:created xsi:type="dcterms:W3CDTF">2018-03-08T08:34:00Z</dcterms:created>
  <dcterms:modified xsi:type="dcterms:W3CDTF">2018-03-08T09:41:00Z</dcterms:modified>
</cp:coreProperties>
</file>