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8B8B"/>
          <w:sz w:val="18"/>
        </w:rPr>
        <w:t>MAXHUB PVT LTD</w:t>
      </w:r>
    </w:p>
    <w:p>
      <w:pPr>
        <w:pStyle w:val="Heading1"/>
        <w:spacing w:after="40"/>
      </w:pPr>
      <w:r>
        <w:t>Data governance record</w:t>
      </w:r>
    </w:p>
    <w:p>
      <w:pPr>
        <w:spacing w:after="120"/>
      </w:pPr>
      <w:r>
        <w:rPr>
          <w:b w:val="0"/>
          <w:i/>
          <w:color w:val="595959"/>
          <w:sz w:val="22"/>
        </w:rPr>
        <w:t>Evidence of data lineage, integrity and handling - Practical Exam 2 (10 points) and Capstone 1 data-governance criterion</w:t>
      </w:r>
    </w:p>
    <w:p>
      <w:pPr>
        <w:spacing w:before="80"/>
      </w:pPr>
      <w:r>
        <w:rPr>
          <w:color w:val="595959"/>
          <w:sz w:val="17"/>
        </w:rPr>
        <w:t>Client: Mhondoro Manufacturing (Pvt) Ltd    |    Period: 1 January 2024 to 30 September 2025    |    Issued: 08 October 2025    |    Reference: MX-2025-DG    |    Classification: Confidential</w:t>
      </w:r>
    </w:p>
    <w:p>
      <w:pPr>
        <w:spacing w:before="0" w:after="160"/>
        <w:pBdr>
          <w:bottom w:val="single" w:sz="8" w:color="008B8B"/>
        </w:pBdr>
      </w:pPr>
    </w:p>
    <w:p>
      <w:pPr>
        <w:pStyle w:val="Heading2"/>
      </w:pPr>
      <w:r>
        <w:t>1. Instruction and authority</w:t>
      </w:r>
    </w:p>
    <w:tbl>
      <w:tblPr>
        <w:tblStyle w:val="TableGrid"/>
        <w:tblW w:type="auto" w:w="0"/>
        <w:tblLook w:firstColumn="1" w:firstRow="1" w:lastColumn="0" w:lastRow="0" w:noHBand="0" w:noVBand="1" w:val="04A0"/>
      </w:tblPr>
      <w:tblGrid>
        <w:gridCol w:w="4986"/>
        <w:gridCol w:w="4986"/>
      </w:tblGrid>
      <w:tr>
        <w:tc>
          <w:tcPr>
            <w:tcW w:type="dxa" w:w="2608"/>
            <w:shd w:val="clear" w:color="auto" w:fill="EAF1F6"/>
          </w:tcPr>
          <w:p>
            <w:r/>
            <w:r>
              <w:rPr>
                <w:b/>
                <w:sz w:val="19"/>
              </w:rPr>
              <w:t>Instructed by</w:t>
            </w:r>
          </w:p>
        </w:tc>
        <w:tc>
          <w:tcPr>
            <w:tcW w:type="dxa" w:w="6803"/>
          </w:tcPr>
          <w:p>
            <w:r/>
            <w:r>
              <w:rPr>
                <w:sz w:val="19"/>
              </w:rPr>
              <w:t>Audit Committee, Mhondoro Manufacturing (Pvt) Ltd</w:t>
            </w:r>
          </w:p>
        </w:tc>
      </w:tr>
      <w:tr>
        <w:tc>
          <w:tcPr>
            <w:tcW w:type="dxa" w:w="2608"/>
            <w:shd w:val="clear" w:color="auto" w:fill="EAF1F6"/>
          </w:tcPr>
          <w:p>
            <w:r/>
            <w:r>
              <w:rPr>
                <w:b/>
                <w:sz w:val="19"/>
              </w:rPr>
              <w:t>Instruction received</w:t>
            </w:r>
          </w:p>
        </w:tc>
        <w:tc>
          <w:tcPr>
            <w:tcW w:type="dxa" w:w="6803"/>
          </w:tcPr>
          <w:p>
            <w:r/>
            <w:r>
              <w:rPr>
                <w:sz w:val="19"/>
              </w:rPr>
              <w:t>25 September 2025 (written; copy on the engagement file)</w:t>
            </w:r>
          </w:p>
        </w:tc>
      </w:tr>
      <w:tr>
        <w:tc>
          <w:tcPr>
            <w:tcW w:type="dxa" w:w="2608"/>
            <w:shd w:val="clear" w:color="auto" w:fill="EAF1F6"/>
          </w:tcPr>
          <w:p>
            <w:r/>
            <w:r>
              <w:rPr>
                <w:b/>
                <w:sz w:val="19"/>
              </w:rPr>
              <w:t>Purpose</w:t>
            </w:r>
          </w:p>
        </w:tc>
        <w:tc>
          <w:tcPr>
            <w:tcW w:type="dxa" w:w="6803"/>
          </w:tcPr>
          <w:p>
            <w:r/>
            <w:r>
              <w:rPr>
                <w:sz w:val="19"/>
              </w:rPr>
              <w:t>Analyse the accounting data for 1 January 2024 to 30 September 2025, identify and quantify irregular transactions, and report to the Committee</w:t>
            </w:r>
          </w:p>
        </w:tc>
      </w:tr>
      <w:tr>
        <w:tc>
          <w:tcPr>
            <w:tcW w:type="dxa" w:w="2608"/>
            <w:shd w:val="clear" w:color="auto" w:fill="EAF1F6"/>
          </w:tcPr>
          <w:p>
            <w:r/>
            <w:r>
              <w:rPr>
                <w:b/>
                <w:sz w:val="19"/>
              </w:rPr>
              <w:t>Authority to access</w:t>
            </w:r>
          </w:p>
        </w:tc>
        <w:tc>
          <w:tcPr>
            <w:tcW w:type="dxa" w:w="6803"/>
          </w:tcPr>
          <w:p>
            <w:r/>
            <w:r>
              <w:rPr>
                <w:sz w:val="19"/>
              </w:rPr>
              <w:t>Read-only access to the general ledger, sub-ledgers, vendor and employee masters and bank statements, granted in writing</w:t>
            </w:r>
          </w:p>
        </w:tc>
      </w:tr>
      <w:tr>
        <w:tc>
          <w:tcPr>
            <w:tcW w:type="dxa" w:w="2608"/>
            <w:shd w:val="clear" w:color="auto" w:fill="EAF1F6"/>
          </w:tcPr>
          <w:p>
            <w:r/>
            <w:r>
              <w:rPr>
                <w:b/>
                <w:sz w:val="19"/>
              </w:rPr>
              <w:t>Engagement letter</w:t>
            </w:r>
          </w:p>
        </w:tc>
        <w:tc>
          <w:tcPr>
            <w:tcW w:type="dxa" w:w="6803"/>
          </w:tcPr>
          <w:p>
            <w:r/>
            <w:r>
              <w:rPr>
                <w:sz w:val="19"/>
              </w:rPr>
              <w:t>Signed before work began; retention, confidentiality and independence clauses as set out in 04_Practical_Exam_3</w:t>
            </w:r>
          </w:p>
        </w:tc>
      </w:tr>
    </w:tbl>
    <w:p>
      <w:pPr>
        <w:spacing w:after="40"/>
      </w:pPr>
    </w:p>
    <w:p>
      <w:pPr>
        <w:pStyle w:val="Heading2"/>
      </w:pPr>
      <w:r>
        <w:t>2. Data received and integrity checks</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510"/>
            <w:shd w:val="clear" w:color="auto" w:fill="0B2E4F"/>
          </w:tcPr>
          <w:p>
            <w:r/>
            <w:r>
              <w:rPr>
                <w:b/>
                <w:color w:val="FFFFFF"/>
                <w:sz w:val="17"/>
              </w:rPr>
              <w:t>#</w:t>
            </w:r>
          </w:p>
        </w:tc>
        <w:tc>
          <w:tcPr>
            <w:tcW w:type="dxa" w:w="3061"/>
            <w:shd w:val="clear" w:color="auto" w:fill="0B2E4F"/>
          </w:tcPr>
          <w:p>
            <w:r/>
            <w:r>
              <w:rPr>
                <w:b/>
                <w:color w:val="FFFFFF"/>
                <w:sz w:val="17"/>
              </w:rPr>
              <w:t>Data set</w:t>
            </w:r>
          </w:p>
        </w:tc>
        <w:tc>
          <w:tcPr>
            <w:tcW w:type="dxa" w:w="2268"/>
            <w:shd w:val="clear" w:color="auto" w:fill="0B2E4F"/>
          </w:tcPr>
          <w:p>
            <w:r/>
            <w:r>
              <w:rPr>
                <w:b/>
                <w:color w:val="FFFFFF"/>
                <w:sz w:val="17"/>
              </w:rPr>
              <w:t>Source system</w:t>
            </w:r>
          </w:p>
        </w:tc>
        <w:tc>
          <w:tcPr>
            <w:tcW w:type="dxa" w:w="1361"/>
            <w:shd w:val="clear" w:color="auto" w:fill="0B2E4F"/>
          </w:tcPr>
          <w:p>
            <w:r/>
            <w:r>
              <w:rPr>
                <w:b/>
                <w:color w:val="FFFFFF"/>
                <w:sz w:val="17"/>
              </w:rPr>
              <w:t>Records</w:t>
            </w:r>
          </w:p>
        </w:tc>
        <w:tc>
          <w:tcPr>
            <w:tcW w:type="dxa" w:w="2494"/>
            <w:shd w:val="clear" w:color="auto" w:fill="0B2E4F"/>
          </w:tcPr>
          <w:p>
            <w:r/>
            <w:r>
              <w:rPr>
                <w:b/>
                <w:color w:val="FFFFFF"/>
                <w:sz w:val="17"/>
              </w:rPr>
              <w:t>Integrity result</w:t>
            </w:r>
          </w:p>
        </w:tc>
      </w:tr>
      <w:tr>
        <w:tc>
          <w:tcPr>
            <w:tcW w:type="dxa" w:w="510"/>
          </w:tcPr>
          <w:p>
            <w:pPr>
              <w:spacing w:after="20"/>
            </w:pPr>
            <w:r/>
            <w:r>
              <w:rPr>
                <w:b w:val="0"/>
                <w:sz w:val="17"/>
              </w:rPr>
              <w:t>1</w:t>
            </w:r>
          </w:p>
        </w:tc>
        <w:tc>
          <w:tcPr>
            <w:tcW w:type="dxa" w:w="3061"/>
          </w:tcPr>
          <w:p>
            <w:pPr>
              <w:spacing w:after="20"/>
            </w:pPr>
            <w:r/>
            <w:r>
              <w:rPr>
                <w:b w:val="0"/>
                <w:sz w:val="17"/>
              </w:rPr>
              <w:t>General ledger</w:t>
            </w:r>
          </w:p>
        </w:tc>
        <w:tc>
          <w:tcPr>
            <w:tcW w:type="dxa" w:w="2268"/>
          </w:tcPr>
          <w:p>
            <w:pPr>
              <w:spacing w:after="20"/>
            </w:pPr>
            <w:r/>
            <w:r>
              <w:rPr>
                <w:b w:val="0"/>
                <w:sz w:val="17"/>
              </w:rPr>
              <w:t>ERP-GL / Manual-JE</w:t>
            </w:r>
          </w:p>
        </w:tc>
        <w:tc>
          <w:tcPr>
            <w:tcW w:type="dxa" w:w="1361"/>
          </w:tcPr>
          <w:p>
            <w:pPr>
              <w:spacing w:after="20"/>
            </w:pPr>
            <w:r/>
            <w:r>
              <w:rPr>
                <w:b w:val="0"/>
                <w:sz w:val="17"/>
              </w:rPr>
              <w:t>13,929</w:t>
            </w:r>
          </w:p>
        </w:tc>
        <w:tc>
          <w:tcPr>
            <w:tcW w:type="dxa" w:w="2494"/>
          </w:tcPr>
          <w:p>
            <w:pPr>
              <w:spacing w:after="20"/>
            </w:pPr>
            <w:r/>
            <w:r>
              <w:rPr>
                <w:b w:val="0"/>
                <w:sz w:val="17"/>
              </w:rPr>
              <w:t>Agreed to control total</w:t>
            </w:r>
          </w:p>
        </w:tc>
      </w:tr>
      <w:tr>
        <w:tc>
          <w:tcPr>
            <w:tcW w:type="dxa" w:w="510"/>
            <w:shd w:val="clear" w:color="auto" w:fill="F5F8FA"/>
          </w:tcPr>
          <w:p>
            <w:pPr>
              <w:spacing w:after="20"/>
            </w:pPr>
            <w:r/>
            <w:r>
              <w:rPr>
                <w:b w:val="0"/>
                <w:sz w:val="17"/>
              </w:rPr>
              <w:t>2</w:t>
            </w:r>
          </w:p>
        </w:tc>
        <w:tc>
          <w:tcPr>
            <w:tcW w:type="dxa" w:w="3061"/>
            <w:shd w:val="clear" w:color="auto" w:fill="F5F8FA"/>
          </w:tcPr>
          <w:p>
            <w:pPr>
              <w:spacing w:after="20"/>
            </w:pPr>
            <w:r/>
            <w:r>
              <w:rPr>
                <w:b w:val="0"/>
                <w:sz w:val="17"/>
              </w:rPr>
              <w:t>Chart of accounts</w:t>
            </w:r>
          </w:p>
        </w:tc>
        <w:tc>
          <w:tcPr>
            <w:tcW w:type="dxa" w:w="2268"/>
            <w:shd w:val="clear" w:color="auto" w:fill="F5F8FA"/>
          </w:tcPr>
          <w:p>
            <w:pPr>
              <w:spacing w:after="20"/>
            </w:pPr>
            <w:r/>
            <w:r>
              <w:rPr>
                <w:b w:val="0"/>
                <w:sz w:val="17"/>
              </w:rPr>
              <w:t>ERP-GL</w:t>
            </w:r>
          </w:p>
        </w:tc>
        <w:tc>
          <w:tcPr>
            <w:tcW w:type="dxa" w:w="1361"/>
            <w:shd w:val="clear" w:color="auto" w:fill="F5F8FA"/>
          </w:tcPr>
          <w:p>
            <w:pPr>
              <w:spacing w:after="20"/>
            </w:pPr>
            <w:r/>
            <w:r>
              <w:rPr>
                <w:b w:val="0"/>
                <w:sz w:val="17"/>
              </w:rPr>
              <w:t>71</w:t>
            </w:r>
          </w:p>
        </w:tc>
        <w:tc>
          <w:tcPr>
            <w:tcW w:type="dxa" w:w="2494"/>
            <w:shd w:val="clear" w:color="auto" w:fill="F5F8FA"/>
          </w:tcPr>
          <w:p>
            <w:pPr>
              <w:spacing w:after="20"/>
            </w:pPr>
            <w:r/>
            <w:r>
              <w:rPr>
                <w:b w:val="0"/>
                <w:sz w:val="17"/>
              </w:rPr>
              <w:t>Agreed to control total</w:t>
            </w:r>
          </w:p>
        </w:tc>
      </w:tr>
      <w:tr>
        <w:tc>
          <w:tcPr>
            <w:tcW w:type="dxa" w:w="510"/>
          </w:tcPr>
          <w:p>
            <w:pPr>
              <w:spacing w:after="20"/>
            </w:pPr>
            <w:r/>
            <w:r>
              <w:rPr>
                <w:b w:val="0"/>
                <w:sz w:val="17"/>
              </w:rPr>
              <w:t>3</w:t>
            </w:r>
          </w:p>
        </w:tc>
        <w:tc>
          <w:tcPr>
            <w:tcW w:type="dxa" w:w="3061"/>
          </w:tcPr>
          <w:p>
            <w:pPr>
              <w:spacing w:after="20"/>
            </w:pPr>
            <w:r/>
            <w:r>
              <w:rPr>
                <w:b w:val="0"/>
                <w:sz w:val="17"/>
              </w:rPr>
              <w:t>Date dimension</w:t>
            </w:r>
          </w:p>
        </w:tc>
        <w:tc>
          <w:tcPr>
            <w:tcW w:type="dxa" w:w="2268"/>
          </w:tcPr>
          <w:p>
            <w:pPr>
              <w:spacing w:after="20"/>
            </w:pPr>
            <w:r/>
            <w:r>
              <w:rPr>
                <w:b w:val="0"/>
                <w:sz w:val="17"/>
              </w:rPr>
              <w:t>Generated calendar</w:t>
            </w:r>
          </w:p>
        </w:tc>
        <w:tc>
          <w:tcPr>
            <w:tcW w:type="dxa" w:w="1361"/>
          </w:tcPr>
          <w:p>
            <w:pPr>
              <w:spacing w:after="20"/>
            </w:pPr>
            <w:r/>
            <w:r>
              <w:rPr>
                <w:b w:val="0"/>
                <w:sz w:val="17"/>
              </w:rPr>
              <w:t>1,461</w:t>
            </w:r>
          </w:p>
        </w:tc>
        <w:tc>
          <w:tcPr>
            <w:tcW w:type="dxa" w:w="2494"/>
          </w:tcPr>
          <w:p>
            <w:pPr>
              <w:spacing w:after="20"/>
            </w:pPr>
            <w:r/>
            <w:r>
              <w:rPr>
                <w:b w:val="0"/>
                <w:sz w:val="17"/>
              </w:rPr>
              <w:t>Agreed to control total</w:t>
            </w:r>
          </w:p>
        </w:tc>
      </w:tr>
      <w:tr>
        <w:tc>
          <w:tcPr>
            <w:tcW w:type="dxa" w:w="510"/>
            <w:shd w:val="clear" w:color="auto" w:fill="F5F8FA"/>
          </w:tcPr>
          <w:p>
            <w:pPr>
              <w:spacing w:after="20"/>
            </w:pPr>
            <w:r/>
            <w:r>
              <w:rPr>
                <w:b w:val="0"/>
                <w:sz w:val="17"/>
              </w:rPr>
              <w:t>4</w:t>
            </w:r>
          </w:p>
        </w:tc>
        <w:tc>
          <w:tcPr>
            <w:tcW w:type="dxa" w:w="3061"/>
            <w:shd w:val="clear" w:color="auto" w:fill="F5F8FA"/>
          </w:tcPr>
          <w:p>
            <w:pPr>
              <w:spacing w:after="20"/>
            </w:pPr>
            <w:r/>
            <w:r>
              <w:rPr>
                <w:b w:val="0"/>
                <w:sz w:val="17"/>
              </w:rPr>
              <w:t>Cost centres</w:t>
            </w:r>
          </w:p>
        </w:tc>
        <w:tc>
          <w:tcPr>
            <w:tcW w:type="dxa" w:w="2268"/>
            <w:shd w:val="clear" w:color="auto" w:fill="F5F8FA"/>
          </w:tcPr>
          <w:p>
            <w:pPr>
              <w:spacing w:after="20"/>
            </w:pPr>
            <w:r/>
            <w:r>
              <w:rPr>
                <w:b w:val="0"/>
                <w:sz w:val="17"/>
              </w:rPr>
              <w:t>ERP-GL</w:t>
            </w:r>
          </w:p>
        </w:tc>
        <w:tc>
          <w:tcPr>
            <w:tcW w:type="dxa" w:w="1361"/>
            <w:shd w:val="clear" w:color="auto" w:fill="F5F8FA"/>
          </w:tcPr>
          <w:p>
            <w:pPr>
              <w:spacing w:after="20"/>
            </w:pPr>
            <w:r/>
            <w:r>
              <w:rPr>
                <w:b w:val="0"/>
                <w:sz w:val="17"/>
              </w:rPr>
              <w:t>9</w:t>
            </w:r>
          </w:p>
        </w:tc>
        <w:tc>
          <w:tcPr>
            <w:tcW w:type="dxa" w:w="2494"/>
            <w:shd w:val="clear" w:color="auto" w:fill="F5F8FA"/>
          </w:tcPr>
          <w:p>
            <w:pPr>
              <w:spacing w:after="20"/>
            </w:pPr>
            <w:r/>
            <w:r>
              <w:rPr>
                <w:b w:val="0"/>
                <w:sz w:val="17"/>
              </w:rPr>
              <w:t>Agreed to control total</w:t>
            </w:r>
          </w:p>
        </w:tc>
      </w:tr>
      <w:tr>
        <w:tc>
          <w:tcPr>
            <w:tcW w:type="dxa" w:w="510"/>
          </w:tcPr>
          <w:p>
            <w:pPr>
              <w:spacing w:after="20"/>
            </w:pPr>
            <w:r/>
            <w:r>
              <w:rPr>
                <w:b w:val="0"/>
                <w:sz w:val="17"/>
              </w:rPr>
              <w:t>5</w:t>
            </w:r>
          </w:p>
        </w:tc>
        <w:tc>
          <w:tcPr>
            <w:tcW w:type="dxa" w:w="3061"/>
          </w:tcPr>
          <w:p>
            <w:pPr>
              <w:spacing w:after="20"/>
            </w:pPr>
            <w:r/>
            <w:r>
              <w:rPr>
                <w:b w:val="0"/>
                <w:sz w:val="17"/>
              </w:rPr>
              <w:t>System users</w:t>
            </w:r>
          </w:p>
        </w:tc>
        <w:tc>
          <w:tcPr>
            <w:tcW w:type="dxa" w:w="2268"/>
          </w:tcPr>
          <w:p>
            <w:pPr>
              <w:spacing w:after="20"/>
            </w:pPr>
            <w:r/>
            <w:r>
              <w:rPr>
                <w:b w:val="0"/>
                <w:sz w:val="17"/>
              </w:rPr>
              <w:t>ERP security</w:t>
            </w:r>
          </w:p>
        </w:tc>
        <w:tc>
          <w:tcPr>
            <w:tcW w:type="dxa" w:w="1361"/>
          </w:tcPr>
          <w:p>
            <w:pPr>
              <w:spacing w:after="20"/>
            </w:pPr>
            <w:r/>
            <w:r>
              <w:rPr>
                <w:b w:val="0"/>
                <w:sz w:val="17"/>
              </w:rPr>
              <w:t>12</w:t>
            </w:r>
          </w:p>
        </w:tc>
        <w:tc>
          <w:tcPr>
            <w:tcW w:type="dxa" w:w="2494"/>
          </w:tcPr>
          <w:p>
            <w:pPr>
              <w:spacing w:after="20"/>
            </w:pPr>
            <w:r/>
            <w:r>
              <w:rPr>
                <w:b w:val="0"/>
                <w:sz w:val="17"/>
              </w:rPr>
              <w:t>Agreed to control total</w:t>
            </w:r>
          </w:p>
        </w:tc>
      </w:tr>
      <w:tr>
        <w:tc>
          <w:tcPr>
            <w:tcW w:type="dxa" w:w="510"/>
            <w:shd w:val="clear" w:color="auto" w:fill="F5F8FA"/>
          </w:tcPr>
          <w:p>
            <w:pPr>
              <w:spacing w:after="20"/>
            </w:pPr>
            <w:r/>
            <w:r>
              <w:rPr>
                <w:b w:val="0"/>
                <w:sz w:val="17"/>
              </w:rPr>
              <w:t>6</w:t>
            </w:r>
          </w:p>
        </w:tc>
        <w:tc>
          <w:tcPr>
            <w:tcW w:type="dxa" w:w="3061"/>
            <w:shd w:val="clear" w:color="auto" w:fill="F5F8FA"/>
          </w:tcPr>
          <w:p>
            <w:pPr>
              <w:spacing w:after="20"/>
            </w:pPr>
            <w:r/>
            <w:r>
              <w:rPr>
                <w:b w:val="0"/>
                <w:sz w:val="17"/>
              </w:rPr>
              <w:t>Vendor master</w:t>
            </w:r>
          </w:p>
        </w:tc>
        <w:tc>
          <w:tcPr>
            <w:tcW w:type="dxa" w:w="2268"/>
            <w:shd w:val="clear" w:color="auto" w:fill="F5F8FA"/>
          </w:tcPr>
          <w:p>
            <w:pPr>
              <w:spacing w:after="20"/>
            </w:pPr>
            <w:r/>
            <w:r>
              <w:rPr>
                <w:b w:val="0"/>
                <w:sz w:val="17"/>
              </w:rPr>
              <w:t>ERP-AP</w:t>
            </w:r>
          </w:p>
        </w:tc>
        <w:tc>
          <w:tcPr>
            <w:tcW w:type="dxa" w:w="1361"/>
            <w:shd w:val="clear" w:color="auto" w:fill="F5F8FA"/>
          </w:tcPr>
          <w:p>
            <w:pPr>
              <w:spacing w:after="20"/>
            </w:pPr>
            <w:r/>
            <w:r>
              <w:rPr>
                <w:b w:val="0"/>
                <w:sz w:val="17"/>
              </w:rPr>
              <w:t>26</w:t>
            </w:r>
          </w:p>
        </w:tc>
        <w:tc>
          <w:tcPr>
            <w:tcW w:type="dxa" w:w="2494"/>
            <w:shd w:val="clear" w:color="auto" w:fill="F5F8FA"/>
          </w:tcPr>
          <w:p>
            <w:pPr>
              <w:spacing w:after="20"/>
            </w:pPr>
            <w:r/>
            <w:r>
              <w:rPr>
                <w:b w:val="0"/>
                <w:sz w:val="17"/>
              </w:rPr>
              <w:t>Agreed to control total</w:t>
            </w:r>
          </w:p>
        </w:tc>
      </w:tr>
      <w:tr>
        <w:tc>
          <w:tcPr>
            <w:tcW w:type="dxa" w:w="510"/>
          </w:tcPr>
          <w:p>
            <w:pPr>
              <w:spacing w:after="20"/>
            </w:pPr>
            <w:r/>
            <w:r>
              <w:rPr>
                <w:b w:val="0"/>
                <w:sz w:val="17"/>
              </w:rPr>
              <w:t>7</w:t>
            </w:r>
          </w:p>
        </w:tc>
        <w:tc>
          <w:tcPr>
            <w:tcW w:type="dxa" w:w="3061"/>
          </w:tcPr>
          <w:p>
            <w:pPr>
              <w:spacing w:after="20"/>
            </w:pPr>
            <w:r/>
            <w:r>
              <w:rPr>
                <w:b w:val="0"/>
                <w:sz w:val="17"/>
              </w:rPr>
              <w:t>Customer master</w:t>
            </w:r>
          </w:p>
        </w:tc>
        <w:tc>
          <w:tcPr>
            <w:tcW w:type="dxa" w:w="2268"/>
          </w:tcPr>
          <w:p>
            <w:pPr>
              <w:spacing w:after="20"/>
            </w:pPr>
            <w:r/>
            <w:r>
              <w:rPr>
                <w:b w:val="0"/>
                <w:sz w:val="17"/>
              </w:rPr>
              <w:t>ERP-AR</w:t>
            </w:r>
          </w:p>
        </w:tc>
        <w:tc>
          <w:tcPr>
            <w:tcW w:type="dxa" w:w="1361"/>
          </w:tcPr>
          <w:p>
            <w:pPr>
              <w:spacing w:after="20"/>
            </w:pPr>
            <w:r/>
            <w:r>
              <w:rPr>
                <w:b w:val="0"/>
                <w:sz w:val="17"/>
              </w:rPr>
              <w:t>18</w:t>
            </w:r>
          </w:p>
        </w:tc>
        <w:tc>
          <w:tcPr>
            <w:tcW w:type="dxa" w:w="2494"/>
          </w:tcPr>
          <w:p>
            <w:pPr>
              <w:spacing w:after="20"/>
            </w:pPr>
            <w:r/>
            <w:r>
              <w:rPr>
                <w:b w:val="0"/>
                <w:sz w:val="17"/>
              </w:rPr>
              <w:t>Agreed to control total</w:t>
            </w:r>
          </w:p>
        </w:tc>
      </w:tr>
      <w:tr>
        <w:tc>
          <w:tcPr>
            <w:tcW w:type="dxa" w:w="510"/>
            <w:shd w:val="clear" w:color="auto" w:fill="F5F8FA"/>
          </w:tcPr>
          <w:p>
            <w:pPr>
              <w:spacing w:after="20"/>
            </w:pPr>
            <w:r/>
            <w:r>
              <w:rPr>
                <w:b w:val="0"/>
                <w:sz w:val="17"/>
              </w:rPr>
              <w:t>8</w:t>
            </w:r>
          </w:p>
        </w:tc>
        <w:tc>
          <w:tcPr>
            <w:tcW w:type="dxa" w:w="3061"/>
            <w:shd w:val="clear" w:color="auto" w:fill="F5F8FA"/>
          </w:tcPr>
          <w:p>
            <w:pPr>
              <w:spacing w:after="20"/>
            </w:pPr>
            <w:r/>
            <w:r>
              <w:rPr>
                <w:b w:val="0"/>
                <w:sz w:val="17"/>
              </w:rPr>
              <w:t>Employee master</w:t>
            </w:r>
          </w:p>
        </w:tc>
        <w:tc>
          <w:tcPr>
            <w:tcW w:type="dxa" w:w="2268"/>
            <w:shd w:val="clear" w:color="auto" w:fill="F5F8FA"/>
          </w:tcPr>
          <w:p>
            <w:pPr>
              <w:spacing w:after="20"/>
            </w:pPr>
            <w:r/>
            <w:r>
              <w:rPr>
                <w:b w:val="0"/>
                <w:sz w:val="17"/>
              </w:rPr>
              <w:t>Payroll</w:t>
            </w:r>
          </w:p>
        </w:tc>
        <w:tc>
          <w:tcPr>
            <w:tcW w:type="dxa" w:w="1361"/>
            <w:shd w:val="clear" w:color="auto" w:fill="F5F8FA"/>
          </w:tcPr>
          <w:p>
            <w:pPr>
              <w:spacing w:after="20"/>
            </w:pPr>
            <w:r/>
            <w:r>
              <w:rPr>
                <w:b w:val="0"/>
                <w:sz w:val="17"/>
              </w:rPr>
              <w:t>63</w:t>
            </w:r>
          </w:p>
        </w:tc>
        <w:tc>
          <w:tcPr>
            <w:tcW w:type="dxa" w:w="2494"/>
            <w:shd w:val="clear" w:color="auto" w:fill="F5F8FA"/>
          </w:tcPr>
          <w:p>
            <w:pPr>
              <w:spacing w:after="20"/>
            </w:pPr>
            <w:r/>
            <w:r>
              <w:rPr>
                <w:b w:val="0"/>
                <w:sz w:val="17"/>
              </w:rPr>
              <w:t>Agreed to control total</w:t>
            </w:r>
          </w:p>
        </w:tc>
      </w:tr>
      <w:tr>
        <w:tc>
          <w:tcPr>
            <w:tcW w:type="dxa" w:w="510"/>
          </w:tcPr>
          <w:p>
            <w:pPr>
              <w:spacing w:after="20"/>
            </w:pPr>
            <w:r/>
            <w:r>
              <w:rPr>
                <w:b w:val="0"/>
                <w:sz w:val="17"/>
              </w:rPr>
              <w:t>9</w:t>
            </w:r>
          </w:p>
        </w:tc>
        <w:tc>
          <w:tcPr>
            <w:tcW w:type="dxa" w:w="3061"/>
          </w:tcPr>
          <w:p>
            <w:pPr>
              <w:spacing w:after="20"/>
            </w:pPr>
            <w:r/>
            <w:r>
              <w:rPr>
                <w:b w:val="0"/>
                <w:sz w:val="17"/>
              </w:rPr>
              <w:t>FX rates</w:t>
            </w:r>
          </w:p>
        </w:tc>
        <w:tc>
          <w:tcPr>
            <w:tcW w:type="dxa" w:w="2268"/>
          </w:tcPr>
          <w:p>
            <w:pPr>
              <w:spacing w:after="20"/>
            </w:pPr>
            <w:r/>
            <w:r>
              <w:rPr>
                <w:b w:val="0"/>
                <w:sz w:val="17"/>
              </w:rPr>
              <w:t>Treasury</w:t>
            </w:r>
          </w:p>
        </w:tc>
        <w:tc>
          <w:tcPr>
            <w:tcW w:type="dxa" w:w="1361"/>
          </w:tcPr>
          <w:p>
            <w:pPr>
              <w:spacing w:after="20"/>
            </w:pPr>
            <w:r/>
            <w:r>
              <w:rPr>
                <w:b w:val="0"/>
                <w:sz w:val="17"/>
              </w:rPr>
              <w:t>84</w:t>
            </w:r>
          </w:p>
        </w:tc>
        <w:tc>
          <w:tcPr>
            <w:tcW w:type="dxa" w:w="2494"/>
          </w:tcPr>
          <w:p>
            <w:pPr>
              <w:spacing w:after="20"/>
            </w:pPr>
            <w:r/>
            <w:r>
              <w:rPr>
                <w:b w:val="0"/>
                <w:sz w:val="17"/>
              </w:rPr>
              <w:t>Agreed to control total</w:t>
            </w:r>
          </w:p>
        </w:tc>
      </w:tr>
      <w:tr>
        <w:tc>
          <w:tcPr>
            <w:tcW w:type="dxa" w:w="510"/>
            <w:shd w:val="clear" w:color="auto" w:fill="F5F8FA"/>
          </w:tcPr>
          <w:p>
            <w:pPr>
              <w:spacing w:after="20"/>
            </w:pPr>
            <w:r/>
            <w:r>
              <w:rPr>
                <w:b w:val="0"/>
                <w:sz w:val="17"/>
              </w:rPr>
              <w:t>10</w:t>
            </w:r>
          </w:p>
        </w:tc>
        <w:tc>
          <w:tcPr>
            <w:tcW w:type="dxa" w:w="3061"/>
            <w:shd w:val="clear" w:color="auto" w:fill="F5F8FA"/>
          </w:tcPr>
          <w:p>
            <w:pPr>
              <w:spacing w:after="20"/>
            </w:pPr>
            <w:r/>
            <w:r>
              <w:rPr>
                <w:b w:val="0"/>
                <w:sz w:val="17"/>
              </w:rPr>
              <w:t>Trial balance</w:t>
            </w:r>
          </w:p>
        </w:tc>
        <w:tc>
          <w:tcPr>
            <w:tcW w:type="dxa" w:w="2268"/>
            <w:shd w:val="clear" w:color="auto" w:fill="F5F8FA"/>
          </w:tcPr>
          <w:p>
            <w:pPr>
              <w:spacing w:after="20"/>
            </w:pPr>
            <w:r/>
            <w:r>
              <w:rPr>
                <w:b w:val="0"/>
                <w:sz w:val="17"/>
              </w:rPr>
              <w:t>ERP-GL</w:t>
            </w:r>
          </w:p>
        </w:tc>
        <w:tc>
          <w:tcPr>
            <w:tcW w:type="dxa" w:w="1361"/>
            <w:shd w:val="clear" w:color="auto" w:fill="F5F8FA"/>
          </w:tcPr>
          <w:p>
            <w:pPr>
              <w:spacing w:after="20"/>
            </w:pPr>
            <w:r/>
            <w:r>
              <w:rPr>
                <w:b w:val="0"/>
                <w:sz w:val="17"/>
              </w:rPr>
              <w:t>1,323</w:t>
            </w:r>
          </w:p>
        </w:tc>
        <w:tc>
          <w:tcPr>
            <w:tcW w:type="dxa" w:w="2494"/>
            <w:shd w:val="clear" w:color="auto" w:fill="F5F8FA"/>
          </w:tcPr>
          <w:p>
            <w:pPr>
              <w:spacing w:after="20"/>
            </w:pPr>
            <w:r/>
            <w:r>
              <w:rPr>
                <w:b w:val="0"/>
                <w:sz w:val="17"/>
              </w:rPr>
              <w:t>Agreed to control total</w:t>
            </w:r>
          </w:p>
        </w:tc>
      </w:tr>
      <w:tr>
        <w:tc>
          <w:tcPr>
            <w:tcW w:type="dxa" w:w="510"/>
          </w:tcPr>
          <w:p>
            <w:pPr>
              <w:spacing w:after="20"/>
            </w:pPr>
            <w:r/>
            <w:r>
              <w:rPr>
                <w:b w:val="0"/>
                <w:sz w:val="17"/>
              </w:rPr>
              <w:t>11</w:t>
            </w:r>
          </w:p>
        </w:tc>
        <w:tc>
          <w:tcPr>
            <w:tcW w:type="dxa" w:w="3061"/>
          </w:tcPr>
          <w:p>
            <w:pPr>
              <w:spacing w:after="20"/>
            </w:pPr>
            <w:r/>
            <w:r>
              <w:rPr>
                <w:b w:val="0"/>
                <w:sz w:val="17"/>
              </w:rPr>
              <w:t>Creditor sub-ledger extract</w:t>
            </w:r>
          </w:p>
        </w:tc>
        <w:tc>
          <w:tcPr>
            <w:tcW w:type="dxa" w:w="2268"/>
          </w:tcPr>
          <w:p>
            <w:pPr>
              <w:spacing w:after="20"/>
            </w:pPr>
            <w:r/>
            <w:r>
              <w:rPr>
                <w:b w:val="0"/>
                <w:sz w:val="17"/>
              </w:rPr>
              <w:t>ERP-AP</w:t>
            </w:r>
          </w:p>
        </w:tc>
        <w:tc>
          <w:tcPr>
            <w:tcW w:type="dxa" w:w="1361"/>
          </w:tcPr>
          <w:p>
            <w:pPr>
              <w:spacing w:after="20"/>
            </w:pPr>
            <w:r/>
            <w:r>
              <w:rPr>
                <w:b w:val="0"/>
                <w:sz w:val="17"/>
              </w:rPr>
              <w:t>520</w:t>
            </w:r>
          </w:p>
        </w:tc>
        <w:tc>
          <w:tcPr>
            <w:tcW w:type="dxa" w:w="2494"/>
          </w:tcPr>
          <w:p>
            <w:pPr>
              <w:spacing w:after="20"/>
            </w:pPr>
            <w:r/>
            <w:r>
              <w:rPr>
                <w:b w:val="0"/>
                <w:sz w:val="17"/>
              </w:rPr>
              <w:t>Agreed to control total</w:t>
            </w:r>
          </w:p>
        </w:tc>
      </w:tr>
      <w:tr>
        <w:tc>
          <w:tcPr>
            <w:tcW w:type="dxa" w:w="510"/>
            <w:shd w:val="clear" w:color="auto" w:fill="F5F8FA"/>
          </w:tcPr>
          <w:p>
            <w:pPr>
              <w:spacing w:after="20"/>
            </w:pPr>
            <w:r/>
            <w:r>
              <w:rPr>
                <w:b w:val="0"/>
                <w:sz w:val="17"/>
              </w:rPr>
              <w:t>12</w:t>
            </w:r>
          </w:p>
        </w:tc>
        <w:tc>
          <w:tcPr>
            <w:tcW w:type="dxa" w:w="3061"/>
            <w:shd w:val="clear" w:color="auto" w:fill="F5F8FA"/>
          </w:tcPr>
          <w:p>
            <w:pPr>
              <w:spacing w:after="20"/>
            </w:pPr>
            <w:r/>
            <w:r>
              <w:rPr>
                <w:b w:val="0"/>
                <w:sz w:val="17"/>
              </w:rPr>
              <w:t>Debtor ageing</w:t>
            </w:r>
          </w:p>
        </w:tc>
        <w:tc>
          <w:tcPr>
            <w:tcW w:type="dxa" w:w="2268"/>
            <w:shd w:val="clear" w:color="auto" w:fill="F5F8FA"/>
          </w:tcPr>
          <w:p>
            <w:pPr>
              <w:spacing w:after="20"/>
            </w:pPr>
            <w:r/>
            <w:r>
              <w:rPr>
                <w:b w:val="0"/>
                <w:sz w:val="17"/>
              </w:rPr>
              <w:t>ERP-AR</w:t>
            </w:r>
          </w:p>
        </w:tc>
        <w:tc>
          <w:tcPr>
            <w:tcW w:type="dxa" w:w="1361"/>
            <w:shd w:val="clear" w:color="auto" w:fill="F5F8FA"/>
          </w:tcPr>
          <w:p>
            <w:pPr>
              <w:spacing w:after="20"/>
            </w:pPr>
            <w:r/>
            <w:r>
              <w:rPr>
                <w:b w:val="0"/>
                <w:sz w:val="17"/>
              </w:rPr>
              <w:t>420</w:t>
            </w:r>
          </w:p>
        </w:tc>
        <w:tc>
          <w:tcPr>
            <w:tcW w:type="dxa" w:w="2494"/>
            <w:shd w:val="clear" w:color="auto" w:fill="F5F8FA"/>
          </w:tcPr>
          <w:p>
            <w:pPr>
              <w:spacing w:after="20"/>
            </w:pPr>
            <w:r/>
            <w:r>
              <w:rPr>
                <w:b w:val="0"/>
                <w:sz w:val="17"/>
              </w:rPr>
              <w:t>Agreed to control total</w:t>
            </w:r>
          </w:p>
        </w:tc>
      </w:tr>
      <w:tr>
        <w:tc>
          <w:tcPr>
            <w:tcW w:type="dxa" w:w="510"/>
          </w:tcPr>
          <w:p>
            <w:pPr>
              <w:spacing w:after="20"/>
            </w:pPr>
            <w:r/>
            <w:r>
              <w:rPr>
                <w:b w:val="0"/>
                <w:sz w:val="17"/>
              </w:rPr>
              <w:t>13</w:t>
            </w:r>
          </w:p>
        </w:tc>
        <w:tc>
          <w:tcPr>
            <w:tcW w:type="dxa" w:w="3061"/>
          </w:tcPr>
          <w:p>
            <w:pPr>
              <w:spacing w:after="20"/>
            </w:pPr>
            <w:r/>
            <w:r>
              <w:rPr>
                <w:b w:val="0"/>
                <w:sz w:val="17"/>
              </w:rPr>
              <w:t>Bank statements</w:t>
            </w:r>
          </w:p>
        </w:tc>
        <w:tc>
          <w:tcPr>
            <w:tcW w:type="dxa" w:w="2268"/>
          </w:tcPr>
          <w:p>
            <w:pPr>
              <w:spacing w:after="20"/>
            </w:pPr>
            <w:r/>
            <w:r>
              <w:rPr>
                <w:b w:val="0"/>
                <w:sz w:val="17"/>
              </w:rPr>
              <w:t>Bank portal</w:t>
            </w:r>
          </w:p>
        </w:tc>
        <w:tc>
          <w:tcPr>
            <w:tcW w:type="dxa" w:w="1361"/>
          </w:tcPr>
          <w:p>
            <w:pPr>
              <w:spacing w:after="20"/>
            </w:pPr>
            <w:r/>
            <w:r>
              <w:rPr>
                <w:b w:val="0"/>
                <w:sz w:val="17"/>
              </w:rPr>
              <w:t>1,400</w:t>
            </w:r>
          </w:p>
        </w:tc>
        <w:tc>
          <w:tcPr>
            <w:tcW w:type="dxa" w:w="2494"/>
          </w:tcPr>
          <w:p>
            <w:pPr>
              <w:spacing w:after="20"/>
            </w:pPr>
            <w:r/>
            <w:r>
              <w:rPr>
                <w:b w:val="0"/>
                <w:sz w:val="17"/>
              </w:rPr>
              <w:t>Agreed to control total</w:t>
            </w:r>
          </w:p>
        </w:tc>
      </w:tr>
      <w:tr>
        <w:tc>
          <w:tcPr>
            <w:tcW w:type="dxa" w:w="510"/>
            <w:shd w:val="clear" w:color="auto" w:fill="F5F8FA"/>
          </w:tcPr>
          <w:p>
            <w:pPr>
              <w:spacing w:after="20"/>
            </w:pPr>
            <w:r/>
            <w:r>
              <w:rPr>
                <w:b w:val="0"/>
                <w:sz w:val="17"/>
              </w:rPr>
              <w:t>14</w:t>
            </w:r>
          </w:p>
        </w:tc>
        <w:tc>
          <w:tcPr>
            <w:tcW w:type="dxa" w:w="3061"/>
            <w:shd w:val="clear" w:color="auto" w:fill="F5F8FA"/>
          </w:tcPr>
          <w:p>
            <w:pPr>
              <w:spacing w:after="20"/>
            </w:pPr>
            <w:r/>
            <w:r>
              <w:rPr>
                <w:b w:val="0"/>
                <w:sz w:val="17"/>
              </w:rPr>
              <w:t>Expense claims</w:t>
            </w:r>
          </w:p>
        </w:tc>
        <w:tc>
          <w:tcPr>
            <w:tcW w:type="dxa" w:w="2268"/>
            <w:shd w:val="clear" w:color="auto" w:fill="F5F8FA"/>
          </w:tcPr>
          <w:p>
            <w:pPr>
              <w:spacing w:after="20"/>
            </w:pPr>
            <w:r/>
            <w:r>
              <w:rPr>
                <w:b w:val="0"/>
                <w:sz w:val="17"/>
              </w:rPr>
              <w:t>Expense system</w:t>
            </w:r>
          </w:p>
        </w:tc>
        <w:tc>
          <w:tcPr>
            <w:tcW w:type="dxa" w:w="1361"/>
            <w:shd w:val="clear" w:color="auto" w:fill="F5F8FA"/>
          </w:tcPr>
          <w:p>
            <w:pPr>
              <w:spacing w:after="20"/>
            </w:pPr>
            <w:r/>
            <w:r>
              <w:rPr>
                <w:b w:val="0"/>
                <w:sz w:val="17"/>
              </w:rPr>
              <w:t>650</w:t>
            </w:r>
          </w:p>
        </w:tc>
        <w:tc>
          <w:tcPr>
            <w:tcW w:type="dxa" w:w="2494"/>
            <w:shd w:val="clear" w:color="auto" w:fill="F5F8FA"/>
          </w:tcPr>
          <w:p>
            <w:pPr>
              <w:spacing w:after="20"/>
            </w:pPr>
            <w:r/>
            <w:r>
              <w:rPr>
                <w:b w:val="0"/>
                <w:sz w:val="17"/>
              </w:rPr>
              <w:t>Agreed to control total</w:t>
            </w:r>
          </w:p>
        </w:tc>
      </w:tr>
      <w:tr>
        <w:tc>
          <w:tcPr>
            <w:tcW w:type="dxa" w:w="510"/>
          </w:tcPr>
          <w:p>
            <w:pPr>
              <w:spacing w:after="20"/>
            </w:pPr>
            <w:r/>
            <w:r>
              <w:rPr>
                <w:b w:val="0"/>
                <w:sz w:val="17"/>
              </w:rPr>
              <w:t>15</w:t>
            </w:r>
          </w:p>
        </w:tc>
        <w:tc>
          <w:tcPr>
            <w:tcW w:type="dxa" w:w="3061"/>
          </w:tcPr>
          <w:p>
            <w:pPr>
              <w:spacing w:after="20"/>
            </w:pPr>
            <w:r/>
            <w:r>
              <w:rPr>
                <w:b w:val="0"/>
                <w:sz w:val="17"/>
              </w:rPr>
              <w:t>Sales orders</w:t>
            </w:r>
          </w:p>
        </w:tc>
        <w:tc>
          <w:tcPr>
            <w:tcW w:type="dxa" w:w="2268"/>
          </w:tcPr>
          <w:p>
            <w:pPr>
              <w:spacing w:after="20"/>
            </w:pPr>
            <w:r/>
            <w:r>
              <w:rPr>
                <w:b w:val="0"/>
                <w:sz w:val="17"/>
              </w:rPr>
              <w:t>ERP-SO</w:t>
            </w:r>
          </w:p>
        </w:tc>
        <w:tc>
          <w:tcPr>
            <w:tcW w:type="dxa" w:w="1361"/>
          </w:tcPr>
          <w:p>
            <w:pPr>
              <w:spacing w:after="20"/>
            </w:pPr>
            <w:r/>
            <w:r>
              <w:rPr>
                <w:b w:val="0"/>
                <w:sz w:val="17"/>
              </w:rPr>
              <w:t>900</w:t>
            </w:r>
          </w:p>
        </w:tc>
        <w:tc>
          <w:tcPr>
            <w:tcW w:type="dxa" w:w="2494"/>
          </w:tcPr>
          <w:p>
            <w:pPr>
              <w:spacing w:after="20"/>
            </w:pPr>
            <w:r/>
            <w:r>
              <w:rPr>
                <w:b w:val="0"/>
                <w:sz w:val="17"/>
              </w:rPr>
              <w:t>Agreed to control total</w:t>
            </w:r>
          </w:p>
        </w:tc>
      </w:tr>
      <w:tr>
        <w:tc>
          <w:tcPr>
            <w:tcW w:type="dxa" w:w="510"/>
            <w:shd w:val="clear" w:color="auto" w:fill="F5F8FA"/>
          </w:tcPr>
          <w:p>
            <w:pPr>
              <w:spacing w:after="20"/>
            </w:pPr>
            <w:r/>
            <w:r>
              <w:rPr>
                <w:b w:val="0"/>
                <w:sz w:val="17"/>
              </w:rPr>
              <w:t>16</w:t>
            </w:r>
          </w:p>
        </w:tc>
        <w:tc>
          <w:tcPr>
            <w:tcW w:type="dxa" w:w="3061"/>
            <w:shd w:val="clear" w:color="auto" w:fill="F5F8FA"/>
          </w:tcPr>
          <w:p>
            <w:pPr>
              <w:spacing w:after="20"/>
            </w:pPr>
            <w:r/>
            <w:r>
              <w:rPr>
                <w:b w:val="0"/>
                <w:sz w:val="17"/>
              </w:rPr>
              <w:t>Budget</w:t>
            </w:r>
          </w:p>
        </w:tc>
        <w:tc>
          <w:tcPr>
            <w:tcW w:type="dxa" w:w="2268"/>
            <w:shd w:val="clear" w:color="auto" w:fill="F5F8FA"/>
          </w:tcPr>
          <w:p>
            <w:pPr>
              <w:spacing w:after="20"/>
            </w:pPr>
            <w:r/>
            <w:r>
              <w:rPr>
                <w:b w:val="0"/>
                <w:sz w:val="17"/>
              </w:rPr>
              <w:t>Finance</w:t>
            </w:r>
          </w:p>
        </w:tc>
        <w:tc>
          <w:tcPr>
            <w:tcW w:type="dxa" w:w="1361"/>
            <w:shd w:val="clear" w:color="auto" w:fill="F5F8FA"/>
          </w:tcPr>
          <w:p>
            <w:pPr>
              <w:spacing w:after="20"/>
            </w:pPr>
            <w:r/>
            <w:r>
              <w:rPr>
                <w:b w:val="0"/>
                <w:sz w:val="17"/>
              </w:rPr>
              <w:t>1,299</w:t>
            </w:r>
          </w:p>
        </w:tc>
        <w:tc>
          <w:tcPr>
            <w:tcW w:type="dxa" w:w="2494"/>
            <w:shd w:val="clear" w:color="auto" w:fill="F5F8FA"/>
          </w:tcPr>
          <w:p>
            <w:pPr>
              <w:spacing w:after="20"/>
            </w:pPr>
            <w:r/>
            <w:r>
              <w:rPr>
                <w:b w:val="0"/>
                <w:sz w:val="17"/>
              </w:rPr>
              <w:t>Agreed to control total</w:t>
            </w:r>
          </w:p>
        </w:tc>
      </w:tr>
      <w:tr>
        <w:tc>
          <w:tcPr>
            <w:tcW w:type="dxa" w:w="510"/>
          </w:tcPr>
          <w:p>
            <w:pPr>
              <w:spacing w:after="20"/>
            </w:pPr>
            <w:r/>
            <w:r>
              <w:rPr>
                <w:b w:val="0"/>
                <w:sz w:val="17"/>
              </w:rPr>
              <w:t>17</w:t>
            </w:r>
          </w:p>
        </w:tc>
        <w:tc>
          <w:tcPr>
            <w:tcW w:type="dxa" w:w="3061"/>
          </w:tcPr>
          <w:p>
            <w:pPr>
              <w:spacing w:after="20"/>
            </w:pPr>
            <w:r/>
            <w:r>
              <w:rPr>
                <w:b w:val="0"/>
                <w:sz w:val="17"/>
              </w:rPr>
              <w:t>Fixed asset register</w:t>
            </w:r>
          </w:p>
        </w:tc>
        <w:tc>
          <w:tcPr>
            <w:tcW w:type="dxa" w:w="2268"/>
          </w:tcPr>
          <w:p>
            <w:pPr>
              <w:spacing w:after="20"/>
            </w:pPr>
            <w:r/>
            <w:r>
              <w:rPr>
                <w:b w:val="0"/>
                <w:sz w:val="17"/>
              </w:rPr>
              <w:t>Asset ledger</w:t>
            </w:r>
          </w:p>
        </w:tc>
        <w:tc>
          <w:tcPr>
            <w:tcW w:type="dxa" w:w="1361"/>
          </w:tcPr>
          <w:p>
            <w:pPr>
              <w:spacing w:after="20"/>
            </w:pPr>
            <w:r/>
            <w:r>
              <w:rPr>
                <w:b w:val="0"/>
                <w:sz w:val="17"/>
              </w:rPr>
              <w:t>120</w:t>
            </w:r>
          </w:p>
        </w:tc>
        <w:tc>
          <w:tcPr>
            <w:tcW w:type="dxa" w:w="2494"/>
          </w:tcPr>
          <w:p>
            <w:pPr>
              <w:spacing w:after="20"/>
            </w:pPr>
            <w:r/>
            <w:r>
              <w:rPr>
                <w:b w:val="0"/>
                <w:sz w:val="17"/>
              </w:rPr>
              <w:t>Agreed to control total</w:t>
            </w:r>
          </w:p>
        </w:tc>
      </w:tr>
    </w:tbl>
    <w:p>
      <w:pPr>
        <w:spacing w:after="40"/>
      </w:pPr>
    </w:p>
    <w:tbl>
      <w:tblPr>
        <w:tblStyle w:val="TableGrid"/>
        <w:tblW w:type="auto" w:w="0"/>
        <w:jc w:val="center"/>
        <w:tblLook w:firstColumn="1" w:firstRow="1" w:lastColumn="0" w:lastRow="0" w:noHBand="0" w:noVBand="1" w:val="04A0"/>
      </w:tblPr>
      <w:tblGrid>
        <w:gridCol w:w="4986"/>
        <w:gridCol w:w="4986"/>
      </w:tblGrid>
      <w:tr>
        <w:tc>
          <w:tcPr>
            <w:tcW w:type="dxa" w:w="4309"/>
            <w:shd w:val="clear" w:color="auto" w:fill="0B2E4F"/>
          </w:tcPr>
          <w:p>
            <w:r/>
            <w:r>
              <w:rPr>
                <w:b/>
                <w:color w:val="FFFFFF"/>
                <w:sz w:val="17"/>
              </w:rPr>
              <w:t>Integrity procedure</w:t>
            </w:r>
          </w:p>
        </w:tc>
        <w:tc>
          <w:tcPr>
            <w:tcW w:type="dxa" w:w="5329"/>
            <w:shd w:val="clear" w:color="auto" w:fill="0B2E4F"/>
          </w:tcPr>
          <w:p>
            <w:r/>
            <w:r>
              <w:rPr>
                <w:b/>
                <w:color w:val="FFFFFF"/>
                <w:sz w:val="17"/>
              </w:rPr>
              <w:t>Result</w:t>
            </w:r>
          </w:p>
        </w:tc>
      </w:tr>
      <w:tr>
        <w:tc>
          <w:tcPr>
            <w:tcW w:type="dxa" w:w="4309"/>
          </w:tcPr>
          <w:p>
            <w:pPr>
              <w:spacing w:after="20"/>
            </w:pPr>
            <w:r/>
            <w:r>
              <w:rPr>
                <w:b w:val="0"/>
                <w:sz w:val="18"/>
              </w:rPr>
              <w:t>Originals stored unaltered; SHA-256 recorded for every file</w:t>
            </w:r>
          </w:p>
        </w:tc>
        <w:tc>
          <w:tcPr>
            <w:tcW w:type="dxa" w:w="5329"/>
          </w:tcPr>
          <w:p>
            <w:pPr>
              <w:spacing w:after="20"/>
            </w:pPr>
            <w:r/>
            <w:r>
              <w:rPr>
                <w:b w:val="0"/>
                <w:sz w:val="18"/>
              </w:rPr>
              <w:t>26 hashes recorded (Source_File_Hashes.csv)</w:t>
            </w:r>
          </w:p>
        </w:tc>
      </w:tr>
      <w:tr>
        <w:tc>
          <w:tcPr>
            <w:tcW w:type="dxa" w:w="4309"/>
            <w:shd w:val="clear" w:color="auto" w:fill="F5F8FA"/>
          </w:tcPr>
          <w:p>
            <w:pPr>
              <w:spacing w:after="20"/>
            </w:pPr>
            <w:r/>
            <w:r>
              <w:rPr>
                <w:b w:val="0"/>
                <w:sz w:val="18"/>
              </w:rPr>
              <w:t>Extract reconciled to the trial balance</w:t>
            </w:r>
          </w:p>
        </w:tc>
        <w:tc>
          <w:tcPr>
            <w:tcW w:type="dxa" w:w="5329"/>
            <w:shd w:val="clear" w:color="auto" w:fill="F5F8FA"/>
          </w:tcPr>
          <w:p>
            <w:pPr>
              <w:spacing w:after="20"/>
            </w:pPr>
            <w:r/>
            <w:r>
              <w:rPr>
                <w:b w:val="0"/>
                <w:sz w:val="18"/>
              </w:rPr>
              <w:t>Debits $122,878,886.54 = credits $122,878,886.54; difference 0.00</w:t>
            </w:r>
          </w:p>
        </w:tc>
      </w:tr>
      <w:tr>
        <w:tc>
          <w:tcPr>
            <w:tcW w:type="dxa" w:w="4309"/>
          </w:tcPr>
          <w:p>
            <w:pPr>
              <w:spacing w:after="20"/>
            </w:pPr>
            <w:r/>
            <w:r>
              <w:rPr>
                <w:b w:val="0"/>
                <w:sz w:val="18"/>
              </w:rPr>
              <w:t>Every journal ID balances (debits = credits per journal)</w:t>
            </w:r>
          </w:p>
        </w:tc>
        <w:tc>
          <w:tcPr>
            <w:tcW w:type="dxa" w:w="5329"/>
          </w:tcPr>
          <w:p>
            <w:pPr>
              <w:spacing w:after="20"/>
            </w:pPr>
            <w:r/>
            <w:r>
              <w:rPr>
                <w:b w:val="0"/>
                <w:sz w:val="18"/>
              </w:rPr>
              <w:t>0 unbalanced journals</w:t>
            </w:r>
          </w:p>
        </w:tc>
      </w:tr>
      <w:tr>
        <w:tc>
          <w:tcPr>
            <w:tcW w:type="dxa" w:w="4309"/>
            <w:shd w:val="clear" w:color="auto" w:fill="F5F8FA"/>
          </w:tcPr>
          <w:p>
            <w:pPr>
              <w:spacing w:after="20"/>
            </w:pPr>
            <w:r/>
            <w:r>
              <w:rPr>
                <w:b w:val="0"/>
                <w:sz w:val="18"/>
              </w:rPr>
              <w:t>Orphan key test (fact rows with no dimension row)</w:t>
            </w:r>
          </w:p>
        </w:tc>
        <w:tc>
          <w:tcPr>
            <w:tcW w:type="dxa" w:w="5329"/>
            <w:shd w:val="clear" w:color="auto" w:fill="F5F8FA"/>
          </w:tcPr>
          <w:p>
            <w:pPr>
              <w:spacing w:after="20"/>
            </w:pPr>
            <w:r/>
            <w:r>
              <w:rPr>
                <w:b w:val="0"/>
                <w:sz w:val="18"/>
              </w:rPr>
              <w:t>Account keys 0; vendor keys 0</w:t>
            </w:r>
          </w:p>
        </w:tc>
      </w:tr>
      <w:tr>
        <w:tc>
          <w:tcPr>
            <w:tcW w:type="dxa" w:w="4309"/>
          </w:tcPr>
          <w:p>
            <w:pPr>
              <w:spacing w:after="20"/>
            </w:pPr>
            <w:r/>
            <w:r>
              <w:rPr>
                <w:b w:val="0"/>
                <w:sz w:val="18"/>
              </w:rPr>
              <w:t>GL-derived trial balance agreed to the delivered FactTrialBalance</w:t>
            </w:r>
          </w:p>
        </w:tc>
        <w:tc>
          <w:tcPr>
            <w:tcW w:type="dxa" w:w="5329"/>
          </w:tcPr>
          <w:p>
            <w:pPr>
              <w:spacing w:after="20"/>
            </w:pPr>
            <w:r/>
            <w:r>
              <w:rPr>
                <w:b w:val="0"/>
                <w:sz w:val="18"/>
              </w:rPr>
              <w:t>0 accounts differing out of 64 used</w:t>
            </w:r>
          </w:p>
        </w:tc>
      </w:tr>
      <w:tr>
        <w:tc>
          <w:tcPr>
            <w:tcW w:type="dxa" w:w="4309"/>
            <w:shd w:val="clear" w:color="auto" w:fill="F5F8FA"/>
          </w:tcPr>
          <w:p>
            <w:pPr>
              <w:spacing w:after="20"/>
            </w:pPr>
            <w:r/>
            <w:r>
              <w:rPr>
                <w:b w:val="0"/>
                <w:sz w:val="18"/>
              </w:rPr>
              <w:t>Period coverage</w:t>
            </w:r>
          </w:p>
        </w:tc>
        <w:tc>
          <w:tcPr>
            <w:tcW w:type="dxa" w:w="5329"/>
            <w:shd w:val="clear" w:color="auto" w:fill="F5F8FA"/>
          </w:tcPr>
          <w:p>
            <w:pPr>
              <w:spacing w:after="20"/>
            </w:pPr>
            <w:r/>
            <w:r>
              <w:rPr>
                <w:b w:val="0"/>
                <w:sz w:val="18"/>
              </w:rPr>
              <w:t>21 periods, 2024-01-01 to 2025-09-30; no gaps</w:t>
            </w:r>
          </w:p>
        </w:tc>
      </w:tr>
      <w:tr>
        <w:tc>
          <w:tcPr>
            <w:tcW w:type="dxa" w:w="4309"/>
          </w:tcPr>
          <w:p>
            <w:pPr>
              <w:spacing w:after="20"/>
            </w:pPr>
            <w:r/>
            <w:r>
              <w:rPr>
                <w:b w:val="0"/>
                <w:sz w:val="18"/>
              </w:rPr>
              <w:t>Sub-ledger to control account reconciliation</w:t>
            </w:r>
          </w:p>
        </w:tc>
        <w:tc>
          <w:tcPr>
            <w:tcW w:type="dxa" w:w="5329"/>
          </w:tcPr>
          <w:p>
            <w:pPr>
              <w:spacing w:after="20"/>
            </w:pPr>
            <w:r/>
            <w:r>
              <w:rPr>
                <w:b w:val="0"/>
                <w:sz w:val="18"/>
              </w:rPr>
              <w:t>Trade receivables control $3,790,173.74; trade payables control $2,373,620.98</w:t>
            </w:r>
          </w:p>
        </w:tc>
      </w:tr>
    </w:tbl>
    <w:p>
      <w:pPr>
        <w:spacing w:after="40"/>
      </w:pPr>
    </w:p>
    <w:p>
      <w:pPr>
        <w:pStyle w:val="Heading2"/>
      </w:pPr>
      <w:r>
        <w:t>3. Known limitations of the data</w:t>
      </w:r>
    </w:p>
    <w:p>
      <w:pPr>
        <w:pStyle w:val="ListBullet"/>
        <w:spacing w:after="40"/>
      </w:pPr>
      <w:r>
        <w:rPr>
          <w:sz w:val="21"/>
        </w:rPr>
        <w:t>The creditor sub-ledger extract contains 520 invoices totalling $6,188,968.40; general-ledger payments to vendors total $30,505,968.04. The extract is a sample, not the population. A complete AP extract has been requested; until it is received, three-way-match statistics are reported on the extract and labelled as such.</w:t>
      </w:r>
    </w:p>
    <w:p>
      <w:pPr>
        <w:pStyle w:val="ListBullet"/>
        <w:spacing w:after="40"/>
      </w:pPr>
      <w:r>
        <w:rPr>
          <w:sz w:val="21"/>
        </w:rPr>
        <w:t>Payment approvals for automatic system postings are not recorded in the general ledger. Maker-checker testing is therefore performed on manual journals, and the automatic population is disclosed separately rather than reported as an exception.</w:t>
      </w:r>
    </w:p>
    <w:p>
      <w:pPr>
        <w:pStyle w:val="ListBullet"/>
        <w:spacing w:after="40"/>
      </w:pPr>
      <w:r>
        <w:rPr>
          <w:sz w:val="21"/>
        </w:rPr>
        <w:t>No bank signatory mandate, contract file or goods-received-note images were provided. Document-level corroboration is outside this phase.</w:t>
      </w:r>
    </w:p>
    <w:p>
      <w:pPr>
        <w:pStyle w:val="ListBullet"/>
        <w:spacing w:after="40"/>
      </w:pPr>
      <w:r>
        <w:rPr>
          <w:sz w:val="21"/>
        </w:rPr>
        <w:t>Employee bank account numbers are personal data. They were used only to test the related-party indicator and are reported masked.</w:t>
      </w:r>
    </w:p>
    <w:p>
      <w:pPr>
        <w:pStyle w:val="Heading2"/>
      </w:pPr>
      <w:r>
        <w:t>4. Handling, retention and deletion</w:t>
      </w:r>
    </w:p>
    <w:tbl>
      <w:tblPr>
        <w:tblStyle w:val="TableGrid"/>
        <w:tblW w:type="auto" w:w="0"/>
        <w:jc w:val="center"/>
        <w:tblLook w:firstColumn="1" w:firstRow="1" w:lastColumn="0" w:lastRow="0" w:noHBand="0" w:noVBand="1" w:val="04A0"/>
      </w:tblPr>
      <w:tblGrid>
        <w:gridCol w:w="4986"/>
        <w:gridCol w:w="4986"/>
      </w:tblGrid>
      <w:tr>
        <w:tc>
          <w:tcPr>
            <w:tcW w:type="dxa" w:w="2608"/>
            <w:shd w:val="clear" w:color="auto" w:fill="0B2E4F"/>
          </w:tcPr>
          <w:p>
            <w:r/>
            <w:r>
              <w:rPr>
                <w:b/>
                <w:color w:val="FFFFFF"/>
                <w:sz w:val="17"/>
              </w:rPr>
              <w:t>Matter</w:t>
            </w:r>
          </w:p>
        </w:tc>
        <w:tc>
          <w:tcPr>
            <w:tcW w:type="dxa" w:w="7030"/>
            <w:shd w:val="clear" w:color="auto" w:fill="0B2E4F"/>
          </w:tcPr>
          <w:p>
            <w:r/>
            <w:r>
              <w:rPr>
                <w:b/>
                <w:color w:val="FFFFFF"/>
                <w:sz w:val="17"/>
              </w:rPr>
              <w:t>Treatment</w:t>
            </w:r>
          </w:p>
        </w:tc>
      </w:tr>
      <w:tr>
        <w:tc>
          <w:tcPr>
            <w:tcW w:type="dxa" w:w="2608"/>
          </w:tcPr>
          <w:p>
            <w:pPr>
              <w:spacing w:after="20"/>
            </w:pPr>
            <w:r/>
            <w:r>
              <w:rPr>
                <w:b w:val="0"/>
                <w:sz w:val="18"/>
              </w:rPr>
              <w:t>Storage</w:t>
            </w:r>
          </w:p>
        </w:tc>
        <w:tc>
          <w:tcPr>
            <w:tcW w:type="dxa" w:w="7030"/>
          </w:tcPr>
          <w:p>
            <w:pPr>
              <w:spacing w:after="20"/>
            </w:pPr>
            <w:r/>
            <w:r>
              <w:rPr>
                <w:b w:val="0"/>
                <w:sz w:val="18"/>
              </w:rPr>
              <w:t>Maxhub-controlled encrypted storage only; no copies on personal devices</w:t>
            </w:r>
          </w:p>
        </w:tc>
      </w:tr>
      <w:tr>
        <w:tc>
          <w:tcPr>
            <w:tcW w:type="dxa" w:w="2608"/>
            <w:shd w:val="clear" w:color="auto" w:fill="F5F8FA"/>
          </w:tcPr>
          <w:p>
            <w:pPr>
              <w:spacing w:after="20"/>
            </w:pPr>
            <w:r/>
            <w:r>
              <w:rPr>
                <w:b w:val="0"/>
                <w:sz w:val="18"/>
              </w:rPr>
              <w:t>Access</w:t>
            </w:r>
          </w:p>
        </w:tc>
        <w:tc>
          <w:tcPr>
            <w:tcW w:type="dxa" w:w="7030"/>
            <w:shd w:val="clear" w:color="auto" w:fill="F5F8FA"/>
          </w:tcPr>
          <w:p>
            <w:pPr>
              <w:spacing w:after="20"/>
            </w:pPr>
            <w:r/>
            <w:r>
              <w:rPr>
                <w:b w:val="0"/>
                <w:sz w:val="18"/>
              </w:rPr>
              <w:t>Named engagement team only (partner, manager, analyst)</w:t>
            </w:r>
          </w:p>
        </w:tc>
      </w:tr>
      <w:tr>
        <w:tc>
          <w:tcPr>
            <w:tcW w:type="dxa" w:w="2608"/>
          </w:tcPr>
          <w:p>
            <w:pPr>
              <w:spacing w:after="20"/>
            </w:pPr>
            <w:r/>
            <w:r>
              <w:rPr>
                <w:b w:val="0"/>
                <w:sz w:val="18"/>
              </w:rPr>
              <w:t>Working copies</w:t>
            </w:r>
          </w:p>
        </w:tc>
        <w:tc>
          <w:tcPr>
            <w:tcW w:type="dxa" w:w="7030"/>
          </w:tcPr>
          <w:p>
            <w:pPr>
              <w:spacing w:after="20"/>
            </w:pPr>
            <w:r/>
            <w:r>
              <w:rPr>
                <w:b w:val="0"/>
                <w:sz w:val="18"/>
              </w:rPr>
              <w:t>Analysis performed on a copy; the original extract was never opened for edit</w:t>
            </w:r>
          </w:p>
        </w:tc>
      </w:tr>
      <w:tr>
        <w:tc>
          <w:tcPr>
            <w:tcW w:type="dxa" w:w="2608"/>
            <w:shd w:val="clear" w:color="auto" w:fill="F5F8FA"/>
          </w:tcPr>
          <w:p>
            <w:pPr>
              <w:spacing w:after="20"/>
            </w:pPr>
            <w:r/>
            <w:r>
              <w:rPr>
                <w:b w:val="0"/>
                <w:sz w:val="18"/>
              </w:rPr>
              <w:t>Personal data</w:t>
            </w:r>
          </w:p>
        </w:tc>
        <w:tc>
          <w:tcPr>
            <w:tcW w:type="dxa" w:w="7030"/>
            <w:shd w:val="clear" w:color="auto" w:fill="F5F8FA"/>
          </w:tcPr>
          <w:p>
            <w:pPr>
              <w:spacing w:after="20"/>
            </w:pPr>
            <w:r/>
            <w:r>
              <w:rPr>
                <w:b w:val="0"/>
                <w:sz w:val="18"/>
              </w:rPr>
              <w:t>Employee names and bank details minimised; masked in all client-facing output</w:t>
            </w:r>
          </w:p>
        </w:tc>
      </w:tr>
      <w:tr>
        <w:tc>
          <w:tcPr>
            <w:tcW w:type="dxa" w:w="2608"/>
          </w:tcPr>
          <w:p>
            <w:pPr>
              <w:spacing w:after="20"/>
            </w:pPr>
            <w:r/>
            <w:r>
              <w:rPr>
                <w:b w:val="0"/>
                <w:sz w:val="18"/>
              </w:rPr>
              <w:t>Retention</w:t>
            </w:r>
          </w:p>
        </w:tc>
        <w:tc>
          <w:tcPr>
            <w:tcW w:type="dxa" w:w="7030"/>
          </w:tcPr>
          <w:p>
            <w:pPr>
              <w:spacing w:after="20"/>
            </w:pPr>
            <w:r/>
            <w:r>
              <w:rPr>
                <w:b w:val="0"/>
                <w:sz w:val="18"/>
              </w:rPr>
              <w:t>Working papers 7 years (professional standards); source data 90 days, then deleted</w:t>
            </w:r>
          </w:p>
        </w:tc>
      </w:tr>
      <w:tr>
        <w:tc>
          <w:tcPr>
            <w:tcW w:type="dxa" w:w="2608"/>
            <w:shd w:val="clear" w:color="auto" w:fill="F5F8FA"/>
          </w:tcPr>
          <w:p>
            <w:pPr>
              <w:spacing w:after="20"/>
            </w:pPr>
            <w:r/>
            <w:r>
              <w:rPr>
                <w:b w:val="0"/>
                <w:sz w:val="18"/>
              </w:rPr>
              <w:t>Legal hold</w:t>
            </w:r>
          </w:p>
        </w:tc>
        <w:tc>
          <w:tcPr>
            <w:tcW w:type="dxa" w:w="7030"/>
            <w:shd w:val="clear" w:color="auto" w:fill="F5F8FA"/>
          </w:tcPr>
          <w:p>
            <w:pPr>
              <w:spacing w:after="20"/>
            </w:pPr>
            <w:r/>
            <w:r>
              <w:rPr>
                <w:b w:val="0"/>
                <w:sz w:val="18"/>
              </w:rPr>
              <w:t>If the matter proceeds, source data is retained under the client's legal-hold instruction and worked under counsel's direction to preserve privilege</w:t>
            </w:r>
          </w:p>
        </w:tc>
      </w:tr>
      <w:tr>
        <w:tc>
          <w:tcPr>
            <w:tcW w:type="dxa" w:w="2608"/>
          </w:tcPr>
          <w:p>
            <w:pPr>
              <w:spacing w:after="20"/>
            </w:pPr>
            <w:r/>
            <w:r>
              <w:rPr>
                <w:b w:val="0"/>
                <w:sz w:val="18"/>
              </w:rPr>
              <w:t>Deletion</w:t>
            </w:r>
          </w:p>
        </w:tc>
        <w:tc>
          <w:tcPr>
            <w:tcW w:type="dxa" w:w="7030"/>
          </w:tcPr>
          <w:p>
            <w:pPr>
              <w:spacing w:after="20"/>
            </w:pPr>
            <w:r/>
            <w:r>
              <w:rPr>
                <w:b w:val="0"/>
                <w:sz w:val="18"/>
              </w:rPr>
              <w:t>Certificate of deletion issued to the client on expiry of the retention period</w:t>
            </w:r>
          </w:p>
        </w:tc>
      </w:tr>
    </w:tbl>
    <w:p>
      <w:pPr>
        <w:spacing w:after="40"/>
      </w:pPr>
    </w:p>
    <w:p>
      <w:pPr>
        <w:pStyle w:val="Heading2"/>
      </w:pPr>
      <w:r>
        <w:t>5. Reproducibility</w:t>
      </w:r>
    </w:p>
    <w:p>
      <w:pPr>
        <w:spacing w:after="120"/>
      </w:pPr>
      <w:r>
        <w:rPr>
          <w:b w:val="0"/>
          <w:i w:val="0"/>
          <w:sz w:val="21"/>
        </w:rPr>
        <w:t>Every number in this submission is produced by re-running the build:</w:t>
      </w:r>
    </w:p>
    <w:p>
      <w:pPr>
        <w:spacing w:after="120"/>
      </w:pPr>
      <w:r>
        <w:rPr>
          <w:b w:val="0"/>
          <w:i/>
          <w:sz w:val="19"/>
        </w:rPr>
        <w:t xml:space="preserve">    python3 scripts/build_submission.py</w:t>
      </w:r>
    </w:p>
    <w:p>
      <w:pPr>
        <w:spacing w:after="120"/>
      </w:pPr>
      <w:r>
        <w:rPr>
          <w:b w:val="0"/>
          <w:i w:val="0"/>
          <w:sz w:val="21"/>
        </w:rPr>
        <w:t>The build reads data/raw, recomputes the financial statements, the twelve forensic tests, the analytics and the machine-learning model, asserts the result against the client's control totals, and writes the deliverables. The same extract always produces the same numbers.</w:t>
      </w:r>
    </w:p>
    <w:p/>
    <w:p>
      <w:pPr>
        <w:spacing w:before="0" w:after="160"/>
        <w:pBdr>
          <w:bottom w:val="single" w:sz="8" w:color="008B8B"/>
        </w:pBdr>
      </w:pPr>
    </w:p>
    <w:p>
      <w:pPr>
        <w:spacing w:after="120"/>
      </w:pPr>
      <w:r>
        <w:rPr>
          <w:b w:val="0"/>
          <w:i w:val="0"/>
          <w:sz w:val="18"/>
        </w:rPr>
        <w:t>Prepared by: T. Makuvaza, Engagement Manager    |    Date: 08 October 2025</w:t>
      </w:r>
    </w:p>
    <w:p>
      <w:pPr>
        <w:spacing w:after="120"/>
      </w:pPr>
      <w:r>
        <w:rPr>
          <w:b w:val="0"/>
          <w:i w:val="0"/>
          <w:sz w:val="18"/>
        </w:rPr>
        <w:t>Reviewed by (independent QC): Independent QC partner (Maxhub)    |    Date: 08 October 2025</w:t>
      </w:r>
    </w:p>
    <w:p>
      <w:pPr>
        <w:spacing w:after="120"/>
      </w:pPr>
      <w:r>
        <w:rPr>
          <w:b w:val="0"/>
          <w:i/>
          <w:color w:val="595959"/>
          <w:sz w:val="16"/>
        </w:rPr>
        <w:t>This report is confidential and prepared solely for the addressee for the purpose set out in section 1. It may not be relied upon by any other party without Maxhub's written consent. All data analysed is simulated engagement data generated for training purposes.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Maxhub Pvt Ltd - data governance record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2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2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8B8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B2E4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