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Methodology note - modelling, sign conventions and ratio definitions</w:t>
      </w:r>
    </w:p>
    <w:p>
      <w:pPr>
        <w:spacing w:after="120"/>
      </w:pPr>
      <w:r>
        <w:rPr>
          <w:b w:val="0"/>
          <w:i/>
          <w:color w:val="595959"/>
          <w:sz w:val="22"/>
        </w:rPr>
        <w:t>Practical Exam 1 (10 points) and Capstone 2 model documentation</w:t>
      </w:r>
    </w:p>
    <w:p>
      <w:pPr>
        <w:spacing w:before="80"/>
      </w:pPr>
      <w:r>
        <w:rPr>
          <w:color w:val="595959"/>
          <w:sz w:val="17"/>
        </w:rPr>
        <w:t>Client: Mhondoro Manufacturing (Pvt) Ltd    |    Period: 1 January 2024 to 30 September 2025    |    Issued: 08 October 2025    |    Reference: MX-2025-MN    |    Classification: Confidential</w:t>
      </w:r>
    </w:p>
    <w:p>
      <w:pPr>
        <w:spacing w:before="0" w:after="160"/>
        <w:pBdr>
          <w:bottom w:val="single" w:sz="8" w:color="008B8B"/>
        </w:pBdr>
      </w:pPr>
    </w:p>
    <w:p>
      <w:pPr>
        <w:pStyle w:val="Heading2"/>
      </w:pPr>
      <w:r>
        <w:t>1. Purpose</w:t>
      </w:r>
    </w:p>
    <w:p>
      <w:pPr>
        <w:spacing w:after="120"/>
      </w:pPr>
      <w:r>
        <w:rPr>
          <w:b w:val="0"/>
          <w:i w:val="0"/>
          <w:sz w:val="21"/>
        </w:rPr>
        <w:t>This note records every judgement that affects a number in the reporting pack: sign conventions, the treatment of the current-year result, ratio definitions and their date basis, exclusions, and the known limitations. It is written so that a reviewer who did not build the model can reproduce any figure from the raw extract.</w:t>
      </w:r>
    </w:p>
    <w:p>
      <w:pPr>
        <w:pStyle w:val="Heading2"/>
      </w:pPr>
      <w:r>
        <w:t>2. Sign conventions</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color="auto" w:fill="0B2E4F"/>
          </w:tcPr>
          <w:p>
            <w:r/>
            <w:r>
              <w:rPr>
                <w:b/>
                <w:color w:val="FFFFFF"/>
                <w:sz w:val="17"/>
              </w:rPr>
              <w:t>Convention</w:t>
            </w:r>
          </w:p>
        </w:tc>
        <w:tc>
          <w:tcPr>
            <w:tcW w:type="dxa" w:w="3855"/>
            <w:shd w:val="clear" w:color="auto" w:fill="0B2E4F"/>
          </w:tcPr>
          <w:p>
            <w:r/>
            <w:r>
              <w:rPr>
                <w:b/>
                <w:color w:val="FFFFFF"/>
                <w:sz w:val="17"/>
              </w:rPr>
              <w:t>Rule applied</w:t>
            </w:r>
          </w:p>
        </w:tc>
        <w:tc>
          <w:tcPr>
            <w:tcW w:type="dxa" w:w="3855"/>
            <w:shd w:val="clear" w:color="auto" w:fill="0B2E4F"/>
          </w:tcPr>
          <w:p>
            <w:r/>
            <w:r>
              <w:rPr>
                <w:b/>
                <w:color w:val="FFFFFF"/>
                <w:sz w:val="17"/>
              </w:rPr>
              <w:t>Why</w:t>
            </w:r>
          </w:p>
        </w:tc>
      </w:tr>
      <w:tr>
        <w:tc>
          <w:tcPr>
            <w:tcW w:type="dxa" w:w="1928"/>
          </w:tcPr>
          <w:p>
            <w:pPr>
              <w:spacing w:after="20"/>
            </w:pPr>
            <w:r/>
            <w:r>
              <w:rPr>
                <w:b w:val="0"/>
                <w:sz w:val="18"/>
              </w:rPr>
              <w:t>Ledger extract</w:t>
            </w:r>
          </w:p>
        </w:tc>
        <w:tc>
          <w:tcPr>
            <w:tcW w:type="dxa" w:w="3855"/>
          </w:tcPr>
          <w:p>
            <w:pPr>
              <w:spacing w:after="20"/>
            </w:pPr>
            <w:r/>
            <w:r>
              <w:rPr>
                <w:b w:val="0"/>
                <w:sz w:val="18"/>
              </w:rPr>
              <w:t>AmountUSD = Debit - Credit (debits positive)</w:t>
            </w:r>
          </w:p>
        </w:tc>
        <w:tc>
          <w:tcPr>
            <w:tcW w:type="dxa" w:w="3855"/>
          </w:tcPr>
          <w:p>
            <w:pPr>
              <w:spacing w:after="20"/>
            </w:pPr>
            <w:r/>
            <w:r>
              <w:rPr>
                <w:b w:val="0"/>
                <w:sz w:val="18"/>
              </w:rPr>
              <w:t>As delivered by the client; unchanged</w:t>
            </w:r>
          </w:p>
        </w:tc>
      </w:tr>
      <w:tr>
        <w:tc>
          <w:tcPr>
            <w:tcW w:type="dxa" w:w="1928"/>
            <w:shd w:val="clear" w:color="auto" w:fill="F5F8FA"/>
          </w:tcPr>
          <w:p>
            <w:pPr>
              <w:spacing w:after="20"/>
            </w:pPr>
            <w:r/>
            <w:r>
              <w:rPr>
                <w:b w:val="0"/>
                <w:sz w:val="18"/>
              </w:rPr>
              <w:t>P&amp;L presentation</w:t>
            </w:r>
          </w:p>
        </w:tc>
        <w:tc>
          <w:tcPr>
            <w:tcW w:type="dxa" w:w="3855"/>
            <w:shd w:val="clear" w:color="auto" w:fill="F5F8FA"/>
          </w:tcPr>
          <w:p>
            <w:pPr>
              <w:spacing w:after="20"/>
            </w:pPr>
            <w:r/>
            <w:r>
              <w:rPr>
                <w:b w:val="0"/>
                <w:sz w:val="18"/>
              </w:rPr>
              <w:t>P&amp;L value = -AmountUSD x PLSign, so revenue is positive and expenses are positive costs</w:t>
            </w:r>
          </w:p>
        </w:tc>
        <w:tc>
          <w:tcPr>
            <w:tcW w:type="dxa" w:w="3855"/>
            <w:shd w:val="clear" w:color="auto" w:fill="F5F8FA"/>
          </w:tcPr>
          <w:p>
            <w:pPr>
              <w:spacing w:after="20"/>
            </w:pPr>
            <w:r/>
            <w:r>
              <w:rPr>
                <w:b w:val="0"/>
                <w:sz w:val="18"/>
              </w:rPr>
              <w:t>Lets the statement be built by summing one column without case logic</w:t>
            </w:r>
          </w:p>
        </w:tc>
      </w:tr>
      <w:tr>
        <w:tc>
          <w:tcPr>
            <w:tcW w:type="dxa" w:w="1928"/>
          </w:tcPr>
          <w:p>
            <w:pPr>
              <w:spacing w:after="20"/>
            </w:pPr>
            <w:r/>
            <w:r>
              <w:rPr>
                <w:b w:val="0"/>
                <w:sz w:val="18"/>
              </w:rPr>
              <w:t>Balance sheet presentation</w:t>
            </w:r>
          </w:p>
        </w:tc>
        <w:tc>
          <w:tcPr>
            <w:tcW w:type="dxa" w:w="3855"/>
          </w:tcPr>
          <w:p>
            <w:pPr>
              <w:spacing w:after="20"/>
            </w:pPr>
            <w:r/>
            <w:r>
              <w:rPr>
                <w:b w:val="0"/>
                <w:sz w:val="18"/>
              </w:rPr>
              <w:t>Assets +AmountUSD; liabilities and equity -AmountUSD</w:t>
            </w:r>
          </w:p>
        </w:tc>
        <w:tc>
          <w:tcPr>
            <w:tcW w:type="dxa" w:w="3855"/>
          </w:tcPr>
          <w:p>
            <w:pPr>
              <w:spacing w:after="20"/>
            </w:pPr>
            <w:r/>
            <w:r>
              <w:rPr>
                <w:b w:val="0"/>
                <w:sz w:val="18"/>
              </w:rPr>
              <w:t>Contra accounts (accumulated depreciation, allowances, provisions) net off correctly</w:t>
            </w:r>
          </w:p>
        </w:tc>
      </w:tr>
      <w:tr>
        <w:tc>
          <w:tcPr>
            <w:tcW w:type="dxa" w:w="1928"/>
            <w:shd w:val="clear" w:color="auto" w:fill="F5F8FA"/>
          </w:tcPr>
          <w:p>
            <w:pPr>
              <w:spacing w:after="20"/>
            </w:pPr>
            <w:r/>
            <w:r>
              <w:rPr>
                <w:b w:val="0"/>
                <w:sz w:val="18"/>
              </w:rPr>
              <w:t>Suspense account (1990)</w:t>
            </w:r>
          </w:p>
        </w:tc>
        <w:tc>
          <w:tcPr>
            <w:tcW w:type="dxa" w:w="3855"/>
            <w:shd w:val="clear" w:color="auto" w:fill="F5F8FA"/>
          </w:tcPr>
          <w:p>
            <w:pPr>
              <w:spacing w:after="20"/>
            </w:pPr>
            <w:r/>
            <w:r>
              <w:rPr>
                <w:b w:val="0"/>
                <w:sz w:val="18"/>
              </w:rPr>
              <w:t>Credit balance of $51,058.87 presented within current liabilities</w:t>
            </w:r>
          </w:p>
        </w:tc>
        <w:tc>
          <w:tcPr>
            <w:tcW w:type="dxa" w:w="3855"/>
            <w:shd w:val="clear" w:color="auto" w:fill="F5F8FA"/>
          </w:tcPr>
          <w:p>
            <w:pPr>
              <w:spacing w:after="20"/>
            </w:pPr>
            <w:r/>
            <w:r>
              <w:rPr>
                <w:b w:val="0"/>
                <w:sz w:val="18"/>
              </w:rPr>
              <w:t>It is an unallocated credit; presenting it as a negative asset would hide it</w:t>
            </w:r>
          </w:p>
        </w:tc>
      </w:tr>
      <w:tr>
        <w:tc>
          <w:tcPr>
            <w:tcW w:type="dxa" w:w="1928"/>
          </w:tcPr>
          <w:p>
            <w:pPr>
              <w:spacing w:after="20"/>
            </w:pPr>
            <w:r/>
            <w:r>
              <w:rPr>
                <w:b w:val="0"/>
                <w:sz w:val="18"/>
              </w:rPr>
              <w:t>Cash flow</w:t>
            </w:r>
          </w:p>
        </w:tc>
        <w:tc>
          <w:tcPr>
            <w:tcW w:type="dxa" w:w="3855"/>
          </w:tcPr>
          <w:p>
            <w:pPr>
              <w:spacing w:after="20"/>
            </w:pPr>
            <w:r/>
            <w:r>
              <w:rPr>
                <w:b w:val="0"/>
                <w:sz w:val="18"/>
              </w:rPr>
              <w:t>Indirect method, derived from ledger movements</w:t>
            </w:r>
          </w:p>
        </w:tc>
        <w:tc>
          <w:tcPr>
            <w:tcW w:type="dxa" w:w="3855"/>
          </w:tcPr>
          <w:p>
            <w:pPr>
              <w:spacing w:after="20"/>
            </w:pPr>
            <w:r/>
            <w:r>
              <w:rPr>
                <w:b w:val="0"/>
                <w:sz w:val="18"/>
              </w:rPr>
              <w:t>No separate cash ledger was provided</w:t>
            </w:r>
          </w:p>
        </w:tc>
      </w:tr>
      <w:tr>
        <w:tc>
          <w:tcPr>
            <w:tcW w:type="dxa" w:w="1928"/>
            <w:shd w:val="clear" w:color="auto" w:fill="F5F8FA"/>
          </w:tcPr>
          <w:p>
            <w:pPr>
              <w:spacing w:after="20"/>
            </w:pPr>
            <w:r/>
            <w:r>
              <w:rPr>
                <w:b w:val="0"/>
                <w:sz w:val="18"/>
              </w:rPr>
              <w:t>Currency</w:t>
            </w:r>
          </w:p>
        </w:tc>
        <w:tc>
          <w:tcPr>
            <w:tcW w:type="dxa" w:w="3855"/>
            <w:shd w:val="clear" w:color="auto" w:fill="F5F8FA"/>
          </w:tcPr>
          <w:p>
            <w:pPr>
              <w:spacing w:after="20"/>
            </w:pPr>
            <w:r/>
            <w:r>
              <w:rPr>
                <w:b w:val="0"/>
                <w:sz w:val="18"/>
              </w:rPr>
              <w:t>USD functional currency; FXRate applied by the client's system</w:t>
            </w:r>
          </w:p>
        </w:tc>
        <w:tc>
          <w:tcPr>
            <w:tcW w:type="dxa" w:w="3855"/>
            <w:shd w:val="clear" w:color="auto" w:fill="F5F8FA"/>
          </w:tcPr>
          <w:p>
            <w:pPr>
              <w:spacing w:after="20"/>
            </w:pPr>
            <w:r/>
            <w:r>
              <w:rPr>
                <w:b w:val="0"/>
                <w:sz w:val="18"/>
              </w:rPr>
              <w:t>All amounts reported in USD; no retranslation performed by us</w:t>
            </w:r>
          </w:p>
        </w:tc>
      </w:tr>
    </w:tbl>
    <w:p>
      <w:pPr>
        <w:spacing w:after="40"/>
      </w:pPr>
    </w:p>
    <w:p>
      <w:pPr>
        <w:pStyle w:val="Heading2"/>
      </w:pPr>
      <w:r>
        <w:t>3. Current-year result and the year-end close</w:t>
      </w:r>
    </w:p>
    <w:p>
      <w:pPr>
        <w:spacing w:after="120"/>
      </w:pPr>
      <w:r>
        <w:rPr>
          <w:b w:val="0"/>
          <w:i w:val="0"/>
          <w:sz w:val="21"/>
        </w:rPr>
        <w:t>The FY2024 profit and loss accounts were closed to retained earnings on 31 December 2024 (30 closing entries). The P&amp;L measures therefore exclude EntryType = 'Closing'; if they did not, FY2024 would report nil revenue. FY2025 is a nine-month period and has not been closed, so its result is the current year result and is presented within equity on the balance sheet. This is why the balance sheet check is zero only when the current-year result is included in equity.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0B2E4F"/>
          </w:tcPr>
          <w:p>
            <w:r/>
            <w:r>
              <w:rPr>
                <w:b/>
                <w:color w:val="FFFFFF"/>
                <w:sz w:val="17"/>
              </w:rPr>
              <w:t>Line</w:t>
            </w:r>
          </w:p>
        </w:tc>
        <w:tc>
          <w:tcPr>
            <w:tcW w:type="dxa" w:w="2268"/>
            <w:shd w:val="clear" w:color="auto" w:fill="0B2E4F"/>
          </w:tcPr>
          <w:p>
            <w:r/>
            <w:r>
              <w:rPr>
                <w:b/>
                <w:color w:val="FFFFFF"/>
                <w:sz w:val="17"/>
              </w:rPr>
              <w:t>FY2024 (12 months)</w:t>
            </w:r>
          </w:p>
        </w:tc>
        <w:tc>
          <w:tcPr>
            <w:tcW w:type="dxa" w:w="2268"/>
            <w:shd w:val="clear" w:color="auto" w:fill="0B2E4F"/>
          </w:tcPr>
          <w:p>
            <w:r/>
            <w:r>
              <w:rPr>
                <w:b/>
                <w:color w:val="FFFFFF"/>
                <w:sz w:val="17"/>
              </w:rPr>
              <w:t>FY2025 (9 months)</w:t>
            </w:r>
          </w:p>
        </w:tc>
        <w:tc>
          <w:tcPr>
            <w:tcW w:type="dxa" w:w="2268"/>
            <w:shd w:val="clear" w:color="auto" w:fill="0B2E4F"/>
          </w:tcPr>
          <w:p>
            <w:r/>
            <w:r>
              <w:rPr>
                <w:b/>
                <w:color w:val="FFFFFF"/>
                <w:sz w:val="17"/>
              </w:rPr>
              <w:t>Movement</w:t>
            </w:r>
          </w:p>
        </w:tc>
      </w:tr>
      <w:tr>
        <w:tc>
          <w:tcPr>
            <w:tcW w:type="dxa" w:w="2494"/>
          </w:tcPr>
          <w:p>
            <w:pPr>
              <w:spacing w:after="20"/>
            </w:pPr>
            <w:r/>
            <w:r>
              <w:rPr>
                <w:b w:val="0"/>
                <w:sz w:val="18"/>
              </w:rPr>
              <w:t>Revenue</w:t>
            </w:r>
          </w:p>
        </w:tc>
        <w:tc>
          <w:tcPr>
            <w:tcW w:type="dxa" w:w="2268"/>
          </w:tcPr>
          <w:p>
            <w:pPr>
              <w:spacing w:after="20"/>
              <w:jc w:val="right"/>
            </w:pPr>
            <w:r/>
            <w:r>
              <w:rPr>
                <w:b w:val="0"/>
                <w:sz w:val="18"/>
              </w:rPr>
              <w:t>13,786,572.99</w:t>
            </w:r>
          </w:p>
        </w:tc>
        <w:tc>
          <w:tcPr>
            <w:tcW w:type="dxa" w:w="2268"/>
          </w:tcPr>
          <w:p>
            <w:pPr>
              <w:spacing w:after="20"/>
              <w:jc w:val="right"/>
            </w:pPr>
            <w:r/>
            <w:r>
              <w:rPr>
                <w:b w:val="0"/>
                <w:sz w:val="18"/>
              </w:rPr>
              <w:t>10,543,059.22</w:t>
            </w:r>
          </w:p>
        </w:tc>
        <w:tc>
          <w:tcPr>
            <w:tcW w:type="dxa" w:w="2268"/>
          </w:tcPr>
          <w:p>
            <w:pPr>
              <w:spacing w:after="20"/>
              <w:jc w:val="right"/>
            </w:pPr>
            <w:r/>
            <w:r>
              <w:rPr>
                <w:b w:val="0"/>
                <w:sz w:val="18"/>
              </w:rPr>
              <w:t>-3,243,513.77</w:t>
            </w:r>
          </w:p>
        </w:tc>
      </w:tr>
      <w:tr>
        <w:tc>
          <w:tcPr>
            <w:tcW w:type="dxa" w:w="2494"/>
            <w:shd w:val="clear" w:color="auto" w:fill="F5F8FA"/>
          </w:tcPr>
          <w:p>
            <w:pPr>
              <w:spacing w:after="20"/>
            </w:pPr>
            <w:r/>
            <w:r>
              <w:rPr>
                <w:b w:val="0"/>
                <w:sz w:val="18"/>
              </w:rPr>
              <w:t>Cost of sales</w:t>
            </w:r>
          </w:p>
        </w:tc>
        <w:tc>
          <w:tcPr>
            <w:tcW w:type="dxa" w:w="2268"/>
            <w:shd w:val="clear" w:color="auto" w:fill="F5F8FA"/>
          </w:tcPr>
          <w:p>
            <w:pPr>
              <w:spacing w:after="20"/>
              <w:jc w:val="right"/>
            </w:pPr>
            <w:r/>
            <w:r>
              <w:rPr>
                <w:b w:val="0"/>
                <w:sz w:val="18"/>
              </w:rPr>
              <w:t>6,993,982.03</w:t>
            </w:r>
          </w:p>
        </w:tc>
        <w:tc>
          <w:tcPr>
            <w:tcW w:type="dxa" w:w="2268"/>
            <w:shd w:val="clear" w:color="auto" w:fill="F5F8FA"/>
          </w:tcPr>
          <w:p>
            <w:pPr>
              <w:spacing w:after="20"/>
              <w:jc w:val="right"/>
            </w:pPr>
            <w:r/>
            <w:r>
              <w:rPr>
                <w:b w:val="0"/>
                <w:sz w:val="18"/>
              </w:rPr>
              <w:t>5,216,591.66</w:t>
            </w:r>
          </w:p>
        </w:tc>
        <w:tc>
          <w:tcPr>
            <w:tcW w:type="dxa" w:w="2268"/>
            <w:shd w:val="clear" w:color="auto" w:fill="F5F8FA"/>
          </w:tcPr>
          <w:p>
            <w:pPr>
              <w:spacing w:after="20"/>
              <w:jc w:val="right"/>
            </w:pPr>
            <w:r/>
            <w:r>
              <w:rPr>
                <w:b w:val="0"/>
                <w:sz w:val="18"/>
              </w:rPr>
            </w:r>
          </w:p>
        </w:tc>
      </w:tr>
      <w:tr>
        <w:tc>
          <w:tcPr>
            <w:tcW w:type="dxa" w:w="2494"/>
          </w:tcPr>
          <w:p>
            <w:pPr>
              <w:spacing w:after="20"/>
            </w:pPr>
            <w:r/>
            <w:r>
              <w:rPr>
                <w:b w:val="0"/>
                <w:sz w:val="18"/>
              </w:rPr>
              <w:t>Gross profit</w:t>
            </w:r>
          </w:p>
        </w:tc>
        <w:tc>
          <w:tcPr>
            <w:tcW w:type="dxa" w:w="2268"/>
          </w:tcPr>
          <w:p>
            <w:pPr>
              <w:spacing w:after="20"/>
              <w:jc w:val="right"/>
            </w:pPr>
            <w:r/>
            <w:r>
              <w:rPr>
                <w:b w:val="0"/>
                <w:sz w:val="18"/>
              </w:rPr>
              <w:t>6,792,590.96</w:t>
            </w:r>
          </w:p>
        </w:tc>
        <w:tc>
          <w:tcPr>
            <w:tcW w:type="dxa" w:w="2268"/>
          </w:tcPr>
          <w:p>
            <w:pPr>
              <w:spacing w:after="20"/>
              <w:jc w:val="right"/>
            </w:pPr>
            <w:r/>
            <w:r>
              <w:rPr>
                <w:b w:val="0"/>
                <w:sz w:val="18"/>
              </w:rPr>
              <w:t>5,326,467.56</w:t>
            </w:r>
          </w:p>
        </w:tc>
        <w:tc>
          <w:tcPr>
            <w:tcW w:type="dxa" w:w="2268"/>
          </w:tcPr>
          <w:p>
            <w:pPr>
              <w:spacing w:after="20"/>
              <w:jc w:val="right"/>
            </w:pPr>
            <w:r/>
            <w:r>
              <w:rPr>
                <w:b w:val="0"/>
                <w:sz w:val="18"/>
              </w:rPr>
            </w:r>
          </w:p>
        </w:tc>
      </w:tr>
      <w:tr>
        <w:tc>
          <w:tcPr>
            <w:tcW w:type="dxa" w:w="2494"/>
            <w:shd w:val="clear" w:color="auto" w:fill="F5F8FA"/>
          </w:tcPr>
          <w:p>
            <w:pPr>
              <w:spacing w:after="20"/>
            </w:pPr>
            <w:r/>
            <w:r>
              <w:rPr>
                <w:b w:val="0"/>
                <w:sz w:val="18"/>
              </w:rPr>
              <w:t>Gross margin %</w:t>
            </w:r>
          </w:p>
        </w:tc>
        <w:tc>
          <w:tcPr>
            <w:tcW w:type="dxa" w:w="2268"/>
            <w:shd w:val="clear" w:color="auto" w:fill="F5F8FA"/>
          </w:tcPr>
          <w:p>
            <w:pPr>
              <w:spacing w:after="20"/>
              <w:jc w:val="right"/>
            </w:pPr>
            <w:r/>
            <w:r>
              <w:rPr>
                <w:b w:val="0"/>
                <w:sz w:val="18"/>
              </w:rPr>
              <w:t>49.3%</w:t>
            </w:r>
          </w:p>
        </w:tc>
        <w:tc>
          <w:tcPr>
            <w:tcW w:type="dxa" w:w="2268"/>
            <w:shd w:val="clear" w:color="auto" w:fill="F5F8FA"/>
          </w:tcPr>
          <w:p>
            <w:pPr>
              <w:spacing w:after="20"/>
              <w:jc w:val="right"/>
            </w:pPr>
            <w:r/>
            <w:r>
              <w:rPr>
                <w:b w:val="0"/>
                <w:sz w:val="18"/>
              </w:rPr>
              <w:t>50.5%</w:t>
            </w:r>
          </w:p>
        </w:tc>
        <w:tc>
          <w:tcPr>
            <w:tcW w:type="dxa" w:w="2268"/>
            <w:shd w:val="clear" w:color="auto" w:fill="F5F8FA"/>
          </w:tcPr>
          <w:p>
            <w:pPr>
              <w:spacing w:after="20"/>
              <w:jc w:val="right"/>
            </w:pPr>
            <w:r/>
            <w:r>
              <w:rPr>
                <w:b w:val="0"/>
                <w:sz w:val="18"/>
              </w:rPr>
              <w:t>+1.3 pp</w:t>
            </w:r>
          </w:p>
        </w:tc>
      </w:tr>
      <w:tr>
        <w:tc>
          <w:tcPr>
            <w:tcW w:type="dxa" w:w="2494"/>
          </w:tcPr>
          <w:p>
            <w:pPr>
              <w:spacing w:after="20"/>
            </w:pPr>
            <w:r/>
            <w:r>
              <w:rPr>
                <w:b w:val="0"/>
                <w:sz w:val="18"/>
              </w:rPr>
              <w:t>Operating profit</w:t>
            </w:r>
          </w:p>
        </w:tc>
        <w:tc>
          <w:tcPr>
            <w:tcW w:type="dxa" w:w="2268"/>
          </w:tcPr>
          <w:p>
            <w:pPr>
              <w:spacing w:after="20"/>
              <w:jc w:val="right"/>
            </w:pPr>
            <w:r/>
            <w:r>
              <w:rPr>
                <w:b w:val="0"/>
                <w:sz w:val="18"/>
              </w:rPr>
              <w:t>851,525.67</w:t>
            </w:r>
          </w:p>
        </w:tc>
        <w:tc>
          <w:tcPr>
            <w:tcW w:type="dxa" w:w="2268"/>
          </w:tcPr>
          <w:p>
            <w:pPr>
              <w:spacing w:after="20"/>
              <w:jc w:val="right"/>
            </w:pPr>
            <w:r/>
            <w:r>
              <w:rPr>
                <w:b w:val="0"/>
                <w:sz w:val="18"/>
              </w:rPr>
              <w:t>210,480.25</w:t>
            </w:r>
          </w:p>
        </w:tc>
        <w:tc>
          <w:tcPr>
            <w:tcW w:type="dxa" w:w="2268"/>
          </w:tcPr>
          <w:p>
            <w:pPr>
              <w:spacing w:after="20"/>
              <w:jc w:val="right"/>
            </w:pPr>
            <w:r/>
            <w:r>
              <w:rPr>
                <w:b w:val="0"/>
                <w:sz w:val="18"/>
              </w:rPr>
            </w:r>
          </w:p>
        </w:tc>
      </w:tr>
      <w:tr>
        <w:tc>
          <w:tcPr>
            <w:tcW w:type="dxa" w:w="2494"/>
            <w:shd w:val="clear" w:color="auto" w:fill="F5F8FA"/>
          </w:tcPr>
          <w:p>
            <w:pPr>
              <w:spacing w:after="20"/>
            </w:pPr>
            <w:r/>
            <w:r>
              <w:rPr>
                <w:b w:val="0"/>
                <w:sz w:val="18"/>
              </w:rPr>
              <w:t>Profit after tax</w:t>
            </w:r>
          </w:p>
        </w:tc>
        <w:tc>
          <w:tcPr>
            <w:tcW w:type="dxa" w:w="2268"/>
            <w:shd w:val="clear" w:color="auto" w:fill="F5F8FA"/>
          </w:tcPr>
          <w:p>
            <w:pPr>
              <w:spacing w:after="20"/>
              <w:jc w:val="right"/>
            </w:pPr>
            <w:r/>
            <w:r>
              <w:rPr>
                <w:b w:val="0"/>
                <w:sz w:val="18"/>
              </w:rPr>
              <w:t>447,052.47</w:t>
            </w:r>
          </w:p>
        </w:tc>
        <w:tc>
          <w:tcPr>
            <w:tcW w:type="dxa" w:w="2268"/>
            <w:shd w:val="clear" w:color="auto" w:fill="F5F8FA"/>
          </w:tcPr>
          <w:p>
            <w:pPr>
              <w:spacing w:after="20"/>
              <w:jc w:val="right"/>
            </w:pPr>
            <w:r/>
            <w:r>
              <w:rPr>
                <w:b w:val="0"/>
                <w:sz w:val="18"/>
              </w:rPr>
              <w:t>-61,866.98</w:t>
            </w:r>
          </w:p>
        </w:tc>
        <w:tc>
          <w:tcPr>
            <w:tcW w:type="dxa" w:w="2268"/>
            <w:shd w:val="clear" w:color="auto" w:fill="F5F8FA"/>
          </w:tcPr>
          <w:p>
            <w:pPr>
              <w:spacing w:after="20"/>
              <w:jc w:val="right"/>
            </w:pPr>
            <w:r/>
            <w:r>
              <w:rPr>
                <w:b w:val="0"/>
                <w:sz w:val="18"/>
              </w:rPr>
              <w:t>-508,919.45</w:t>
            </w:r>
          </w:p>
        </w:tc>
      </w:tr>
    </w:tbl>
    <w:p>
      <w:pPr>
        <w:spacing w:after="40"/>
      </w:pPr>
    </w:p>
    <w:p>
      <w:pPr>
        <w:pStyle w:val="Heading2"/>
      </w:pPr>
      <w:r>
        <w:t>4. Ratio definitions and date basis</w:t>
      </w:r>
    </w:p>
    <w:p>
      <w:pPr>
        <w:spacing w:after="120"/>
      </w:pPr>
      <w:r>
        <w:rPr>
          <w:b w:val="0"/>
          <w:i w:val="0"/>
          <w:sz w:val="21"/>
        </w:rPr>
        <w:t>All ratios use the nine-month period to 30 September 2025 (273 days elapsed). Annualising is deliberately avoided: a nine-month figure annualised by 4/3 assumes an even trading year, which the monthly data does not support.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0B2E4F"/>
          </w:tcPr>
          <w:p>
            <w:r/>
            <w:r>
              <w:rPr>
                <w:b/>
                <w:color w:val="FFFFFF"/>
                <w:sz w:val="17"/>
              </w:rPr>
              <w:t>Ratio</w:t>
            </w:r>
          </w:p>
        </w:tc>
        <w:tc>
          <w:tcPr>
            <w:tcW w:type="dxa" w:w="4195"/>
            <w:shd w:val="clear" w:color="auto" w:fill="0B2E4F"/>
          </w:tcPr>
          <w:p>
            <w:r/>
            <w:r>
              <w:rPr>
                <w:b/>
                <w:color w:val="FFFFFF"/>
                <w:sz w:val="17"/>
              </w:rPr>
              <w:t>Formula as implemented</w:t>
            </w:r>
          </w:p>
        </w:tc>
        <w:tc>
          <w:tcPr>
            <w:tcW w:type="dxa" w:w="1361"/>
            <w:shd w:val="clear" w:color="auto" w:fill="0B2E4F"/>
          </w:tcPr>
          <w:p>
            <w:r/>
            <w:r>
              <w:rPr>
                <w:b/>
                <w:color w:val="FFFFFF"/>
                <w:sz w:val="17"/>
              </w:rPr>
              <w:t>Value</w:t>
            </w:r>
          </w:p>
        </w:tc>
        <w:tc>
          <w:tcPr>
            <w:tcW w:type="dxa" w:w="2721"/>
            <w:shd w:val="clear" w:color="auto" w:fill="0B2E4F"/>
          </w:tcPr>
          <w:p>
            <w:r/>
            <w:r>
              <w:rPr>
                <w:b/>
                <w:color w:val="FFFFFF"/>
                <w:sz w:val="17"/>
              </w:rPr>
              <w:t>Inputs used</w:t>
            </w:r>
          </w:p>
        </w:tc>
      </w:tr>
      <w:tr>
        <w:tc>
          <w:tcPr>
            <w:tcW w:type="dxa" w:w="1361"/>
          </w:tcPr>
          <w:p>
            <w:pPr>
              <w:spacing w:after="20"/>
            </w:pPr>
            <w:r/>
            <w:r>
              <w:rPr>
                <w:b w:val="0"/>
                <w:sz w:val="17"/>
              </w:rPr>
              <w:t>DSO</w:t>
            </w:r>
          </w:p>
        </w:tc>
        <w:tc>
          <w:tcPr>
            <w:tcW w:type="dxa" w:w="4195"/>
          </w:tcPr>
          <w:p>
            <w:pPr>
              <w:spacing w:after="20"/>
            </w:pPr>
            <w:r/>
            <w:r>
              <w:rPr>
                <w:b w:val="0"/>
                <w:sz w:val="17"/>
              </w:rPr>
              <w:t>Closing trade receivables (1100) / nine-month revenue x 273 days elapsed</w:t>
            </w:r>
          </w:p>
        </w:tc>
        <w:tc>
          <w:tcPr>
            <w:tcW w:type="dxa" w:w="1361"/>
          </w:tcPr>
          <w:p>
            <w:pPr>
              <w:spacing w:after="20"/>
            </w:pPr>
            <w:r/>
            <w:r>
              <w:rPr>
                <w:b w:val="0"/>
                <w:sz w:val="17"/>
              </w:rPr>
              <w:t>98 days</w:t>
            </w:r>
          </w:p>
        </w:tc>
        <w:tc>
          <w:tcPr>
            <w:tcW w:type="dxa" w:w="2721"/>
          </w:tcPr>
          <w:p>
            <w:pPr>
              <w:spacing w:after="20"/>
            </w:pPr>
            <w:r/>
            <w:r>
              <w:rPr>
                <w:b w:val="0"/>
                <w:sz w:val="17"/>
              </w:rPr>
              <w:t>AR $3,790,173.74 / revenue $10,543,059.22</w:t>
            </w:r>
          </w:p>
        </w:tc>
      </w:tr>
      <w:tr>
        <w:tc>
          <w:tcPr>
            <w:tcW w:type="dxa" w:w="1361"/>
            <w:shd w:val="clear" w:color="auto" w:fill="F5F8FA"/>
          </w:tcPr>
          <w:p>
            <w:pPr>
              <w:spacing w:after="20"/>
            </w:pPr>
            <w:r/>
            <w:r>
              <w:rPr>
                <w:b w:val="0"/>
                <w:sz w:val="17"/>
              </w:rPr>
              <w:t>DPO</w:t>
            </w:r>
          </w:p>
        </w:tc>
        <w:tc>
          <w:tcPr>
            <w:tcW w:type="dxa" w:w="4195"/>
            <w:shd w:val="clear" w:color="auto" w:fill="F5F8FA"/>
          </w:tcPr>
          <w:p>
            <w:pPr>
              <w:spacing w:after="20"/>
            </w:pPr>
            <w:r/>
            <w:r>
              <w:rPr>
                <w:b w:val="0"/>
                <w:sz w:val="17"/>
              </w:rPr>
              <w:t>Closing trade payables (2000) / nine-month cost of sales x 273 days elapsed</w:t>
            </w:r>
          </w:p>
        </w:tc>
        <w:tc>
          <w:tcPr>
            <w:tcW w:type="dxa" w:w="1361"/>
            <w:shd w:val="clear" w:color="auto" w:fill="F5F8FA"/>
          </w:tcPr>
          <w:p>
            <w:pPr>
              <w:spacing w:after="20"/>
            </w:pPr>
            <w:r/>
            <w:r>
              <w:rPr>
                <w:b w:val="0"/>
                <w:sz w:val="17"/>
              </w:rPr>
              <w:t>124 days</w:t>
            </w:r>
          </w:p>
        </w:tc>
        <w:tc>
          <w:tcPr>
            <w:tcW w:type="dxa" w:w="2721"/>
            <w:shd w:val="clear" w:color="auto" w:fill="F5F8FA"/>
          </w:tcPr>
          <w:p>
            <w:pPr>
              <w:spacing w:after="20"/>
            </w:pPr>
            <w:r/>
            <w:r>
              <w:rPr>
                <w:b w:val="0"/>
                <w:sz w:val="17"/>
              </w:rPr>
              <w:t>AP $2,373,620.98 / cost of sales $5,216,591.66</w:t>
            </w:r>
          </w:p>
        </w:tc>
      </w:tr>
      <w:tr>
        <w:tc>
          <w:tcPr>
            <w:tcW w:type="dxa" w:w="1361"/>
          </w:tcPr>
          <w:p>
            <w:pPr>
              <w:spacing w:after="20"/>
            </w:pPr>
            <w:r/>
            <w:r>
              <w:rPr>
                <w:b w:val="0"/>
                <w:sz w:val="17"/>
              </w:rPr>
              <w:t>DIO</w:t>
            </w:r>
          </w:p>
        </w:tc>
        <w:tc>
          <w:tcPr>
            <w:tcW w:type="dxa" w:w="4195"/>
          </w:tcPr>
          <w:p>
            <w:pPr>
              <w:spacing w:after="20"/>
            </w:pPr>
            <w:r/>
            <w:r>
              <w:rPr>
                <w:b w:val="0"/>
                <w:sz w:val="17"/>
              </w:rPr>
              <w:t>Closing inventories net of provision (1200+1210+1220-1230) / nine-month cost of sales x 273 days elapsed</w:t>
            </w:r>
          </w:p>
        </w:tc>
        <w:tc>
          <w:tcPr>
            <w:tcW w:type="dxa" w:w="1361"/>
          </w:tcPr>
          <w:p>
            <w:pPr>
              <w:spacing w:after="20"/>
            </w:pPr>
            <w:r/>
            <w:r>
              <w:rPr>
                <w:b w:val="0"/>
                <w:sz w:val="17"/>
              </w:rPr>
              <w:t>46 days</w:t>
            </w:r>
          </w:p>
        </w:tc>
        <w:tc>
          <w:tcPr>
            <w:tcW w:type="dxa" w:w="2721"/>
          </w:tcPr>
          <w:p>
            <w:pPr>
              <w:spacing w:after="20"/>
            </w:pPr>
            <w:r/>
            <w:r>
              <w:rPr>
                <w:b w:val="0"/>
                <w:sz w:val="17"/>
              </w:rPr>
              <w:t>Inventory net $871,342.83 / cost of sales $5,216,591.66</w:t>
            </w:r>
          </w:p>
        </w:tc>
      </w:tr>
      <w:tr>
        <w:tc>
          <w:tcPr>
            <w:tcW w:type="dxa" w:w="1361"/>
            <w:shd w:val="clear" w:color="auto" w:fill="F5F8FA"/>
          </w:tcPr>
          <w:p>
            <w:pPr>
              <w:spacing w:after="20"/>
            </w:pPr>
            <w:r/>
            <w:r>
              <w:rPr>
                <w:b w:val="0"/>
                <w:sz w:val="17"/>
              </w:rPr>
              <w:t>CCC</w:t>
            </w:r>
          </w:p>
        </w:tc>
        <w:tc>
          <w:tcPr>
            <w:tcW w:type="dxa" w:w="4195"/>
            <w:shd w:val="clear" w:color="auto" w:fill="F5F8FA"/>
          </w:tcPr>
          <w:p>
            <w:pPr>
              <w:spacing w:after="20"/>
            </w:pPr>
            <w:r/>
            <w:r>
              <w:rPr>
                <w:b w:val="0"/>
                <w:sz w:val="17"/>
              </w:rPr>
              <w:t>DSO + DIO - DPO</w:t>
            </w:r>
          </w:p>
        </w:tc>
        <w:tc>
          <w:tcPr>
            <w:tcW w:type="dxa" w:w="1361"/>
            <w:shd w:val="clear" w:color="auto" w:fill="F5F8FA"/>
          </w:tcPr>
          <w:p>
            <w:pPr>
              <w:spacing w:after="20"/>
            </w:pPr>
            <w:r/>
            <w:r>
              <w:rPr>
                <w:b w:val="0"/>
                <w:sz w:val="17"/>
              </w:rPr>
              <w:t>20 days</w:t>
            </w:r>
          </w:p>
        </w:tc>
        <w:tc>
          <w:tcPr>
            <w:tcW w:type="dxa" w:w="2721"/>
            <w:shd w:val="clear" w:color="auto" w:fill="F5F8FA"/>
          </w:tcPr>
          <w:p>
            <w:pPr>
              <w:spacing w:after="20"/>
            </w:pPr>
            <w:r/>
            <w:r>
              <w:rPr>
                <w:b w:val="0"/>
                <w:sz w:val="17"/>
              </w:rPr>
              <w:t>98 + 46 - 124</w:t>
            </w:r>
          </w:p>
        </w:tc>
      </w:tr>
      <w:tr>
        <w:tc>
          <w:tcPr>
            <w:tcW w:type="dxa" w:w="1361"/>
          </w:tcPr>
          <w:p>
            <w:pPr>
              <w:spacing w:after="20"/>
            </w:pPr>
            <w:r/>
            <w:r>
              <w:rPr>
                <w:b w:val="0"/>
                <w:sz w:val="17"/>
              </w:rPr>
              <w:t>Gross margin</w:t>
            </w:r>
          </w:p>
        </w:tc>
        <w:tc>
          <w:tcPr>
            <w:tcW w:type="dxa" w:w="4195"/>
          </w:tcPr>
          <w:p>
            <w:pPr>
              <w:spacing w:after="20"/>
            </w:pPr>
            <w:r/>
            <w:r>
              <w:rPr>
                <w:b w:val="0"/>
                <w:sz w:val="17"/>
              </w:rPr>
              <w:t>Gross profit / revenue</w:t>
            </w:r>
          </w:p>
        </w:tc>
        <w:tc>
          <w:tcPr>
            <w:tcW w:type="dxa" w:w="1361"/>
          </w:tcPr>
          <w:p>
            <w:pPr>
              <w:spacing w:after="20"/>
            </w:pPr>
            <w:r/>
            <w:r>
              <w:rPr>
                <w:b w:val="0"/>
                <w:sz w:val="17"/>
              </w:rPr>
              <w:t>50.5%</w:t>
            </w:r>
          </w:p>
        </w:tc>
        <w:tc>
          <w:tcPr>
            <w:tcW w:type="dxa" w:w="2721"/>
          </w:tcPr>
          <w:p>
            <w:pPr>
              <w:spacing w:after="20"/>
            </w:pPr>
            <w:r/>
            <w:r>
              <w:rPr>
                <w:b w:val="0"/>
                <w:sz w:val="17"/>
              </w:rPr>
              <w:t>$5,326,467.56 / $10,543,059.22</w:t>
            </w:r>
          </w:p>
        </w:tc>
      </w:tr>
      <w:tr>
        <w:tc>
          <w:tcPr>
            <w:tcW w:type="dxa" w:w="1361"/>
            <w:shd w:val="clear" w:color="auto" w:fill="F5F8FA"/>
          </w:tcPr>
          <w:p>
            <w:pPr>
              <w:spacing w:after="20"/>
            </w:pPr>
            <w:r/>
            <w:r>
              <w:rPr>
                <w:b w:val="0"/>
                <w:sz w:val="17"/>
              </w:rPr>
              <w:t>Current ratio</w:t>
            </w:r>
          </w:p>
        </w:tc>
        <w:tc>
          <w:tcPr>
            <w:tcW w:type="dxa" w:w="4195"/>
            <w:shd w:val="clear" w:color="auto" w:fill="F5F8FA"/>
          </w:tcPr>
          <w:p>
            <w:pPr>
              <w:spacing w:after="20"/>
            </w:pPr>
            <w:r/>
            <w:r>
              <w:rPr>
                <w:b w:val="0"/>
                <w:sz w:val="17"/>
              </w:rPr>
              <w:t>Current assets / current liabilities</w:t>
            </w:r>
          </w:p>
        </w:tc>
        <w:tc>
          <w:tcPr>
            <w:tcW w:type="dxa" w:w="1361"/>
            <w:shd w:val="clear" w:color="auto" w:fill="F5F8FA"/>
          </w:tcPr>
          <w:p>
            <w:pPr>
              <w:spacing w:after="20"/>
            </w:pPr>
            <w:r/>
            <w:r>
              <w:rPr>
                <w:b w:val="0"/>
                <w:sz w:val="17"/>
              </w:rPr>
              <w:t>1.35</w:t>
            </w:r>
          </w:p>
        </w:tc>
        <w:tc>
          <w:tcPr>
            <w:tcW w:type="dxa" w:w="2721"/>
            <w:shd w:val="clear" w:color="auto" w:fill="F5F8FA"/>
          </w:tcPr>
          <w:p>
            <w:pPr>
              <w:spacing w:after="20"/>
            </w:pPr>
            <w:r/>
            <w:r>
              <w:rPr>
                <w:b w:val="0"/>
                <w:sz w:val="17"/>
              </w:rPr>
              <w:t>$5,606,400.40 / $4,147,757.75</w:t>
            </w:r>
          </w:p>
        </w:tc>
      </w:tr>
    </w:tbl>
    <w:p>
      <w:pPr>
        <w:spacing w:after="40"/>
      </w:pPr>
    </w:p>
    <w:p>
      <w:pPr>
        <w:spacing w:after="120"/>
      </w:pPr>
      <w:r>
        <w:rPr>
          <w:b w:val="0"/>
          <w:i/>
          <w:sz w:val="18"/>
        </w:rPr>
        <w:t>The current ratio uses current assets of cash, trade and other receivables and inventories, and current liabilities of trade and other payables, income tax payable and the suspense credit balance. Borrowings (lease liability), provisions and deferred tax are treated as non-current. Every ratio is published on the report page with this definition in its tooltip.</w:t>
      </w:r>
    </w:p>
    <w:p>
      <w:pPr>
        <w:pStyle w:val="Heading2"/>
      </w:pPr>
      <w:r>
        <w:t>5. Exclusions</w:t>
      </w:r>
    </w:p>
    <w:p>
      <w:pPr>
        <w:pStyle w:val="ListBullet"/>
        <w:spacing w:after="40"/>
      </w:pPr>
      <w:r>
        <w:rPr>
          <w:sz w:val="21"/>
        </w:rPr>
        <w:t>Year-end closing entries (EntryType = 'Closing') are excluded from all P&amp;L measures.</w:t>
      </w:r>
    </w:p>
    <w:p>
      <w:pPr>
        <w:pStyle w:val="ListBullet"/>
        <w:spacing w:after="40"/>
      </w:pPr>
      <w:r>
        <w:rPr>
          <w:sz w:val="21"/>
        </w:rPr>
        <w:t>Opening balance entries (EntryType = 'Opening', 33 lines dated 1 January 2024) are excluded from P&amp;L measures and included in balance-sheet measures.</w:t>
      </w:r>
    </w:p>
    <w:p>
      <w:pPr>
        <w:pStyle w:val="ListBullet"/>
        <w:spacing w:after="40"/>
      </w:pPr>
      <w:r>
        <w:rPr>
          <w:sz w:val="21"/>
        </w:rPr>
        <w:t>Benford analysis excludes amounts below $10, where first-digit behaviour is noise.</w:t>
      </w:r>
    </w:p>
    <w:p>
      <w:pPr>
        <w:pStyle w:val="ListBullet"/>
        <w:spacing w:after="40"/>
      </w:pPr>
      <w:r>
        <w:rPr>
          <w:sz w:val="21"/>
        </w:rPr>
        <w:t>Three-way-match statistics are computed on the 520-invoice creditor extract, not the full AP population, and are labelled as such wherever they appear.</w:t>
      </w:r>
    </w:p>
    <w:p>
      <w:pPr>
        <w:pStyle w:val="Heading2"/>
      </w:pPr>
      <w:r>
        <w:t>6. Known limitations</w:t>
      </w:r>
    </w:p>
    <w:p>
      <w:pPr>
        <w:pStyle w:val="ListBullet"/>
        <w:spacing w:after="40"/>
      </w:pPr>
      <w:r>
        <w:rPr>
          <w:sz w:val="21"/>
        </w:rPr>
        <w:t>The creditor sub-ledger extract is a sample; supplier spend statistics are therefore taken from the general ledger and the difference is disclosed.</w:t>
      </w:r>
    </w:p>
    <w:p>
      <w:pPr>
        <w:pStyle w:val="ListBullet"/>
        <w:spacing w:after="40"/>
      </w:pPr>
      <w:r>
        <w:rPr>
          <w:sz w:val="21"/>
        </w:rPr>
        <w:t>Approvals are not recorded for automatic system postings, so maker-checker testing covers manual journals only.</w:t>
      </w:r>
    </w:p>
    <w:p>
      <w:pPr>
        <w:pStyle w:val="ListBullet"/>
        <w:spacing w:after="40"/>
      </w:pPr>
      <w:r>
        <w:rPr>
          <w:sz w:val="21"/>
        </w:rPr>
        <w:t>The nine-month FY2025 period is not comparable to FY2024 without adjustment; the pack shows both and states the basis on every page.</w:t>
      </w:r>
    </w:p>
    <w:p>
      <w:pPr>
        <w:pStyle w:val="ListBullet"/>
        <w:spacing w:after="40"/>
      </w:pPr>
      <w:r>
        <w:rPr>
          <w:sz w:val="21"/>
        </w:rPr>
        <w:t>Budget data covers account x cost centre x month and does not extend to vendor or customer level, so variance analysis cannot be pushed below cost centre.</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methodology note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