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Model documentation - star schema, measures and refresh</w:t>
      </w:r>
    </w:p>
    <w:p>
      <w:pPr>
        <w:spacing w:after="120"/>
      </w:pPr>
      <w:r>
        <w:rPr>
          <w:b w:val="0"/>
          <w:i/>
          <w:color w:val="595959"/>
          <w:sz w:val="22"/>
        </w:rPr>
        <w:t>Practical Exam 1 (30 points for the model) and Capstone 2 handover</w:t>
      </w:r>
    </w:p>
    <w:p>
      <w:pPr>
        <w:spacing w:before="80"/>
      </w:pPr>
      <w:r>
        <w:rPr>
          <w:color w:val="595959"/>
          <w:sz w:val="17"/>
        </w:rPr>
        <w:t>Client: Mhondoro Manufacturing (Pvt) Ltd    |    Period: 1 January 2024 to 30 September 2025    |    Issued: 08 October 2025    |    Reference: MX-2025-MD    |    Classification: Confidential</w:t>
      </w:r>
    </w:p>
    <w:p>
      <w:pPr>
        <w:spacing w:before="0" w:after="160"/>
        <w:pBdr>
          <w:bottom w:val="single" w:sz="8" w:color="008B8B"/>
        </w:pBdr>
      </w:pPr>
    </w:p>
    <w:p>
      <w:pPr>
        <w:pStyle w:val="Heading2"/>
      </w:pPr>
      <w:r>
        <w:t>1. Star schema</w:t>
      </w:r>
    </w:p>
    <w:p>
      <w:pPr>
        <w:spacing w:after="120"/>
      </w:pPr>
      <w:r>
        <w:rPr>
          <w:b w:val="0"/>
          <w:i w:val="0"/>
          <w:sz w:val="21"/>
        </w:rPr>
        <w:t>One fact table (FactGLJournal, 13,929 rows) at the grain of one ledger line, supported by the sub-ledger facts and eight dimensions. All keys are text on both sides of every relationship. DimDate is marked as the date table and auto date/time is switched off. Role-playing dimensions are used for document date, entry timestamp and the approver, so no table is duplicated.</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17"/>
            <w:shd w:val="clear" w:color="auto" w:fill="0B2E4F"/>
          </w:tcPr>
          <w:p>
            <w:r/>
            <w:r>
              <w:rPr>
                <w:b/>
                <w:color w:val="FFFFFF"/>
                <w:sz w:val="17"/>
              </w:rPr>
              <w:t>From (dimension)</w:t>
            </w:r>
          </w:p>
        </w:tc>
        <w:tc>
          <w:tcPr>
            <w:tcW w:type="dxa" w:w="1247"/>
            <w:shd w:val="clear" w:color="auto" w:fill="0B2E4F"/>
          </w:tcPr>
          <w:p>
            <w:r/>
            <w:r>
              <w:rPr>
                <w:b/>
                <w:color w:val="FFFFFF"/>
                <w:sz w:val="17"/>
              </w:rPr>
              <w:t>Column</w:t>
            </w:r>
          </w:p>
        </w:tc>
        <w:tc>
          <w:tcPr>
            <w:tcW w:type="dxa" w:w="1417"/>
            <w:shd w:val="clear" w:color="auto" w:fill="0B2E4F"/>
          </w:tcPr>
          <w:p>
            <w:r/>
            <w:r>
              <w:rPr>
                <w:b/>
                <w:color w:val="FFFFFF"/>
                <w:sz w:val="17"/>
              </w:rPr>
              <w:t>To (fact)</w:t>
            </w:r>
          </w:p>
        </w:tc>
        <w:tc>
          <w:tcPr>
            <w:tcW w:type="dxa" w:w="1134"/>
            <w:shd w:val="clear" w:color="auto" w:fill="0B2E4F"/>
          </w:tcPr>
          <w:p>
            <w:r/>
            <w:r>
              <w:rPr>
                <w:b/>
                <w:color w:val="FFFFFF"/>
                <w:sz w:val="17"/>
              </w:rPr>
              <w:t>Column</w:t>
            </w:r>
          </w:p>
        </w:tc>
        <w:tc>
          <w:tcPr>
            <w:tcW w:type="dxa" w:w="1134"/>
            <w:shd w:val="clear" w:color="auto" w:fill="0B2E4F"/>
          </w:tcPr>
          <w:p>
            <w:r/>
            <w:r>
              <w:rPr>
                <w:b/>
                <w:color w:val="FFFFFF"/>
                <w:sz w:val="17"/>
              </w:rPr>
              <w:t>Cardinality</w:t>
            </w:r>
          </w:p>
        </w:tc>
        <w:tc>
          <w:tcPr>
            <w:tcW w:type="dxa" w:w="1247"/>
            <w:shd w:val="clear" w:color="auto" w:fill="0B2E4F"/>
          </w:tcPr>
          <w:p>
            <w:r/>
            <w:r>
              <w:rPr>
                <w:b/>
                <w:color w:val="FFFFFF"/>
                <w:sz w:val="17"/>
              </w:rPr>
              <w:t>Direction</w:t>
            </w:r>
          </w:p>
        </w:tc>
        <w:tc>
          <w:tcPr>
            <w:tcW w:type="dxa" w:w="2041"/>
            <w:shd w:val="clear" w:color="auto" w:fill="0B2E4F"/>
          </w:tcPr>
          <w:p>
            <w:r/>
            <w:r>
              <w:rPr>
                <w:b/>
                <w:color w:val="FFFFFF"/>
                <w:sz w:val="17"/>
              </w:rPr>
              <w:t>Note</w:t>
            </w:r>
          </w:p>
        </w:tc>
      </w:tr>
      <w:tr>
        <w:tc>
          <w:tcPr>
            <w:tcW w:type="dxa" w:w="1417"/>
          </w:tcPr>
          <w:p>
            <w:pPr>
              <w:spacing w:after="20"/>
            </w:pPr>
            <w:r/>
            <w:r>
              <w:rPr>
                <w:b w:val="0"/>
                <w:sz w:val="15"/>
              </w:rPr>
              <w:t>DimDate</w:t>
            </w:r>
          </w:p>
        </w:tc>
        <w:tc>
          <w:tcPr>
            <w:tcW w:type="dxa" w:w="1247"/>
          </w:tcPr>
          <w:p>
            <w:pPr>
              <w:spacing w:after="20"/>
            </w:pPr>
            <w:r/>
            <w:r>
              <w:rPr>
                <w:b w:val="0"/>
                <w:sz w:val="15"/>
              </w:rPr>
              <w:t>Date</w:t>
            </w:r>
          </w:p>
        </w:tc>
        <w:tc>
          <w:tcPr>
            <w:tcW w:type="dxa" w:w="1417"/>
          </w:tcPr>
          <w:p>
            <w:pPr>
              <w:spacing w:after="20"/>
            </w:pPr>
            <w:r/>
            <w:r>
              <w:rPr>
                <w:b w:val="0"/>
                <w:sz w:val="15"/>
              </w:rPr>
              <w:t>FactGLJournal</w:t>
            </w:r>
          </w:p>
        </w:tc>
        <w:tc>
          <w:tcPr>
            <w:tcW w:type="dxa" w:w="1134"/>
          </w:tcPr>
          <w:p>
            <w:pPr>
              <w:spacing w:after="20"/>
            </w:pPr>
            <w:r/>
            <w:r>
              <w:rPr>
                <w:b w:val="0"/>
                <w:sz w:val="15"/>
              </w:rPr>
              <w:t>PostingDate</w:t>
            </w:r>
          </w:p>
        </w:tc>
        <w:tc>
          <w:tcPr>
            <w:tcW w:type="dxa" w:w="1134"/>
          </w:tcPr>
          <w:p>
            <w:pPr>
              <w:spacing w:after="20"/>
            </w:pPr>
            <w:r/>
            <w:r>
              <w:rPr>
                <w:b w:val="0"/>
                <w:sz w:val="15"/>
              </w:rPr>
              <w:t>One-to-many</w:t>
            </w:r>
          </w:p>
        </w:tc>
        <w:tc>
          <w:tcPr>
            <w:tcW w:type="dxa" w:w="1247"/>
          </w:tcPr>
          <w:p>
            <w:pPr>
              <w:spacing w:after="20"/>
            </w:pPr>
            <w:r/>
            <w:r>
              <w:rPr>
                <w:b w:val="0"/>
                <w:sz w:val="15"/>
              </w:rPr>
              <w:t>Single</w:t>
            </w:r>
          </w:p>
        </w:tc>
        <w:tc>
          <w:tcPr>
            <w:tcW w:type="dxa" w:w="2041"/>
          </w:tcPr>
          <w:p>
            <w:pPr>
              <w:spacing w:after="20"/>
            </w:pPr>
            <w:r/>
            <w:r>
              <w:rPr>
                <w:b w:val="0"/>
                <w:sz w:val="15"/>
              </w:rPr>
              <w:t>Main date relationship; DimDate is marked as the date table and auto date/time is off</w:t>
            </w:r>
          </w:p>
        </w:tc>
      </w:tr>
      <w:tr>
        <w:tc>
          <w:tcPr>
            <w:tcW w:type="dxa" w:w="1417"/>
            <w:shd w:val="clear" w:color="auto" w:fill="F5F8FA"/>
          </w:tcPr>
          <w:p>
            <w:pPr>
              <w:spacing w:after="20"/>
            </w:pPr>
            <w:r/>
            <w:r>
              <w:rPr>
                <w:b w:val="0"/>
                <w:sz w:val="15"/>
              </w:rPr>
              <w:t>DimDate</w:t>
            </w:r>
          </w:p>
        </w:tc>
        <w:tc>
          <w:tcPr>
            <w:tcW w:type="dxa" w:w="1247"/>
            <w:shd w:val="clear" w:color="auto" w:fill="F5F8FA"/>
          </w:tcPr>
          <w:p>
            <w:pPr>
              <w:spacing w:after="20"/>
            </w:pPr>
            <w:r/>
            <w:r>
              <w:rPr>
                <w:b w:val="0"/>
                <w:sz w:val="15"/>
              </w:rPr>
              <w:t>Date</w:t>
            </w:r>
          </w:p>
        </w:tc>
        <w:tc>
          <w:tcPr>
            <w:tcW w:type="dxa" w:w="1417"/>
            <w:shd w:val="clear" w:color="auto" w:fill="F5F8FA"/>
          </w:tcPr>
          <w:p>
            <w:pPr>
              <w:spacing w:after="20"/>
            </w:pPr>
            <w:r/>
            <w:r>
              <w:rPr>
                <w:b w:val="0"/>
                <w:sz w:val="15"/>
              </w:rPr>
              <w:t>FactGLJournal</w:t>
            </w:r>
          </w:p>
        </w:tc>
        <w:tc>
          <w:tcPr>
            <w:tcW w:type="dxa" w:w="1134"/>
            <w:shd w:val="clear" w:color="auto" w:fill="F5F8FA"/>
          </w:tcPr>
          <w:p>
            <w:pPr>
              <w:spacing w:after="20"/>
            </w:pPr>
            <w:r/>
            <w:r>
              <w:rPr>
                <w:b w:val="0"/>
                <w:sz w:val="15"/>
              </w:rPr>
              <w:t>DocumentDate</w:t>
            </w:r>
          </w:p>
        </w:tc>
        <w:tc>
          <w:tcPr>
            <w:tcW w:type="dxa" w:w="1134"/>
            <w:shd w:val="clear" w:color="auto" w:fill="F5F8FA"/>
          </w:tcPr>
          <w:p>
            <w:pPr>
              <w:spacing w:after="20"/>
            </w:pPr>
            <w:r/>
            <w:r>
              <w:rPr>
                <w:b w:val="0"/>
                <w:sz w:val="15"/>
              </w:rPr>
              <w:t>One-to-many</w:t>
            </w:r>
          </w:p>
        </w:tc>
        <w:tc>
          <w:tcPr>
            <w:tcW w:type="dxa" w:w="1247"/>
            <w:shd w:val="clear" w:color="auto" w:fill="F5F8FA"/>
          </w:tcPr>
          <w:p>
            <w:pPr>
              <w:spacing w:after="20"/>
            </w:pPr>
            <w:r/>
            <w:r>
              <w:rPr>
                <w:b w:val="0"/>
                <w:sz w:val="15"/>
              </w:rPr>
              <w:t>Single (inactive)</w:t>
            </w:r>
          </w:p>
        </w:tc>
        <w:tc>
          <w:tcPr>
            <w:tcW w:type="dxa" w:w="2041"/>
            <w:shd w:val="clear" w:color="auto" w:fill="F5F8FA"/>
          </w:tcPr>
          <w:p>
            <w:pPr>
              <w:spacing w:after="20"/>
            </w:pPr>
            <w:r/>
            <w:r>
              <w:rPr>
                <w:b w:val="0"/>
                <w:sz w:val="15"/>
              </w:rPr>
              <w:t>Role-playing date for document date; activated with USERELATIONSHIP in the cut-off measures</w:t>
            </w:r>
          </w:p>
        </w:tc>
      </w:tr>
      <w:tr>
        <w:tc>
          <w:tcPr>
            <w:tcW w:type="dxa" w:w="1417"/>
          </w:tcPr>
          <w:p>
            <w:pPr>
              <w:spacing w:after="20"/>
            </w:pPr>
            <w:r/>
            <w:r>
              <w:rPr>
                <w:b w:val="0"/>
                <w:sz w:val="15"/>
              </w:rPr>
              <w:t>DimDate</w:t>
            </w:r>
          </w:p>
        </w:tc>
        <w:tc>
          <w:tcPr>
            <w:tcW w:type="dxa" w:w="1247"/>
          </w:tcPr>
          <w:p>
            <w:pPr>
              <w:spacing w:after="20"/>
            </w:pPr>
            <w:r/>
            <w:r>
              <w:rPr>
                <w:b w:val="0"/>
                <w:sz w:val="15"/>
              </w:rPr>
              <w:t>Date</w:t>
            </w:r>
          </w:p>
        </w:tc>
        <w:tc>
          <w:tcPr>
            <w:tcW w:type="dxa" w:w="1417"/>
          </w:tcPr>
          <w:p>
            <w:pPr>
              <w:spacing w:after="20"/>
            </w:pPr>
            <w:r/>
            <w:r>
              <w:rPr>
                <w:b w:val="0"/>
                <w:sz w:val="15"/>
              </w:rPr>
              <w:t>FactGLJournal</w:t>
            </w:r>
          </w:p>
        </w:tc>
        <w:tc>
          <w:tcPr>
            <w:tcW w:type="dxa" w:w="1134"/>
          </w:tcPr>
          <w:p>
            <w:pPr>
              <w:spacing w:after="20"/>
            </w:pPr>
            <w:r/>
            <w:r>
              <w:rPr>
                <w:b w:val="0"/>
                <w:sz w:val="15"/>
              </w:rPr>
              <w:t>EnteredOn</w:t>
            </w:r>
          </w:p>
        </w:tc>
        <w:tc>
          <w:tcPr>
            <w:tcW w:type="dxa" w:w="1134"/>
          </w:tcPr>
          <w:p>
            <w:pPr>
              <w:spacing w:after="20"/>
            </w:pPr>
            <w:r/>
            <w:r>
              <w:rPr>
                <w:b w:val="0"/>
                <w:sz w:val="15"/>
              </w:rPr>
              <w:t>One-to-many</w:t>
            </w:r>
          </w:p>
        </w:tc>
        <w:tc>
          <w:tcPr>
            <w:tcW w:type="dxa" w:w="1247"/>
          </w:tcPr>
          <w:p>
            <w:pPr>
              <w:spacing w:after="20"/>
            </w:pPr>
            <w:r/>
            <w:r>
              <w:rPr>
                <w:b w:val="0"/>
                <w:sz w:val="15"/>
              </w:rPr>
              <w:t>Single (inactive)</w:t>
            </w:r>
          </w:p>
        </w:tc>
        <w:tc>
          <w:tcPr>
            <w:tcW w:type="dxa" w:w="2041"/>
          </w:tcPr>
          <w:p>
            <w:pPr>
              <w:spacing w:after="20"/>
            </w:pPr>
            <w:r/>
            <w:r>
              <w:rPr>
                <w:b w:val="0"/>
                <w:sz w:val="15"/>
              </w:rPr>
              <w:t>Role-playing date for entry timestamp; drives the weekend / after-hours tests</w:t>
            </w:r>
          </w:p>
        </w:tc>
      </w:tr>
      <w:tr>
        <w:tc>
          <w:tcPr>
            <w:tcW w:type="dxa" w:w="1417"/>
            <w:shd w:val="clear" w:color="auto" w:fill="F5F8FA"/>
          </w:tcPr>
          <w:p>
            <w:pPr>
              <w:spacing w:after="20"/>
            </w:pPr>
            <w:r/>
            <w:r>
              <w:rPr>
                <w:b w:val="0"/>
                <w:sz w:val="15"/>
              </w:rPr>
              <w:t>DimAccount</w:t>
            </w:r>
          </w:p>
        </w:tc>
        <w:tc>
          <w:tcPr>
            <w:tcW w:type="dxa" w:w="1247"/>
            <w:shd w:val="clear" w:color="auto" w:fill="F5F8FA"/>
          </w:tcPr>
          <w:p>
            <w:pPr>
              <w:spacing w:after="20"/>
            </w:pPr>
            <w:r/>
            <w:r>
              <w:rPr>
                <w:b w:val="0"/>
                <w:sz w:val="15"/>
              </w:rPr>
              <w:t>AccountCode</w:t>
            </w:r>
          </w:p>
        </w:tc>
        <w:tc>
          <w:tcPr>
            <w:tcW w:type="dxa" w:w="1417"/>
            <w:shd w:val="clear" w:color="auto" w:fill="F5F8FA"/>
          </w:tcPr>
          <w:p>
            <w:pPr>
              <w:spacing w:after="20"/>
            </w:pPr>
            <w:r/>
            <w:r>
              <w:rPr>
                <w:b w:val="0"/>
                <w:sz w:val="15"/>
              </w:rPr>
              <w:t>FactGLJournal</w:t>
            </w:r>
          </w:p>
        </w:tc>
        <w:tc>
          <w:tcPr>
            <w:tcW w:type="dxa" w:w="1134"/>
            <w:shd w:val="clear" w:color="auto" w:fill="F5F8FA"/>
          </w:tcPr>
          <w:p>
            <w:pPr>
              <w:spacing w:after="20"/>
            </w:pPr>
            <w:r/>
            <w:r>
              <w:rPr>
                <w:b w:val="0"/>
                <w:sz w:val="15"/>
              </w:rPr>
              <w:t>AccountCode</w:t>
            </w:r>
          </w:p>
        </w:tc>
        <w:tc>
          <w:tcPr>
            <w:tcW w:type="dxa" w:w="1134"/>
            <w:shd w:val="clear" w:color="auto" w:fill="F5F8FA"/>
          </w:tcPr>
          <w:p>
            <w:pPr>
              <w:spacing w:after="20"/>
            </w:pPr>
            <w:r/>
            <w:r>
              <w:rPr>
                <w:b w:val="0"/>
                <w:sz w:val="15"/>
              </w:rPr>
              <w:t>One-to-many</w:t>
            </w:r>
          </w:p>
        </w:tc>
        <w:tc>
          <w:tcPr>
            <w:tcW w:type="dxa" w:w="1247"/>
            <w:shd w:val="clear" w:color="auto" w:fill="F5F8FA"/>
          </w:tcPr>
          <w:p>
            <w:pPr>
              <w:spacing w:after="20"/>
            </w:pPr>
            <w:r/>
            <w:r>
              <w:rPr>
                <w:b w:val="0"/>
                <w:sz w:val="15"/>
              </w:rPr>
              <w:t>Single</w:t>
            </w:r>
          </w:p>
        </w:tc>
        <w:tc>
          <w:tcPr>
            <w:tcW w:type="dxa" w:w="2041"/>
            <w:shd w:val="clear" w:color="auto" w:fill="F5F8FA"/>
          </w:tcPr>
          <w:p>
            <w:pPr>
              <w:spacing w:after="20"/>
            </w:pPr>
            <w:r/>
            <w:r>
              <w:rPr>
                <w:b w:val="0"/>
                <w:sz w:val="15"/>
              </w:rPr>
              <w:t>Text key on both sides; carries AccountType, FSLine and PLSign for the statement engine</w:t>
            </w:r>
          </w:p>
        </w:tc>
      </w:tr>
      <w:tr>
        <w:tc>
          <w:tcPr>
            <w:tcW w:type="dxa" w:w="1417"/>
          </w:tcPr>
          <w:p>
            <w:pPr>
              <w:spacing w:after="20"/>
            </w:pPr>
            <w:r/>
            <w:r>
              <w:rPr>
                <w:b w:val="0"/>
                <w:sz w:val="15"/>
              </w:rPr>
              <w:t>DimCostCentre</w:t>
            </w:r>
          </w:p>
        </w:tc>
        <w:tc>
          <w:tcPr>
            <w:tcW w:type="dxa" w:w="1247"/>
          </w:tcPr>
          <w:p>
            <w:pPr>
              <w:spacing w:after="20"/>
            </w:pPr>
            <w:r/>
            <w:r>
              <w:rPr>
                <w:b w:val="0"/>
                <w:sz w:val="15"/>
              </w:rPr>
              <w:t>CostCentreCode</w:t>
            </w:r>
          </w:p>
        </w:tc>
        <w:tc>
          <w:tcPr>
            <w:tcW w:type="dxa" w:w="1417"/>
          </w:tcPr>
          <w:p>
            <w:pPr>
              <w:spacing w:after="20"/>
            </w:pPr>
            <w:r/>
            <w:r>
              <w:rPr>
                <w:b w:val="0"/>
                <w:sz w:val="15"/>
              </w:rPr>
              <w:t>FactGLJournal</w:t>
            </w:r>
          </w:p>
        </w:tc>
        <w:tc>
          <w:tcPr>
            <w:tcW w:type="dxa" w:w="1134"/>
          </w:tcPr>
          <w:p>
            <w:pPr>
              <w:spacing w:after="20"/>
            </w:pPr>
            <w:r/>
            <w:r>
              <w:rPr>
                <w:b w:val="0"/>
                <w:sz w:val="15"/>
              </w:rPr>
              <w:t>CostCentreCode</w:t>
            </w:r>
          </w:p>
        </w:tc>
        <w:tc>
          <w:tcPr>
            <w:tcW w:type="dxa" w:w="1134"/>
          </w:tcPr>
          <w:p>
            <w:pPr>
              <w:spacing w:after="20"/>
            </w:pPr>
            <w:r/>
            <w:r>
              <w:rPr>
                <w:b w:val="0"/>
                <w:sz w:val="15"/>
              </w:rPr>
              <w:t>One-to-many</w:t>
            </w:r>
          </w:p>
        </w:tc>
        <w:tc>
          <w:tcPr>
            <w:tcW w:type="dxa" w:w="1247"/>
          </w:tcPr>
          <w:p>
            <w:pPr>
              <w:spacing w:after="20"/>
            </w:pPr>
            <w:r/>
            <w:r>
              <w:rPr>
                <w:b w:val="0"/>
                <w:sz w:val="15"/>
              </w:rPr>
              <w:t>Single</w:t>
            </w:r>
          </w:p>
        </w:tc>
        <w:tc>
          <w:tcPr>
            <w:tcW w:type="dxa" w:w="2041"/>
          </w:tcPr>
          <w:p>
            <w:pPr>
              <w:spacing w:after="20"/>
            </w:pPr>
            <w:r/>
            <w:r>
              <w:rPr>
                <w:b w:val="0"/>
                <w:sz w:val="15"/>
              </w:rPr>
            </w:r>
          </w:p>
        </w:tc>
      </w:tr>
      <w:tr>
        <w:tc>
          <w:tcPr>
            <w:tcW w:type="dxa" w:w="1417"/>
            <w:shd w:val="clear" w:color="auto" w:fill="F5F8FA"/>
          </w:tcPr>
          <w:p>
            <w:pPr>
              <w:spacing w:after="20"/>
            </w:pPr>
            <w:r/>
            <w:r>
              <w:rPr>
                <w:b w:val="0"/>
                <w:sz w:val="15"/>
              </w:rPr>
              <w:t>DimUser</w:t>
            </w:r>
          </w:p>
        </w:tc>
        <w:tc>
          <w:tcPr>
            <w:tcW w:type="dxa" w:w="1247"/>
            <w:shd w:val="clear" w:color="auto" w:fill="F5F8FA"/>
          </w:tcPr>
          <w:p>
            <w:pPr>
              <w:spacing w:after="20"/>
            </w:pPr>
            <w:r/>
            <w:r>
              <w:rPr>
                <w:b w:val="0"/>
                <w:sz w:val="15"/>
              </w:rPr>
              <w:t>UserID</w:t>
            </w:r>
          </w:p>
        </w:tc>
        <w:tc>
          <w:tcPr>
            <w:tcW w:type="dxa" w:w="1417"/>
            <w:shd w:val="clear" w:color="auto" w:fill="F5F8FA"/>
          </w:tcPr>
          <w:p>
            <w:pPr>
              <w:spacing w:after="20"/>
            </w:pPr>
            <w:r/>
            <w:r>
              <w:rPr>
                <w:b w:val="0"/>
                <w:sz w:val="15"/>
              </w:rPr>
              <w:t>FactGLJournal</w:t>
            </w:r>
          </w:p>
        </w:tc>
        <w:tc>
          <w:tcPr>
            <w:tcW w:type="dxa" w:w="1134"/>
            <w:shd w:val="clear" w:color="auto" w:fill="F5F8FA"/>
          </w:tcPr>
          <w:p>
            <w:pPr>
              <w:spacing w:after="20"/>
            </w:pPr>
            <w:r/>
            <w:r>
              <w:rPr>
                <w:b w:val="0"/>
                <w:sz w:val="15"/>
              </w:rPr>
              <w:t>PreparedBy</w:t>
            </w:r>
          </w:p>
        </w:tc>
        <w:tc>
          <w:tcPr>
            <w:tcW w:type="dxa" w:w="1134"/>
            <w:shd w:val="clear" w:color="auto" w:fill="F5F8FA"/>
          </w:tcPr>
          <w:p>
            <w:pPr>
              <w:spacing w:after="20"/>
            </w:pPr>
            <w:r/>
            <w:r>
              <w:rPr>
                <w:b w:val="0"/>
                <w:sz w:val="15"/>
              </w:rPr>
              <w:t>One-to-many</w:t>
            </w:r>
          </w:p>
        </w:tc>
        <w:tc>
          <w:tcPr>
            <w:tcW w:type="dxa" w:w="1247"/>
            <w:shd w:val="clear" w:color="auto" w:fill="F5F8FA"/>
          </w:tcPr>
          <w:p>
            <w:pPr>
              <w:spacing w:after="20"/>
            </w:pPr>
            <w:r/>
            <w:r>
              <w:rPr>
                <w:b w:val="0"/>
                <w:sz w:val="15"/>
              </w:rPr>
              <w:t>Single</w:t>
            </w:r>
          </w:p>
        </w:tc>
        <w:tc>
          <w:tcPr>
            <w:tcW w:type="dxa" w:w="2041"/>
            <w:shd w:val="clear" w:color="auto" w:fill="F5F8FA"/>
          </w:tcPr>
          <w:p>
            <w:pPr>
              <w:spacing w:after="20"/>
            </w:pPr>
            <w:r/>
            <w:r>
              <w:rPr>
                <w:b w:val="0"/>
                <w:sz w:val="15"/>
              </w:rPr>
              <w:t>Role-playing user dimension - preparer</w:t>
            </w:r>
          </w:p>
        </w:tc>
      </w:tr>
      <w:tr>
        <w:tc>
          <w:tcPr>
            <w:tcW w:type="dxa" w:w="1417"/>
          </w:tcPr>
          <w:p>
            <w:pPr>
              <w:spacing w:after="20"/>
            </w:pPr>
            <w:r/>
            <w:r>
              <w:rPr>
                <w:b w:val="0"/>
                <w:sz w:val="15"/>
              </w:rPr>
              <w:t>DimUser</w:t>
            </w:r>
          </w:p>
        </w:tc>
        <w:tc>
          <w:tcPr>
            <w:tcW w:type="dxa" w:w="1247"/>
          </w:tcPr>
          <w:p>
            <w:pPr>
              <w:spacing w:after="20"/>
            </w:pPr>
            <w:r/>
            <w:r>
              <w:rPr>
                <w:b w:val="0"/>
                <w:sz w:val="15"/>
              </w:rPr>
              <w:t>UserID</w:t>
            </w:r>
          </w:p>
        </w:tc>
        <w:tc>
          <w:tcPr>
            <w:tcW w:type="dxa" w:w="1417"/>
          </w:tcPr>
          <w:p>
            <w:pPr>
              <w:spacing w:after="20"/>
            </w:pPr>
            <w:r/>
            <w:r>
              <w:rPr>
                <w:b w:val="0"/>
                <w:sz w:val="15"/>
              </w:rPr>
              <w:t>FactGLJournal</w:t>
            </w:r>
          </w:p>
        </w:tc>
        <w:tc>
          <w:tcPr>
            <w:tcW w:type="dxa" w:w="1134"/>
          </w:tcPr>
          <w:p>
            <w:pPr>
              <w:spacing w:after="20"/>
            </w:pPr>
            <w:r/>
            <w:r>
              <w:rPr>
                <w:b w:val="0"/>
                <w:sz w:val="15"/>
              </w:rPr>
              <w:t>ApprovedBy</w:t>
            </w:r>
          </w:p>
        </w:tc>
        <w:tc>
          <w:tcPr>
            <w:tcW w:type="dxa" w:w="1134"/>
          </w:tcPr>
          <w:p>
            <w:pPr>
              <w:spacing w:after="20"/>
            </w:pPr>
            <w:r/>
            <w:r>
              <w:rPr>
                <w:b w:val="0"/>
                <w:sz w:val="15"/>
              </w:rPr>
              <w:t>One-to-many</w:t>
            </w:r>
          </w:p>
        </w:tc>
        <w:tc>
          <w:tcPr>
            <w:tcW w:type="dxa" w:w="1247"/>
          </w:tcPr>
          <w:p>
            <w:pPr>
              <w:spacing w:after="20"/>
            </w:pPr>
            <w:r/>
            <w:r>
              <w:rPr>
                <w:b w:val="0"/>
                <w:sz w:val="15"/>
              </w:rPr>
              <w:t>Single (inactive)</w:t>
            </w:r>
          </w:p>
        </w:tc>
        <w:tc>
          <w:tcPr>
            <w:tcW w:type="dxa" w:w="2041"/>
          </w:tcPr>
          <w:p>
            <w:pPr>
              <w:spacing w:after="20"/>
            </w:pPr>
            <w:r/>
            <w:r>
              <w:rPr>
                <w:b w:val="0"/>
                <w:sz w:val="15"/>
              </w:rPr>
              <w:t>Role-playing user dimension - approver; activated in the maker-checker measures</w:t>
            </w:r>
          </w:p>
        </w:tc>
      </w:tr>
      <w:tr>
        <w:tc>
          <w:tcPr>
            <w:tcW w:type="dxa" w:w="1417"/>
            <w:shd w:val="clear" w:color="auto" w:fill="F5F8FA"/>
          </w:tcPr>
          <w:p>
            <w:pPr>
              <w:spacing w:after="20"/>
            </w:pPr>
            <w:r/>
            <w:r>
              <w:rPr>
                <w:b w:val="0"/>
                <w:sz w:val="15"/>
              </w:rPr>
              <w:t>DimVendor</w:t>
            </w:r>
          </w:p>
        </w:tc>
        <w:tc>
          <w:tcPr>
            <w:tcW w:type="dxa" w:w="1247"/>
            <w:shd w:val="clear" w:color="auto" w:fill="F5F8FA"/>
          </w:tcPr>
          <w:p>
            <w:pPr>
              <w:spacing w:after="20"/>
            </w:pPr>
            <w:r/>
            <w:r>
              <w:rPr>
                <w:b w:val="0"/>
                <w:sz w:val="15"/>
              </w:rPr>
              <w:t>VendorID</w:t>
            </w:r>
          </w:p>
        </w:tc>
        <w:tc>
          <w:tcPr>
            <w:tcW w:type="dxa" w:w="1417"/>
            <w:shd w:val="clear" w:color="auto" w:fill="F5F8FA"/>
          </w:tcPr>
          <w:p>
            <w:pPr>
              <w:spacing w:after="20"/>
            </w:pPr>
            <w:r/>
            <w:r>
              <w:rPr>
                <w:b w:val="0"/>
                <w:sz w:val="15"/>
              </w:rPr>
              <w:t>FactGLJournal</w:t>
            </w:r>
          </w:p>
        </w:tc>
        <w:tc>
          <w:tcPr>
            <w:tcW w:type="dxa" w:w="1134"/>
            <w:shd w:val="clear" w:color="auto" w:fill="F5F8FA"/>
          </w:tcPr>
          <w:p>
            <w:pPr>
              <w:spacing w:after="20"/>
            </w:pPr>
            <w:r/>
            <w:r>
              <w:rPr>
                <w:b w:val="0"/>
                <w:sz w:val="15"/>
              </w:rPr>
              <w:t>VendorID</w:t>
            </w:r>
          </w:p>
        </w:tc>
        <w:tc>
          <w:tcPr>
            <w:tcW w:type="dxa" w:w="1134"/>
            <w:shd w:val="clear" w:color="auto" w:fill="F5F8FA"/>
          </w:tcPr>
          <w:p>
            <w:pPr>
              <w:spacing w:after="20"/>
            </w:pPr>
            <w:r/>
            <w:r>
              <w:rPr>
                <w:b w:val="0"/>
                <w:sz w:val="15"/>
              </w:rPr>
              <w:t>One-to-many</w:t>
            </w:r>
          </w:p>
        </w:tc>
        <w:tc>
          <w:tcPr>
            <w:tcW w:type="dxa" w:w="1247"/>
            <w:shd w:val="clear" w:color="auto" w:fill="F5F8FA"/>
          </w:tcPr>
          <w:p>
            <w:pPr>
              <w:spacing w:after="20"/>
            </w:pPr>
            <w:r/>
            <w:r>
              <w:rPr>
                <w:b w:val="0"/>
                <w:sz w:val="15"/>
              </w:rPr>
              <w:t>Single</w:t>
            </w:r>
          </w:p>
        </w:tc>
        <w:tc>
          <w:tcPr>
            <w:tcW w:type="dxa" w:w="2041"/>
            <w:shd w:val="clear" w:color="auto" w:fill="F5F8FA"/>
          </w:tcPr>
          <w:p>
            <w:pPr>
              <w:spacing w:after="20"/>
            </w:pPr>
            <w:r/>
            <w:r>
              <w:rPr>
                <w:b w:val="0"/>
                <w:sz w:val="15"/>
              </w:rPr>
            </w:r>
          </w:p>
        </w:tc>
      </w:tr>
      <w:tr>
        <w:tc>
          <w:tcPr>
            <w:tcW w:type="dxa" w:w="1417"/>
          </w:tcPr>
          <w:p>
            <w:pPr>
              <w:spacing w:after="20"/>
            </w:pPr>
            <w:r/>
            <w:r>
              <w:rPr>
                <w:b w:val="0"/>
                <w:sz w:val="15"/>
              </w:rPr>
              <w:t>DimCustomer</w:t>
            </w:r>
          </w:p>
        </w:tc>
        <w:tc>
          <w:tcPr>
            <w:tcW w:type="dxa" w:w="1247"/>
          </w:tcPr>
          <w:p>
            <w:pPr>
              <w:spacing w:after="20"/>
            </w:pPr>
            <w:r/>
            <w:r>
              <w:rPr>
                <w:b w:val="0"/>
                <w:sz w:val="15"/>
              </w:rPr>
              <w:t>CustomerID</w:t>
            </w:r>
          </w:p>
        </w:tc>
        <w:tc>
          <w:tcPr>
            <w:tcW w:type="dxa" w:w="1417"/>
          </w:tcPr>
          <w:p>
            <w:pPr>
              <w:spacing w:after="20"/>
            </w:pPr>
            <w:r/>
            <w:r>
              <w:rPr>
                <w:b w:val="0"/>
                <w:sz w:val="15"/>
              </w:rPr>
              <w:t>FactGLJournal</w:t>
            </w:r>
          </w:p>
        </w:tc>
        <w:tc>
          <w:tcPr>
            <w:tcW w:type="dxa" w:w="1134"/>
          </w:tcPr>
          <w:p>
            <w:pPr>
              <w:spacing w:after="20"/>
            </w:pPr>
            <w:r/>
            <w:r>
              <w:rPr>
                <w:b w:val="0"/>
                <w:sz w:val="15"/>
              </w:rPr>
              <w:t>CustomerID</w:t>
            </w:r>
          </w:p>
        </w:tc>
        <w:tc>
          <w:tcPr>
            <w:tcW w:type="dxa" w:w="1134"/>
          </w:tcPr>
          <w:p>
            <w:pPr>
              <w:spacing w:after="20"/>
            </w:pPr>
            <w:r/>
            <w:r>
              <w:rPr>
                <w:b w:val="0"/>
                <w:sz w:val="15"/>
              </w:rPr>
              <w:t>One-to-many</w:t>
            </w:r>
          </w:p>
        </w:tc>
        <w:tc>
          <w:tcPr>
            <w:tcW w:type="dxa" w:w="1247"/>
          </w:tcPr>
          <w:p>
            <w:pPr>
              <w:spacing w:after="20"/>
            </w:pPr>
            <w:r/>
            <w:r>
              <w:rPr>
                <w:b w:val="0"/>
                <w:sz w:val="15"/>
              </w:rPr>
              <w:t>Single</w:t>
            </w:r>
          </w:p>
        </w:tc>
        <w:tc>
          <w:tcPr>
            <w:tcW w:type="dxa" w:w="2041"/>
          </w:tcPr>
          <w:p>
            <w:pPr>
              <w:spacing w:after="20"/>
            </w:pPr>
            <w:r/>
            <w:r>
              <w:rPr>
                <w:b w:val="0"/>
                <w:sz w:val="15"/>
              </w:rPr>
            </w:r>
          </w:p>
        </w:tc>
      </w:tr>
      <w:tr>
        <w:tc>
          <w:tcPr>
            <w:tcW w:type="dxa" w:w="1417"/>
            <w:shd w:val="clear" w:color="auto" w:fill="F5F8FA"/>
          </w:tcPr>
          <w:p>
            <w:pPr>
              <w:spacing w:after="20"/>
            </w:pPr>
            <w:r/>
            <w:r>
              <w:rPr>
                <w:b w:val="0"/>
                <w:sz w:val="15"/>
              </w:rPr>
              <w:t>DimDate</w:t>
            </w:r>
          </w:p>
        </w:tc>
        <w:tc>
          <w:tcPr>
            <w:tcW w:type="dxa" w:w="1247"/>
            <w:shd w:val="clear" w:color="auto" w:fill="F5F8FA"/>
          </w:tcPr>
          <w:p>
            <w:pPr>
              <w:spacing w:after="20"/>
            </w:pPr>
            <w:r/>
            <w:r>
              <w:rPr>
                <w:b w:val="0"/>
                <w:sz w:val="15"/>
              </w:rPr>
              <w:t>Date</w:t>
            </w:r>
          </w:p>
        </w:tc>
        <w:tc>
          <w:tcPr>
            <w:tcW w:type="dxa" w:w="1417"/>
            <w:shd w:val="clear" w:color="auto" w:fill="F5F8FA"/>
          </w:tcPr>
          <w:p>
            <w:pPr>
              <w:spacing w:after="20"/>
            </w:pPr>
            <w:r/>
            <w:r>
              <w:rPr>
                <w:b w:val="0"/>
                <w:sz w:val="15"/>
              </w:rPr>
              <w:t>FactAPInvoices</w:t>
            </w:r>
          </w:p>
        </w:tc>
        <w:tc>
          <w:tcPr>
            <w:tcW w:type="dxa" w:w="1134"/>
            <w:shd w:val="clear" w:color="auto" w:fill="F5F8FA"/>
          </w:tcPr>
          <w:p>
            <w:pPr>
              <w:spacing w:after="20"/>
            </w:pPr>
            <w:r/>
            <w:r>
              <w:rPr>
                <w:b w:val="0"/>
                <w:sz w:val="15"/>
              </w:rPr>
              <w:t>InvoiceDate</w:t>
            </w:r>
          </w:p>
        </w:tc>
        <w:tc>
          <w:tcPr>
            <w:tcW w:type="dxa" w:w="1134"/>
            <w:shd w:val="clear" w:color="auto" w:fill="F5F8FA"/>
          </w:tcPr>
          <w:p>
            <w:pPr>
              <w:spacing w:after="20"/>
            </w:pPr>
            <w:r/>
            <w:r>
              <w:rPr>
                <w:b w:val="0"/>
                <w:sz w:val="15"/>
              </w:rPr>
              <w:t>One-to-many</w:t>
            </w:r>
          </w:p>
        </w:tc>
        <w:tc>
          <w:tcPr>
            <w:tcW w:type="dxa" w:w="1247"/>
            <w:shd w:val="clear" w:color="auto" w:fill="F5F8FA"/>
          </w:tcPr>
          <w:p>
            <w:pPr>
              <w:spacing w:after="20"/>
            </w:pPr>
            <w:r/>
            <w:r>
              <w:rPr>
                <w:b w:val="0"/>
                <w:sz w:val="15"/>
              </w:rPr>
              <w:t>Single</w:t>
            </w:r>
          </w:p>
        </w:tc>
        <w:tc>
          <w:tcPr>
            <w:tcW w:type="dxa" w:w="2041"/>
            <w:shd w:val="clear" w:color="auto" w:fill="F5F8FA"/>
          </w:tcPr>
          <w:p>
            <w:pPr>
              <w:spacing w:after="20"/>
            </w:pPr>
            <w:r/>
            <w:r>
              <w:rPr>
                <w:b w:val="0"/>
                <w:sz w:val="15"/>
              </w:rPr>
            </w:r>
          </w:p>
        </w:tc>
      </w:tr>
      <w:tr>
        <w:tc>
          <w:tcPr>
            <w:tcW w:type="dxa" w:w="1417"/>
          </w:tcPr>
          <w:p>
            <w:pPr>
              <w:spacing w:after="20"/>
            </w:pPr>
            <w:r/>
            <w:r>
              <w:rPr>
                <w:b w:val="0"/>
                <w:sz w:val="15"/>
              </w:rPr>
              <w:t>DimVendor</w:t>
            </w:r>
          </w:p>
        </w:tc>
        <w:tc>
          <w:tcPr>
            <w:tcW w:type="dxa" w:w="1247"/>
          </w:tcPr>
          <w:p>
            <w:pPr>
              <w:spacing w:after="20"/>
            </w:pPr>
            <w:r/>
            <w:r>
              <w:rPr>
                <w:b w:val="0"/>
                <w:sz w:val="15"/>
              </w:rPr>
              <w:t>VendorID</w:t>
            </w:r>
          </w:p>
        </w:tc>
        <w:tc>
          <w:tcPr>
            <w:tcW w:type="dxa" w:w="1417"/>
          </w:tcPr>
          <w:p>
            <w:pPr>
              <w:spacing w:after="20"/>
            </w:pPr>
            <w:r/>
            <w:r>
              <w:rPr>
                <w:b w:val="0"/>
                <w:sz w:val="15"/>
              </w:rPr>
              <w:t>FactAPInvoices</w:t>
            </w:r>
          </w:p>
        </w:tc>
        <w:tc>
          <w:tcPr>
            <w:tcW w:type="dxa" w:w="1134"/>
          </w:tcPr>
          <w:p>
            <w:pPr>
              <w:spacing w:after="20"/>
            </w:pPr>
            <w:r/>
            <w:r>
              <w:rPr>
                <w:b w:val="0"/>
                <w:sz w:val="15"/>
              </w:rPr>
              <w:t>VendorID</w:t>
            </w:r>
          </w:p>
        </w:tc>
        <w:tc>
          <w:tcPr>
            <w:tcW w:type="dxa" w:w="1134"/>
          </w:tcPr>
          <w:p>
            <w:pPr>
              <w:spacing w:after="20"/>
            </w:pPr>
            <w:r/>
            <w:r>
              <w:rPr>
                <w:b w:val="0"/>
                <w:sz w:val="15"/>
              </w:rPr>
              <w:t>One-to-many</w:t>
            </w:r>
          </w:p>
        </w:tc>
        <w:tc>
          <w:tcPr>
            <w:tcW w:type="dxa" w:w="1247"/>
          </w:tcPr>
          <w:p>
            <w:pPr>
              <w:spacing w:after="20"/>
            </w:pPr>
            <w:r/>
            <w:r>
              <w:rPr>
                <w:b w:val="0"/>
                <w:sz w:val="15"/>
              </w:rPr>
              <w:t>Single</w:t>
            </w:r>
          </w:p>
        </w:tc>
        <w:tc>
          <w:tcPr>
            <w:tcW w:type="dxa" w:w="2041"/>
          </w:tcPr>
          <w:p>
            <w:pPr>
              <w:spacing w:after="20"/>
            </w:pPr>
            <w:r/>
            <w:r>
              <w:rPr>
                <w:b w:val="0"/>
                <w:sz w:val="15"/>
              </w:rPr>
            </w:r>
          </w:p>
        </w:tc>
      </w:tr>
      <w:tr>
        <w:tc>
          <w:tcPr>
            <w:tcW w:type="dxa" w:w="1417"/>
            <w:shd w:val="clear" w:color="auto" w:fill="F5F8FA"/>
          </w:tcPr>
          <w:p>
            <w:pPr>
              <w:spacing w:after="20"/>
            </w:pPr>
            <w:r/>
            <w:r>
              <w:rPr>
                <w:b w:val="0"/>
                <w:sz w:val="15"/>
              </w:rPr>
              <w:t>DimDate</w:t>
            </w:r>
          </w:p>
        </w:tc>
        <w:tc>
          <w:tcPr>
            <w:tcW w:type="dxa" w:w="1247"/>
            <w:shd w:val="clear" w:color="auto" w:fill="F5F8FA"/>
          </w:tcPr>
          <w:p>
            <w:pPr>
              <w:spacing w:after="20"/>
            </w:pPr>
            <w:r/>
            <w:r>
              <w:rPr>
                <w:b w:val="0"/>
                <w:sz w:val="15"/>
              </w:rPr>
              <w:t>Date</w:t>
            </w:r>
          </w:p>
        </w:tc>
        <w:tc>
          <w:tcPr>
            <w:tcW w:type="dxa" w:w="1417"/>
            <w:shd w:val="clear" w:color="auto" w:fill="F5F8FA"/>
          </w:tcPr>
          <w:p>
            <w:pPr>
              <w:spacing w:after="20"/>
            </w:pPr>
            <w:r/>
            <w:r>
              <w:rPr>
                <w:b w:val="0"/>
                <w:sz w:val="15"/>
              </w:rPr>
              <w:t>FactARAgeing</w:t>
            </w:r>
          </w:p>
        </w:tc>
        <w:tc>
          <w:tcPr>
            <w:tcW w:type="dxa" w:w="1134"/>
            <w:shd w:val="clear" w:color="auto" w:fill="F5F8FA"/>
          </w:tcPr>
          <w:p>
            <w:pPr>
              <w:spacing w:after="20"/>
            </w:pPr>
            <w:r/>
            <w:r>
              <w:rPr>
                <w:b w:val="0"/>
                <w:sz w:val="15"/>
              </w:rPr>
              <w:t>InvoiceDate</w:t>
            </w:r>
          </w:p>
        </w:tc>
        <w:tc>
          <w:tcPr>
            <w:tcW w:type="dxa" w:w="1134"/>
            <w:shd w:val="clear" w:color="auto" w:fill="F5F8FA"/>
          </w:tcPr>
          <w:p>
            <w:pPr>
              <w:spacing w:after="20"/>
            </w:pPr>
            <w:r/>
            <w:r>
              <w:rPr>
                <w:b w:val="0"/>
                <w:sz w:val="15"/>
              </w:rPr>
              <w:t>One-to-many</w:t>
            </w:r>
          </w:p>
        </w:tc>
        <w:tc>
          <w:tcPr>
            <w:tcW w:type="dxa" w:w="1247"/>
            <w:shd w:val="clear" w:color="auto" w:fill="F5F8FA"/>
          </w:tcPr>
          <w:p>
            <w:pPr>
              <w:spacing w:after="20"/>
            </w:pPr>
            <w:r/>
            <w:r>
              <w:rPr>
                <w:b w:val="0"/>
                <w:sz w:val="15"/>
              </w:rPr>
              <w:t>Single</w:t>
            </w:r>
          </w:p>
        </w:tc>
        <w:tc>
          <w:tcPr>
            <w:tcW w:type="dxa" w:w="2041"/>
            <w:shd w:val="clear" w:color="auto" w:fill="F5F8FA"/>
          </w:tcPr>
          <w:p>
            <w:pPr>
              <w:spacing w:after="20"/>
            </w:pPr>
            <w:r/>
            <w:r>
              <w:rPr>
                <w:b w:val="0"/>
                <w:sz w:val="15"/>
              </w:rPr>
            </w:r>
          </w:p>
        </w:tc>
      </w:tr>
      <w:tr>
        <w:tc>
          <w:tcPr>
            <w:tcW w:type="dxa" w:w="1417"/>
          </w:tcPr>
          <w:p>
            <w:pPr>
              <w:spacing w:after="20"/>
            </w:pPr>
            <w:r/>
            <w:r>
              <w:rPr>
                <w:b w:val="0"/>
                <w:sz w:val="15"/>
              </w:rPr>
              <w:t>DimCustomer</w:t>
            </w:r>
          </w:p>
        </w:tc>
        <w:tc>
          <w:tcPr>
            <w:tcW w:type="dxa" w:w="1247"/>
          </w:tcPr>
          <w:p>
            <w:pPr>
              <w:spacing w:after="20"/>
            </w:pPr>
            <w:r/>
            <w:r>
              <w:rPr>
                <w:b w:val="0"/>
                <w:sz w:val="15"/>
              </w:rPr>
              <w:t>CustomerID</w:t>
            </w:r>
          </w:p>
        </w:tc>
        <w:tc>
          <w:tcPr>
            <w:tcW w:type="dxa" w:w="1417"/>
          </w:tcPr>
          <w:p>
            <w:pPr>
              <w:spacing w:after="20"/>
            </w:pPr>
            <w:r/>
            <w:r>
              <w:rPr>
                <w:b w:val="0"/>
                <w:sz w:val="15"/>
              </w:rPr>
              <w:t>FactARAgeing</w:t>
            </w:r>
          </w:p>
        </w:tc>
        <w:tc>
          <w:tcPr>
            <w:tcW w:type="dxa" w:w="1134"/>
          </w:tcPr>
          <w:p>
            <w:pPr>
              <w:spacing w:after="20"/>
            </w:pPr>
            <w:r/>
            <w:r>
              <w:rPr>
                <w:b w:val="0"/>
                <w:sz w:val="15"/>
              </w:rPr>
              <w:t>CustomerID</w:t>
            </w:r>
          </w:p>
        </w:tc>
        <w:tc>
          <w:tcPr>
            <w:tcW w:type="dxa" w:w="1134"/>
          </w:tcPr>
          <w:p>
            <w:pPr>
              <w:spacing w:after="20"/>
            </w:pPr>
            <w:r/>
            <w:r>
              <w:rPr>
                <w:b w:val="0"/>
                <w:sz w:val="15"/>
              </w:rPr>
              <w:t>One-to-many</w:t>
            </w:r>
          </w:p>
        </w:tc>
        <w:tc>
          <w:tcPr>
            <w:tcW w:type="dxa" w:w="1247"/>
          </w:tcPr>
          <w:p>
            <w:pPr>
              <w:spacing w:after="20"/>
            </w:pPr>
            <w:r/>
            <w:r>
              <w:rPr>
                <w:b w:val="0"/>
                <w:sz w:val="15"/>
              </w:rPr>
              <w:t>Single</w:t>
            </w:r>
          </w:p>
        </w:tc>
        <w:tc>
          <w:tcPr>
            <w:tcW w:type="dxa" w:w="2041"/>
          </w:tcPr>
          <w:p>
            <w:pPr>
              <w:spacing w:after="20"/>
            </w:pPr>
            <w:r/>
            <w:r>
              <w:rPr>
                <w:b w:val="0"/>
                <w:sz w:val="15"/>
              </w:rPr>
            </w:r>
          </w:p>
        </w:tc>
      </w:tr>
      <w:tr>
        <w:tc>
          <w:tcPr>
            <w:tcW w:type="dxa" w:w="1417"/>
            <w:shd w:val="clear" w:color="auto" w:fill="F5F8FA"/>
          </w:tcPr>
          <w:p>
            <w:pPr>
              <w:spacing w:after="20"/>
            </w:pPr>
            <w:r/>
            <w:r>
              <w:rPr>
                <w:b w:val="0"/>
                <w:sz w:val="15"/>
              </w:rPr>
              <w:t>DimDate</w:t>
            </w:r>
          </w:p>
        </w:tc>
        <w:tc>
          <w:tcPr>
            <w:tcW w:type="dxa" w:w="1247"/>
            <w:shd w:val="clear" w:color="auto" w:fill="F5F8FA"/>
          </w:tcPr>
          <w:p>
            <w:pPr>
              <w:spacing w:after="20"/>
            </w:pPr>
            <w:r/>
            <w:r>
              <w:rPr>
                <w:b w:val="0"/>
                <w:sz w:val="15"/>
              </w:rPr>
              <w:t>Date</w:t>
            </w:r>
          </w:p>
        </w:tc>
        <w:tc>
          <w:tcPr>
            <w:tcW w:type="dxa" w:w="1417"/>
            <w:shd w:val="clear" w:color="auto" w:fill="F5F8FA"/>
          </w:tcPr>
          <w:p>
            <w:pPr>
              <w:spacing w:after="20"/>
            </w:pPr>
            <w:r/>
            <w:r>
              <w:rPr>
                <w:b w:val="0"/>
                <w:sz w:val="15"/>
              </w:rPr>
              <w:t>FactBankTransactions</w:t>
            </w:r>
          </w:p>
        </w:tc>
        <w:tc>
          <w:tcPr>
            <w:tcW w:type="dxa" w:w="1134"/>
            <w:shd w:val="clear" w:color="auto" w:fill="F5F8FA"/>
          </w:tcPr>
          <w:p>
            <w:pPr>
              <w:spacing w:after="20"/>
            </w:pPr>
            <w:r/>
            <w:r>
              <w:rPr>
                <w:b w:val="0"/>
                <w:sz w:val="15"/>
              </w:rPr>
              <w:t>TxnDate</w:t>
            </w:r>
          </w:p>
        </w:tc>
        <w:tc>
          <w:tcPr>
            <w:tcW w:type="dxa" w:w="1134"/>
            <w:shd w:val="clear" w:color="auto" w:fill="F5F8FA"/>
          </w:tcPr>
          <w:p>
            <w:pPr>
              <w:spacing w:after="20"/>
            </w:pPr>
            <w:r/>
            <w:r>
              <w:rPr>
                <w:b w:val="0"/>
                <w:sz w:val="15"/>
              </w:rPr>
              <w:t>One-to-many</w:t>
            </w:r>
          </w:p>
        </w:tc>
        <w:tc>
          <w:tcPr>
            <w:tcW w:type="dxa" w:w="1247"/>
            <w:shd w:val="clear" w:color="auto" w:fill="F5F8FA"/>
          </w:tcPr>
          <w:p>
            <w:pPr>
              <w:spacing w:after="20"/>
            </w:pPr>
            <w:r/>
            <w:r>
              <w:rPr>
                <w:b w:val="0"/>
                <w:sz w:val="15"/>
              </w:rPr>
              <w:t>Single</w:t>
            </w:r>
          </w:p>
        </w:tc>
        <w:tc>
          <w:tcPr>
            <w:tcW w:type="dxa" w:w="2041"/>
            <w:shd w:val="clear" w:color="auto" w:fill="F5F8FA"/>
          </w:tcPr>
          <w:p>
            <w:pPr>
              <w:spacing w:after="20"/>
            </w:pPr>
            <w:r/>
            <w:r>
              <w:rPr>
                <w:b w:val="0"/>
                <w:sz w:val="15"/>
              </w:rPr>
            </w:r>
          </w:p>
        </w:tc>
      </w:tr>
      <w:tr>
        <w:tc>
          <w:tcPr>
            <w:tcW w:type="dxa" w:w="1417"/>
          </w:tcPr>
          <w:p>
            <w:pPr>
              <w:spacing w:after="20"/>
            </w:pPr>
            <w:r/>
            <w:r>
              <w:rPr>
                <w:b w:val="0"/>
                <w:sz w:val="15"/>
              </w:rPr>
              <w:t>DimDate</w:t>
            </w:r>
          </w:p>
        </w:tc>
        <w:tc>
          <w:tcPr>
            <w:tcW w:type="dxa" w:w="1247"/>
          </w:tcPr>
          <w:p>
            <w:pPr>
              <w:spacing w:after="20"/>
            </w:pPr>
            <w:r/>
            <w:r>
              <w:rPr>
                <w:b w:val="0"/>
                <w:sz w:val="15"/>
              </w:rPr>
              <w:t>Date</w:t>
            </w:r>
          </w:p>
        </w:tc>
        <w:tc>
          <w:tcPr>
            <w:tcW w:type="dxa" w:w="1417"/>
          </w:tcPr>
          <w:p>
            <w:pPr>
              <w:spacing w:after="20"/>
            </w:pPr>
            <w:r/>
            <w:r>
              <w:rPr>
                <w:b w:val="0"/>
                <w:sz w:val="15"/>
              </w:rPr>
              <w:t>FactExpenseClaims</w:t>
            </w:r>
          </w:p>
        </w:tc>
        <w:tc>
          <w:tcPr>
            <w:tcW w:type="dxa" w:w="1134"/>
          </w:tcPr>
          <w:p>
            <w:pPr>
              <w:spacing w:after="20"/>
            </w:pPr>
            <w:r/>
            <w:r>
              <w:rPr>
                <w:b w:val="0"/>
                <w:sz w:val="15"/>
              </w:rPr>
              <w:t>ClaimDate</w:t>
            </w:r>
          </w:p>
        </w:tc>
        <w:tc>
          <w:tcPr>
            <w:tcW w:type="dxa" w:w="1134"/>
          </w:tcPr>
          <w:p>
            <w:pPr>
              <w:spacing w:after="20"/>
            </w:pPr>
            <w:r/>
            <w:r>
              <w:rPr>
                <w:b w:val="0"/>
                <w:sz w:val="15"/>
              </w:rPr>
              <w:t>One-to-many</w:t>
            </w:r>
          </w:p>
        </w:tc>
        <w:tc>
          <w:tcPr>
            <w:tcW w:type="dxa" w:w="1247"/>
          </w:tcPr>
          <w:p>
            <w:pPr>
              <w:spacing w:after="20"/>
            </w:pPr>
            <w:r/>
            <w:r>
              <w:rPr>
                <w:b w:val="0"/>
                <w:sz w:val="15"/>
              </w:rPr>
              <w:t>Single</w:t>
            </w:r>
          </w:p>
        </w:tc>
        <w:tc>
          <w:tcPr>
            <w:tcW w:type="dxa" w:w="2041"/>
          </w:tcPr>
          <w:p>
            <w:pPr>
              <w:spacing w:after="20"/>
            </w:pPr>
            <w:r/>
            <w:r>
              <w:rPr>
                <w:b w:val="0"/>
                <w:sz w:val="15"/>
              </w:rPr>
            </w:r>
          </w:p>
        </w:tc>
      </w:tr>
      <w:tr>
        <w:tc>
          <w:tcPr>
            <w:tcW w:type="dxa" w:w="1417"/>
            <w:shd w:val="clear" w:color="auto" w:fill="F5F8FA"/>
          </w:tcPr>
          <w:p>
            <w:pPr>
              <w:spacing w:after="20"/>
            </w:pPr>
            <w:r/>
            <w:r>
              <w:rPr>
                <w:b w:val="0"/>
                <w:sz w:val="15"/>
              </w:rPr>
              <w:t>DimDate</w:t>
            </w:r>
          </w:p>
        </w:tc>
        <w:tc>
          <w:tcPr>
            <w:tcW w:type="dxa" w:w="1247"/>
            <w:shd w:val="clear" w:color="auto" w:fill="F5F8FA"/>
          </w:tcPr>
          <w:p>
            <w:pPr>
              <w:spacing w:after="20"/>
            </w:pPr>
            <w:r/>
            <w:r>
              <w:rPr>
                <w:b w:val="0"/>
                <w:sz w:val="15"/>
              </w:rPr>
              <w:t>Date</w:t>
            </w:r>
          </w:p>
        </w:tc>
        <w:tc>
          <w:tcPr>
            <w:tcW w:type="dxa" w:w="1417"/>
            <w:shd w:val="clear" w:color="auto" w:fill="F5F8FA"/>
          </w:tcPr>
          <w:p>
            <w:pPr>
              <w:spacing w:after="20"/>
            </w:pPr>
            <w:r/>
            <w:r>
              <w:rPr>
                <w:b w:val="0"/>
                <w:sz w:val="15"/>
              </w:rPr>
              <w:t>FactSalesOrders</w:t>
            </w:r>
          </w:p>
        </w:tc>
        <w:tc>
          <w:tcPr>
            <w:tcW w:type="dxa" w:w="1134"/>
            <w:shd w:val="clear" w:color="auto" w:fill="F5F8FA"/>
          </w:tcPr>
          <w:p>
            <w:pPr>
              <w:spacing w:after="20"/>
            </w:pPr>
            <w:r/>
            <w:r>
              <w:rPr>
                <w:b w:val="0"/>
                <w:sz w:val="15"/>
              </w:rPr>
              <w:t>OrderDate</w:t>
            </w:r>
          </w:p>
        </w:tc>
        <w:tc>
          <w:tcPr>
            <w:tcW w:type="dxa" w:w="1134"/>
            <w:shd w:val="clear" w:color="auto" w:fill="F5F8FA"/>
          </w:tcPr>
          <w:p>
            <w:pPr>
              <w:spacing w:after="20"/>
            </w:pPr>
            <w:r/>
            <w:r>
              <w:rPr>
                <w:b w:val="0"/>
                <w:sz w:val="15"/>
              </w:rPr>
              <w:t>One-to-many</w:t>
            </w:r>
          </w:p>
        </w:tc>
        <w:tc>
          <w:tcPr>
            <w:tcW w:type="dxa" w:w="1247"/>
            <w:shd w:val="clear" w:color="auto" w:fill="F5F8FA"/>
          </w:tcPr>
          <w:p>
            <w:pPr>
              <w:spacing w:after="20"/>
            </w:pPr>
            <w:r/>
            <w:r>
              <w:rPr>
                <w:b w:val="0"/>
                <w:sz w:val="15"/>
              </w:rPr>
              <w:t>Single</w:t>
            </w:r>
          </w:p>
        </w:tc>
        <w:tc>
          <w:tcPr>
            <w:tcW w:type="dxa" w:w="2041"/>
            <w:shd w:val="clear" w:color="auto" w:fill="F5F8FA"/>
          </w:tcPr>
          <w:p>
            <w:pPr>
              <w:spacing w:after="20"/>
            </w:pPr>
            <w:r/>
            <w:r>
              <w:rPr>
                <w:b w:val="0"/>
                <w:sz w:val="15"/>
              </w:rPr>
            </w:r>
          </w:p>
        </w:tc>
      </w:tr>
      <w:tr>
        <w:tc>
          <w:tcPr>
            <w:tcW w:type="dxa" w:w="1417"/>
          </w:tcPr>
          <w:p>
            <w:pPr>
              <w:spacing w:after="20"/>
            </w:pPr>
            <w:r/>
            <w:r>
              <w:rPr>
                <w:b w:val="0"/>
                <w:sz w:val="15"/>
              </w:rPr>
              <w:t>DimAccount</w:t>
            </w:r>
          </w:p>
        </w:tc>
        <w:tc>
          <w:tcPr>
            <w:tcW w:type="dxa" w:w="1247"/>
          </w:tcPr>
          <w:p>
            <w:pPr>
              <w:spacing w:after="20"/>
            </w:pPr>
            <w:r/>
            <w:r>
              <w:rPr>
                <w:b w:val="0"/>
                <w:sz w:val="15"/>
              </w:rPr>
              <w:t>AccountCode</w:t>
            </w:r>
          </w:p>
        </w:tc>
        <w:tc>
          <w:tcPr>
            <w:tcW w:type="dxa" w:w="1417"/>
          </w:tcPr>
          <w:p>
            <w:pPr>
              <w:spacing w:after="20"/>
            </w:pPr>
            <w:r/>
            <w:r>
              <w:rPr>
                <w:b w:val="0"/>
                <w:sz w:val="15"/>
              </w:rPr>
              <w:t>FactBudget</w:t>
            </w:r>
          </w:p>
        </w:tc>
        <w:tc>
          <w:tcPr>
            <w:tcW w:type="dxa" w:w="1134"/>
          </w:tcPr>
          <w:p>
            <w:pPr>
              <w:spacing w:after="20"/>
            </w:pPr>
            <w:r/>
            <w:r>
              <w:rPr>
                <w:b w:val="0"/>
                <w:sz w:val="15"/>
              </w:rPr>
              <w:t>AccountCode</w:t>
            </w:r>
          </w:p>
        </w:tc>
        <w:tc>
          <w:tcPr>
            <w:tcW w:type="dxa" w:w="1134"/>
          </w:tcPr>
          <w:p>
            <w:pPr>
              <w:spacing w:after="20"/>
            </w:pPr>
            <w:r/>
            <w:r>
              <w:rPr>
                <w:b w:val="0"/>
                <w:sz w:val="15"/>
              </w:rPr>
              <w:t>One-to-many</w:t>
            </w:r>
          </w:p>
        </w:tc>
        <w:tc>
          <w:tcPr>
            <w:tcW w:type="dxa" w:w="1247"/>
          </w:tcPr>
          <w:p>
            <w:pPr>
              <w:spacing w:after="20"/>
            </w:pPr>
            <w:r/>
            <w:r>
              <w:rPr>
                <w:b w:val="0"/>
                <w:sz w:val="15"/>
              </w:rPr>
              <w:t>Single</w:t>
            </w:r>
          </w:p>
        </w:tc>
        <w:tc>
          <w:tcPr>
            <w:tcW w:type="dxa" w:w="2041"/>
          </w:tcPr>
          <w:p>
            <w:pPr>
              <w:spacing w:after="20"/>
            </w:pPr>
            <w:r/>
            <w:r>
              <w:rPr>
                <w:b w:val="0"/>
                <w:sz w:val="15"/>
              </w:rPr>
            </w:r>
          </w:p>
        </w:tc>
      </w:tr>
      <w:tr>
        <w:tc>
          <w:tcPr>
            <w:tcW w:type="dxa" w:w="1417"/>
            <w:shd w:val="clear" w:color="auto" w:fill="F5F8FA"/>
          </w:tcPr>
          <w:p>
            <w:pPr>
              <w:spacing w:after="20"/>
            </w:pPr>
            <w:r/>
            <w:r>
              <w:rPr>
                <w:b w:val="0"/>
                <w:sz w:val="15"/>
              </w:rPr>
              <w:t>DimCostCentre</w:t>
            </w:r>
          </w:p>
        </w:tc>
        <w:tc>
          <w:tcPr>
            <w:tcW w:type="dxa" w:w="1247"/>
            <w:shd w:val="clear" w:color="auto" w:fill="F5F8FA"/>
          </w:tcPr>
          <w:p>
            <w:pPr>
              <w:spacing w:after="20"/>
            </w:pPr>
            <w:r/>
            <w:r>
              <w:rPr>
                <w:b w:val="0"/>
                <w:sz w:val="15"/>
              </w:rPr>
              <w:t>CostCentreCode</w:t>
            </w:r>
          </w:p>
        </w:tc>
        <w:tc>
          <w:tcPr>
            <w:tcW w:type="dxa" w:w="1417"/>
            <w:shd w:val="clear" w:color="auto" w:fill="F5F8FA"/>
          </w:tcPr>
          <w:p>
            <w:pPr>
              <w:spacing w:after="20"/>
            </w:pPr>
            <w:r/>
            <w:r>
              <w:rPr>
                <w:b w:val="0"/>
                <w:sz w:val="15"/>
              </w:rPr>
              <w:t>FactBudget</w:t>
            </w:r>
          </w:p>
        </w:tc>
        <w:tc>
          <w:tcPr>
            <w:tcW w:type="dxa" w:w="1134"/>
            <w:shd w:val="clear" w:color="auto" w:fill="F5F8FA"/>
          </w:tcPr>
          <w:p>
            <w:pPr>
              <w:spacing w:after="20"/>
            </w:pPr>
            <w:r/>
            <w:r>
              <w:rPr>
                <w:b w:val="0"/>
                <w:sz w:val="15"/>
              </w:rPr>
              <w:t>CostCentreCode</w:t>
            </w:r>
          </w:p>
        </w:tc>
        <w:tc>
          <w:tcPr>
            <w:tcW w:type="dxa" w:w="1134"/>
            <w:shd w:val="clear" w:color="auto" w:fill="F5F8FA"/>
          </w:tcPr>
          <w:p>
            <w:pPr>
              <w:spacing w:after="20"/>
            </w:pPr>
            <w:r/>
            <w:r>
              <w:rPr>
                <w:b w:val="0"/>
                <w:sz w:val="15"/>
              </w:rPr>
              <w:t>One-to-many</w:t>
            </w:r>
          </w:p>
        </w:tc>
        <w:tc>
          <w:tcPr>
            <w:tcW w:type="dxa" w:w="1247"/>
            <w:shd w:val="clear" w:color="auto" w:fill="F5F8FA"/>
          </w:tcPr>
          <w:p>
            <w:pPr>
              <w:spacing w:after="20"/>
            </w:pPr>
            <w:r/>
            <w:r>
              <w:rPr>
                <w:b w:val="0"/>
                <w:sz w:val="15"/>
              </w:rPr>
              <w:t>Single</w:t>
            </w:r>
          </w:p>
        </w:tc>
        <w:tc>
          <w:tcPr>
            <w:tcW w:type="dxa" w:w="2041"/>
            <w:shd w:val="clear" w:color="auto" w:fill="F5F8FA"/>
          </w:tcPr>
          <w:p>
            <w:pPr>
              <w:spacing w:after="20"/>
            </w:pPr>
            <w:r/>
            <w:r>
              <w:rPr>
                <w:b w:val="0"/>
                <w:sz w:val="15"/>
              </w:rPr>
            </w:r>
          </w:p>
        </w:tc>
      </w:tr>
    </w:tbl>
    <w:p>
      <w:pPr>
        <w:spacing w:after="40"/>
      </w:pPr>
    </w:p>
    <w:p>
      <w:pPr>
        <w:pStyle w:val="Heading2"/>
      </w:pPr>
      <w:r>
        <w:t>2. Tables, row counts and load settings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041"/>
            <w:shd w:val="clear" w:color="auto" w:fill="0B2E4F"/>
          </w:tcPr>
          <w:p>
            <w:r/>
            <w:r>
              <w:rPr>
                <w:b/>
                <w:color w:val="FFFFFF"/>
                <w:sz w:val="17"/>
              </w:rPr>
              <w:t>Table</w:t>
            </w:r>
          </w:p>
        </w:tc>
        <w:tc>
          <w:tcPr>
            <w:tcW w:type="dxa" w:w="1134"/>
            <w:shd w:val="clear" w:color="auto" w:fill="0B2E4F"/>
          </w:tcPr>
          <w:p>
            <w:r/>
            <w:r>
              <w:rPr>
                <w:b/>
                <w:color w:val="FFFFFF"/>
                <w:sz w:val="17"/>
              </w:rPr>
              <w:t>Rows</w:t>
            </w:r>
          </w:p>
        </w:tc>
        <w:tc>
          <w:tcPr>
            <w:tcW w:type="dxa" w:w="1474"/>
            <w:shd w:val="clear" w:color="auto" w:fill="0B2E4F"/>
          </w:tcPr>
          <w:p>
            <w:r/>
            <w:r>
              <w:rPr>
                <w:b/>
                <w:color w:val="FFFFFF"/>
                <w:sz w:val="17"/>
              </w:rPr>
              <w:t>Load</w:t>
            </w:r>
          </w:p>
        </w:tc>
        <w:tc>
          <w:tcPr>
            <w:tcW w:type="dxa" w:w="4989"/>
            <w:shd w:val="clear" w:color="auto" w:fill="0B2E4F"/>
          </w:tcPr>
          <w:p>
            <w:r/>
            <w:r>
              <w:rPr>
                <w:b/>
                <w:color w:val="FFFFFF"/>
                <w:sz w:val="17"/>
              </w:rPr>
              <w:t>Notes</w:t>
            </w:r>
          </w:p>
        </w:tc>
      </w:tr>
      <w:tr>
        <w:tc>
          <w:tcPr>
            <w:tcW w:type="dxa" w:w="2041"/>
          </w:tcPr>
          <w:p>
            <w:pPr>
              <w:spacing w:after="20"/>
            </w:pPr>
            <w:r/>
            <w:r>
              <w:rPr>
                <w:b w:val="0"/>
                <w:sz w:val="17"/>
              </w:rPr>
              <w:t>FactGLJournal</w:t>
            </w:r>
          </w:p>
        </w:tc>
        <w:tc>
          <w:tcPr>
            <w:tcW w:type="dxa" w:w="1134"/>
          </w:tcPr>
          <w:p>
            <w:pPr>
              <w:spacing w:after="20"/>
            </w:pPr>
            <w:r/>
            <w:r>
              <w:rPr>
                <w:b w:val="0"/>
                <w:sz w:val="17"/>
              </w:rPr>
              <w:t>13,929</w:t>
            </w:r>
          </w:p>
        </w:tc>
        <w:tc>
          <w:tcPr>
            <w:tcW w:type="dxa" w:w="1474"/>
          </w:tcPr>
          <w:p>
            <w:pPr>
              <w:spacing w:after="20"/>
            </w:pPr>
            <w:r/>
            <w:r>
              <w:rPr>
                <w:b w:val="0"/>
                <w:sz w:val="17"/>
              </w:rPr>
              <w:t>Loaded</w:t>
            </w:r>
          </w:p>
        </w:tc>
        <w:tc>
          <w:tcPr>
            <w:tcW w:type="dxa" w:w="4989"/>
          </w:tcPr>
          <w:p>
            <w:pPr>
              <w:spacing w:after="20"/>
            </w:pPr>
            <w:r/>
            <w:r>
              <w:rPr>
                <w:b w:val="0"/>
                <w:sz w:val="17"/>
              </w:rPr>
              <w:t>Fact - one row per ledger line</w:t>
            </w:r>
          </w:p>
        </w:tc>
      </w:tr>
      <w:tr>
        <w:tc>
          <w:tcPr>
            <w:tcW w:type="dxa" w:w="2041"/>
            <w:shd w:val="clear" w:color="auto" w:fill="F5F8FA"/>
          </w:tcPr>
          <w:p>
            <w:pPr>
              <w:spacing w:after="20"/>
            </w:pPr>
            <w:r/>
            <w:r>
              <w:rPr>
                <w:b w:val="0"/>
                <w:sz w:val="17"/>
              </w:rPr>
              <w:t>FactTrialBalance</w:t>
            </w:r>
          </w:p>
        </w:tc>
        <w:tc>
          <w:tcPr>
            <w:tcW w:type="dxa" w:w="1134"/>
            <w:shd w:val="clear" w:color="auto" w:fill="F5F8FA"/>
          </w:tcPr>
          <w:p>
            <w:pPr>
              <w:spacing w:after="20"/>
            </w:pPr>
            <w:r/>
            <w:r>
              <w:rPr>
                <w:b w:val="0"/>
                <w:sz w:val="17"/>
              </w:rPr>
              <w:t>1,323</w:t>
            </w:r>
          </w:p>
        </w:tc>
        <w:tc>
          <w:tcPr>
            <w:tcW w:type="dxa" w:w="1474"/>
            <w:shd w:val="clear" w:color="auto" w:fill="F5F8FA"/>
          </w:tcPr>
          <w:p>
            <w:pPr>
              <w:spacing w:after="20"/>
            </w:pPr>
            <w:r/>
            <w:r>
              <w:rPr>
                <w:b w:val="0"/>
                <w:sz w:val="17"/>
              </w:rPr>
              <w:t>Loaded</w:t>
            </w:r>
          </w:p>
        </w:tc>
        <w:tc>
          <w:tcPr>
            <w:tcW w:type="dxa" w:w="4989"/>
            <w:shd w:val="clear" w:color="auto" w:fill="F5F8FA"/>
          </w:tcPr>
          <w:p>
            <w:pPr>
              <w:spacing w:after="20"/>
            </w:pPr>
            <w:r/>
            <w:r>
              <w:rPr>
                <w:b w:val="0"/>
                <w:sz w:val="17"/>
              </w:rPr>
              <w:t>Control totals only</w:t>
            </w:r>
          </w:p>
        </w:tc>
      </w:tr>
      <w:tr>
        <w:tc>
          <w:tcPr>
            <w:tcW w:type="dxa" w:w="2041"/>
          </w:tcPr>
          <w:p>
            <w:pPr>
              <w:spacing w:after="20"/>
            </w:pPr>
            <w:r/>
            <w:r>
              <w:rPr>
                <w:b w:val="0"/>
                <w:sz w:val="17"/>
              </w:rPr>
              <w:t>FactAPInvoices</w:t>
            </w:r>
          </w:p>
        </w:tc>
        <w:tc>
          <w:tcPr>
            <w:tcW w:type="dxa" w:w="1134"/>
          </w:tcPr>
          <w:p>
            <w:pPr>
              <w:spacing w:after="20"/>
            </w:pPr>
            <w:r/>
            <w:r>
              <w:rPr>
                <w:b w:val="0"/>
                <w:sz w:val="17"/>
              </w:rPr>
              <w:t>520</w:t>
            </w:r>
          </w:p>
        </w:tc>
        <w:tc>
          <w:tcPr>
            <w:tcW w:type="dxa" w:w="1474"/>
          </w:tcPr>
          <w:p>
            <w:pPr>
              <w:spacing w:after="20"/>
            </w:pPr>
            <w:r/>
            <w:r>
              <w:rPr>
                <w:b w:val="0"/>
                <w:sz w:val="17"/>
              </w:rPr>
              <w:t>Loaded</w:t>
            </w:r>
          </w:p>
        </w:tc>
        <w:tc>
          <w:tcPr>
            <w:tcW w:type="dxa" w:w="4989"/>
          </w:tcPr>
          <w:p>
            <w:pPr>
              <w:spacing w:after="20"/>
            </w:pPr>
            <w:r/>
            <w:r>
              <w:rPr>
                <w:b w:val="0"/>
                <w:sz w:val="17"/>
              </w:rPr>
              <w:t>Creditor extract (sample)</w:t>
            </w:r>
          </w:p>
        </w:tc>
      </w:tr>
      <w:tr>
        <w:tc>
          <w:tcPr>
            <w:tcW w:type="dxa" w:w="2041"/>
            <w:shd w:val="clear" w:color="auto" w:fill="F5F8FA"/>
          </w:tcPr>
          <w:p>
            <w:pPr>
              <w:spacing w:after="20"/>
            </w:pPr>
            <w:r/>
            <w:r>
              <w:rPr>
                <w:b w:val="0"/>
                <w:sz w:val="17"/>
              </w:rPr>
              <w:t>FactARAgeing</w:t>
            </w:r>
          </w:p>
        </w:tc>
        <w:tc>
          <w:tcPr>
            <w:tcW w:type="dxa" w:w="1134"/>
            <w:shd w:val="clear" w:color="auto" w:fill="F5F8FA"/>
          </w:tcPr>
          <w:p>
            <w:pPr>
              <w:spacing w:after="20"/>
            </w:pPr>
            <w:r/>
            <w:r>
              <w:rPr>
                <w:b w:val="0"/>
                <w:sz w:val="17"/>
              </w:rPr>
              <w:t>420</w:t>
            </w:r>
          </w:p>
        </w:tc>
        <w:tc>
          <w:tcPr>
            <w:tcW w:type="dxa" w:w="1474"/>
            <w:shd w:val="clear" w:color="auto" w:fill="F5F8FA"/>
          </w:tcPr>
          <w:p>
            <w:pPr>
              <w:spacing w:after="20"/>
            </w:pPr>
            <w:r/>
            <w:r>
              <w:rPr>
                <w:b w:val="0"/>
                <w:sz w:val="17"/>
              </w:rPr>
              <w:t>Loaded</w:t>
            </w:r>
          </w:p>
        </w:tc>
        <w:tc>
          <w:tcPr>
            <w:tcW w:type="dxa" w:w="4989"/>
            <w:shd w:val="clear" w:color="auto" w:fill="F5F8FA"/>
          </w:tcPr>
          <w:p>
            <w:pPr>
              <w:spacing w:after="20"/>
            </w:pPr>
            <w:r/>
            <w:r>
              <w:rPr>
                <w:b w:val="0"/>
                <w:sz w:val="17"/>
              </w:rPr>
              <w:t>Debtor ageing</w:t>
            </w:r>
          </w:p>
        </w:tc>
      </w:tr>
      <w:tr>
        <w:tc>
          <w:tcPr>
            <w:tcW w:type="dxa" w:w="2041"/>
          </w:tcPr>
          <w:p>
            <w:pPr>
              <w:spacing w:after="20"/>
            </w:pPr>
            <w:r/>
            <w:r>
              <w:rPr>
                <w:b w:val="0"/>
                <w:sz w:val="17"/>
              </w:rPr>
              <w:t>FactBankTransactions</w:t>
            </w:r>
          </w:p>
        </w:tc>
        <w:tc>
          <w:tcPr>
            <w:tcW w:type="dxa" w:w="1134"/>
          </w:tcPr>
          <w:p>
            <w:pPr>
              <w:spacing w:after="20"/>
            </w:pPr>
            <w:r/>
            <w:r>
              <w:rPr>
                <w:b w:val="0"/>
                <w:sz w:val="17"/>
              </w:rPr>
              <w:t>1,400</w:t>
            </w:r>
          </w:p>
        </w:tc>
        <w:tc>
          <w:tcPr>
            <w:tcW w:type="dxa" w:w="1474"/>
          </w:tcPr>
          <w:p>
            <w:pPr>
              <w:spacing w:after="20"/>
            </w:pPr>
            <w:r/>
            <w:r>
              <w:rPr>
                <w:b w:val="0"/>
                <w:sz w:val="17"/>
              </w:rPr>
              <w:t>Loaded</w:t>
            </w:r>
          </w:p>
        </w:tc>
        <w:tc>
          <w:tcPr>
            <w:tcW w:type="dxa" w:w="4989"/>
          </w:tcPr>
          <w:p>
            <w:pPr>
              <w:spacing w:after="20"/>
            </w:pPr>
            <w:r/>
            <w:r>
              <w:rPr>
                <w:b w:val="0"/>
                <w:sz w:val="17"/>
              </w:rPr>
              <w:t>Bank statement lines</w:t>
            </w:r>
          </w:p>
        </w:tc>
      </w:tr>
      <w:tr>
        <w:tc>
          <w:tcPr>
            <w:tcW w:type="dxa" w:w="2041"/>
            <w:shd w:val="clear" w:color="auto" w:fill="F5F8FA"/>
          </w:tcPr>
          <w:p>
            <w:pPr>
              <w:spacing w:after="20"/>
            </w:pPr>
            <w:r/>
            <w:r>
              <w:rPr>
                <w:b w:val="0"/>
                <w:sz w:val="17"/>
              </w:rPr>
              <w:t>FactExpenseClaims</w:t>
            </w:r>
          </w:p>
        </w:tc>
        <w:tc>
          <w:tcPr>
            <w:tcW w:type="dxa" w:w="1134"/>
            <w:shd w:val="clear" w:color="auto" w:fill="F5F8FA"/>
          </w:tcPr>
          <w:p>
            <w:pPr>
              <w:spacing w:after="20"/>
            </w:pPr>
            <w:r/>
            <w:r>
              <w:rPr>
                <w:b w:val="0"/>
                <w:sz w:val="17"/>
              </w:rPr>
              <w:t>650</w:t>
            </w:r>
          </w:p>
        </w:tc>
        <w:tc>
          <w:tcPr>
            <w:tcW w:type="dxa" w:w="1474"/>
            <w:shd w:val="clear" w:color="auto" w:fill="F5F8FA"/>
          </w:tcPr>
          <w:p>
            <w:pPr>
              <w:spacing w:after="20"/>
            </w:pPr>
            <w:r/>
            <w:r>
              <w:rPr>
                <w:b w:val="0"/>
                <w:sz w:val="17"/>
              </w:rPr>
              <w:t>Loaded</w:t>
            </w:r>
          </w:p>
        </w:tc>
        <w:tc>
          <w:tcPr>
            <w:tcW w:type="dxa" w:w="4989"/>
            <w:shd w:val="clear" w:color="auto" w:fill="F5F8FA"/>
          </w:tcPr>
          <w:p>
            <w:pPr>
              <w:spacing w:after="20"/>
            </w:pPr>
            <w:r/>
            <w:r>
              <w:rPr>
                <w:b w:val="0"/>
                <w:sz w:val="17"/>
              </w:rPr>
              <w:t>Expense claims</w:t>
            </w:r>
          </w:p>
        </w:tc>
      </w:tr>
      <w:tr>
        <w:tc>
          <w:tcPr>
            <w:tcW w:type="dxa" w:w="2041"/>
          </w:tcPr>
          <w:p>
            <w:pPr>
              <w:spacing w:after="20"/>
            </w:pPr>
            <w:r/>
            <w:r>
              <w:rPr>
                <w:b w:val="0"/>
                <w:sz w:val="17"/>
              </w:rPr>
              <w:t>FactSalesOrders</w:t>
            </w:r>
          </w:p>
        </w:tc>
        <w:tc>
          <w:tcPr>
            <w:tcW w:type="dxa" w:w="1134"/>
          </w:tcPr>
          <w:p>
            <w:pPr>
              <w:spacing w:after="20"/>
            </w:pPr>
            <w:r/>
            <w:r>
              <w:rPr>
                <w:b w:val="0"/>
                <w:sz w:val="17"/>
              </w:rPr>
              <w:t>900</w:t>
            </w:r>
          </w:p>
        </w:tc>
        <w:tc>
          <w:tcPr>
            <w:tcW w:type="dxa" w:w="1474"/>
          </w:tcPr>
          <w:p>
            <w:pPr>
              <w:spacing w:after="20"/>
            </w:pPr>
            <w:r/>
            <w:r>
              <w:rPr>
                <w:b w:val="0"/>
                <w:sz w:val="17"/>
              </w:rPr>
              <w:t>Loaded</w:t>
            </w:r>
          </w:p>
        </w:tc>
        <w:tc>
          <w:tcPr>
            <w:tcW w:type="dxa" w:w="4989"/>
          </w:tcPr>
          <w:p>
            <w:pPr>
              <w:spacing w:after="20"/>
            </w:pPr>
            <w:r/>
            <w:r>
              <w:rPr>
                <w:b w:val="0"/>
                <w:sz w:val="17"/>
              </w:rPr>
              <w:t>Order lines</w:t>
            </w:r>
          </w:p>
        </w:tc>
      </w:tr>
      <w:tr>
        <w:tc>
          <w:tcPr>
            <w:tcW w:type="dxa" w:w="2041"/>
            <w:shd w:val="clear" w:color="auto" w:fill="F5F8FA"/>
          </w:tcPr>
          <w:p>
            <w:pPr>
              <w:spacing w:after="20"/>
            </w:pPr>
            <w:r/>
            <w:r>
              <w:rPr>
                <w:b w:val="0"/>
                <w:sz w:val="17"/>
              </w:rPr>
              <w:t>FactBudget</w:t>
            </w:r>
          </w:p>
        </w:tc>
        <w:tc>
          <w:tcPr>
            <w:tcW w:type="dxa" w:w="1134"/>
            <w:shd w:val="clear" w:color="auto" w:fill="F5F8FA"/>
          </w:tcPr>
          <w:p>
            <w:pPr>
              <w:spacing w:after="20"/>
            </w:pPr>
            <w:r/>
            <w:r>
              <w:rPr>
                <w:b w:val="0"/>
                <w:sz w:val="17"/>
              </w:rPr>
              <w:t>1,299</w:t>
            </w:r>
          </w:p>
        </w:tc>
        <w:tc>
          <w:tcPr>
            <w:tcW w:type="dxa" w:w="1474"/>
            <w:shd w:val="clear" w:color="auto" w:fill="F5F8FA"/>
          </w:tcPr>
          <w:p>
            <w:pPr>
              <w:spacing w:after="20"/>
            </w:pPr>
            <w:r/>
            <w:r>
              <w:rPr>
                <w:b w:val="0"/>
                <w:sz w:val="17"/>
              </w:rPr>
              <w:t>Loaded</w:t>
            </w:r>
          </w:p>
        </w:tc>
        <w:tc>
          <w:tcPr>
            <w:tcW w:type="dxa" w:w="4989"/>
            <w:shd w:val="clear" w:color="auto" w:fill="F5F8FA"/>
          </w:tcPr>
          <w:p>
            <w:pPr>
              <w:spacing w:after="20"/>
            </w:pPr>
            <w:r/>
            <w:r>
              <w:rPr>
                <w:b w:val="0"/>
                <w:sz w:val="17"/>
              </w:rPr>
              <w:t>Budget by account/cost centre/month</w:t>
            </w:r>
          </w:p>
        </w:tc>
      </w:tr>
      <w:tr>
        <w:tc>
          <w:tcPr>
            <w:tcW w:type="dxa" w:w="2041"/>
          </w:tcPr>
          <w:p>
            <w:pPr>
              <w:spacing w:after="20"/>
            </w:pPr>
            <w:r/>
            <w:r>
              <w:rPr>
                <w:b w:val="0"/>
                <w:sz w:val="17"/>
              </w:rPr>
              <w:t>FactFixedAssets</w:t>
            </w:r>
          </w:p>
        </w:tc>
        <w:tc>
          <w:tcPr>
            <w:tcW w:type="dxa" w:w="1134"/>
          </w:tcPr>
          <w:p>
            <w:pPr>
              <w:spacing w:after="20"/>
            </w:pPr>
            <w:r/>
            <w:r>
              <w:rPr>
                <w:b w:val="0"/>
                <w:sz w:val="17"/>
              </w:rPr>
              <w:t>120</w:t>
            </w:r>
          </w:p>
        </w:tc>
        <w:tc>
          <w:tcPr>
            <w:tcW w:type="dxa" w:w="1474"/>
          </w:tcPr>
          <w:p>
            <w:pPr>
              <w:spacing w:after="20"/>
            </w:pPr>
            <w:r/>
            <w:r>
              <w:rPr>
                <w:b w:val="0"/>
                <w:sz w:val="17"/>
              </w:rPr>
              <w:t>Loaded</w:t>
            </w:r>
          </w:p>
        </w:tc>
        <w:tc>
          <w:tcPr>
            <w:tcW w:type="dxa" w:w="4989"/>
          </w:tcPr>
          <w:p>
            <w:pPr>
              <w:spacing w:after="20"/>
            </w:pPr>
            <w:r/>
            <w:r>
              <w:rPr>
                <w:b w:val="0"/>
                <w:sz w:val="17"/>
              </w:rPr>
              <w:t>Asset register</w:t>
            </w:r>
          </w:p>
        </w:tc>
      </w:tr>
      <w:tr>
        <w:tc>
          <w:tcPr>
            <w:tcW w:type="dxa" w:w="2041"/>
            <w:shd w:val="clear" w:color="auto" w:fill="F5F8FA"/>
          </w:tcPr>
          <w:p>
            <w:pPr>
              <w:spacing w:after="20"/>
            </w:pPr>
            <w:r/>
            <w:r>
              <w:rPr>
                <w:b w:val="0"/>
                <w:sz w:val="17"/>
              </w:rPr>
              <w:t>DimAccount</w:t>
            </w:r>
          </w:p>
        </w:tc>
        <w:tc>
          <w:tcPr>
            <w:tcW w:type="dxa" w:w="1134"/>
            <w:shd w:val="clear" w:color="auto" w:fill="F5F8FA"/>
          </w:tcPr>
          <w:p>
            <w:pPr>
              <w:spacing w:after="20"/>
            </w:pPr>
            <w:r/>
            <w:r>
              <w:rPr>
                <w:b w:val="0"/>
                <w:sz w:val="17"/>
              </w:rPr>
              <w:t>71</w:t>
            </w:r>
          </w:p>
        </w:tc>
        <w:tc>
          <w:tcPr>
            <w:tcW w:type="dxa" w:w="1474"/>
            <w:shd w:val="clear" w:color="auto" w:fill="F5F8FA"/>
          </w:tcPr>
          <w:p>
            <w:pPr>
              <w:spacing w:after="20"/>
            </w:pPr>
            <w:r/>
            <w:r>
              <w:rPr>
                <w:b w:val="0"/>
                <w:sz w:val="17"/>
              </w:rPr>
              <w:t>Loaded</w:t>
            </w:r>
          </w:p>
        </w:tc>
        <w:tc>
          <w:tcPr>
            <w:tcW w:type="dxa" w:w="4989"/>
            <w:shd w:val="clear" w:color="auto" w:fill="F5F8FA"/>
          </w:tcPr>
          <w:p>
            <w:pPr>
              <w:spacing w:after="20"/>
            </w:pPr>
            <w:r/>
            <w:r>
              <w:rPr>
                <w:b w:val="0"/>
                <w:sz w:val="17"/>
              </w:rPr>
              <w:t>Chart of accounts with FSLine and PLSign</w:t>
            </w:r>
          </w:p>
        </w:tc>
      </w:tr>
      <w:tr>
        <w:tc>
          <w:tcPr>
            <w:tcW w:type="dxa" w:w="2041"/>
          </w:tcPr>
          <w:p>
            <w:pPr>
              <w:spacing w:after="20"/>
            </w:pPr>
            <w:r/>
            <w:r>
              <w:rPr>
                <w:b w:val="0"/>
                <w:sz w:val="17"/>
              </w:rPr>
              <w:t>DimDate</w:t>
            </w:r>
          </w:p>
        </w:tc>
        <w:tc>
          <w:tcPr>
            <w:tcW w:type="dxa" w:w="1134"/>
          </w:tcPr>
          <w:p>
            <w:pPr>
              <w:spacing w:after="20"/>
            </w:pPr>
            <w:r/>
            <w:r>
              <w:rPr>
                <w:b w:val="0"/>
                <w:sz w:val="17"/>
              </w:rPr>
              <w:t>1,461</w:t>
            </w:r>
          </w:p>
        </w:tc>
        <w:tc>
          <w:tcPr>
            <w:tcW w:type="dxa" w:w="1474"/>
          </w:tcPr>
          <w:p>
            <w:pPr>
              <w:spacing w:after="20"/>
            </w:pPr>
            <w:r/>
            <w:r>
              <w:rPr>
                <w:b w:val="0"/>
                <w:sz w:val="17"/>
              </w:rPr>
              <w:t>Loaded</w:t>
            </w:r>
          </w:p>
        </w:tc>
        <w:tc>
          <w:tcPr>
            <w:tcW w:type="dxa" w:w="4989"/>
          </w:tcPr>
          <w:p>
            <w:pPr>
              <w:spacing w:after="20"/>
            </w:pPr>
            <w:r/>
            <w:r>
              <w:rPr>
                <w:b w:val="0"/>
                <w:sz w:val="17"/>
              </w:rPr>
              <w:t>Marked as date table</w:t>
            </w:r>
          </w:p>
        </w:tc>
      </w:tr>
      <w:tr>
        <w:tc>
          <w:tcPr>
            <w:tcW w:type="dxa" w:w="2041"/>
            <w:shd w:val="clear" w:color="auto" w:fill="F5F8FA"/>
          </w:tcPr>
          <w:p>
            <w:pPr>
              <w:spacing w:after="20"/>
            </w:pPr>
            <w:r/>
            <w:r>
              <w:rPr>
                <w:b w:val="0"/>
                <w:sz w:val="17"/>
              </w:rPr>
              <w:t>DimCostCentre</w:t>
            </w:r>
          </w:p>
        </w:tc>
        <w:tc>
          <w:tcPr>
            <w:tcW w:type="dxa" w:w="1134"/>
            <w:shd w:val="clear" w:color="auto" w:fill="F5F8FA"/>
          </w:tcPr>
          <w:p>
            <w:pPr>
              <w:spacing w:after="20"/>
            </w:pPr>
            <w:r/>
            <w:r>
              <w:rPr>
                <w:b w:val="0"/>
                <w:sz w:val="17"/>
              </w:rPr>
              <w:t>9</w:t>
            </w:r>
          </w:p>
        </w:tc>
        <w:tc>
          <w:tcPr>
            <w:tcW w:type="dxa" w:w="1474"/>
            <w:shd w:val="clear" w:color="auto" w:fill="F5F8FA"/>
          </w:tcPr>
          <w:p>
            <w:pPr>
              <w:spacing w:after="20"/>
            </w:pPr>
            <w:r/>
            <w:r>
              <w:rPr>
                <w:b w:val="0"/>
                <w:sz w:val="17"/>
              </w:rPr>
              <w:t>Loaded</w:t>
            </w:r>
          </w:p>
        </w:tc>
        <w:tc>
          <w:tcPr>
            <w:tcW w:type="dxa" w:w="4989"/>
            <w:shd w:val="clear" w:color="auto" w:fill="F5F8FA"/>
          </w:tcPr>
          <w:p>
            <w:pPr>
              <w:spacing w:after="20"/>
            </w:pPr>
            <w:r/>
            <w:r>
              <w:rPr>
                <w:b w:val="0"/>
                <w:sz w:val="17"/>
              </w:rPr>
            </w:r>
          </w:p>
        </w:tc>
      </w:tr>
      <w:tr>
        <w:tc>
          <w:tcPr>
            <w:tcW w:type="dxa" w:w="2041"/>
          </w:tcPr>
          <w:p>
            <w:pPr>
              <w:spacing w:after="20"/>
            </w:pPr>
            <w:r/>
            <w:r>
              <w:rPr>
                <w:b w:val="0"/>
                <w:sz w:val="17"/>
              </w:rPr>
              <w:t>DimUser</w:t>
            </w:r>
          </w:p>
        </w:tc>
        <w:tc>
          <w:tcPr>
            <w:tcW w:type="dxa" w:w="1134"/>
          </w:tcPr>
          <w:p>
            <w:pPr>
              <w:spacing w:after="20"/>
            </w:pPr>
            <w:r/>
            <w:r>
              <w:rPr>
                <w:b w:val="0"/>
                <w:sz w:val="17"/>
              </w:rPr>
              <w:t>12</w:t>
            </w:r>
          </w:p>
        </w:tc>
        <w:tc>
          <w:tcPr>
            <w:tcW w:type="dxa" w:w="1474"/>
          </w:tcPr>
          <w:p>
            <w:pPr>
              <w:spacing w:after="20"/>
            </w:pPr>
            <w:r/>
            <w:r>
              <w:rPr>
                <w:b w:val="0"/>
                <w:sz w:val="17"/>
              </w:rPr>
              <w:t>Loaded</w:t>
            </w:r>
          </w:p>
        </w:tc>
        <w:tc>
          <w:tcPr>
            <w:tcW w:type="dxa" w:w="4989"/>
          </w:tcPr>
          <w:p>
            <w:pPr>
              <w:spacing w:after="20"/>
            </w:pPr>
            <w:r/>
            <w:r>
              <w:rPr>
                <w:b w:val="0"/>
                <w:sz w:val="17"/>
              </w:rPr>
              <w:t>Role-playing for preparer/approver</w:t>
            </w:r>
          </w:p>
        </w:tc>
      </w:tr>
      <w:tr>
        <w:tc>
          <w:tcPr>
            <w:tcW w:type="dxa" w:w="2041"/>
            <w:shd w:val="clear" w:color="auto" w:fill="F5F8FA"/>
          </w:tcPr>
          <w:p>
            <w:pPr>
              <w:spacing w:after="20"/>
            </w:pPr>
            <w:r/>
            <w:r>
              <w:rPr>
                <w:b w:val="0"/>
                <w:sz w:val="17"/>
              </w:rPr>
              <w:t>DimVendor</w:t>
            </w:r>
          </w:p>
        </w:tc>
        <w:tc>
          <w:tcPr>
            <w:tcW w:type="dxa" w:w="1134"/>
            <w:shd w:val="clear" w:color="auto" w:fill="F5F8FA"/>
          </w:tcPr>
          <w:p>
            <w:pPr>
              <w:spacing w:after="20"/>
            </w:pPr>
            <w:r/>
            <w:r>
              <w:rPr>
                <w:b w:val="0"/>
                <w:sz w:val="17"/>
              </w:rPr>
              <w:t>26</w:t>
            </w:r>
          </w:p>
        </w:tc>
        <w:tc>
          <w:tcPr>
            <w:tcW w:type="dxa" w:w="1474"/>
            <w:shd w:val="clear" w:color="auto" w:fill="F5F8FA"/>
          </w:tcPr>
          <w:p>
            <w:pPr>
              <w:spacing w:after="20"/>
            </w:pPr>
            <w:r/>
            <w:r>
              <w:rPr>
                <w:b w:val="0"/>
                <w:sz w:val="17"/>
              </w:rPr>
              <w:t>Loaded</w:t>
            </w:r>
          </w:p>
        </w:tc>
        <w:tc>
          <w:tcPr>
            <w:tcW w:type="dxa" w:w="4989"/>
            <w:shd w:val="clear" w:color="auto" w:fill="F5F8FA"/>
          </w:tcPr>
          <w:p>
            <w:pPr>
              <w:spacing w:after="20"/>
            </w:pPr>
            <w:r/>
            <w:r>
              <w:rPr>
                <w:b w:val="0"/>
                <w:sz w:val="17"/>
              </w:rPr>
              <w:t>4 flagged employee-linked</w:t>
            </w:r>
          </w:p>
        </w:tc>
      </w:tr>
      <w:tr>
        <w:tc>
          <w:tcPr>
            <w:tcW w:type="dxa" w:w="2041"/>
          </w:tcPr>
          <w:p>
            <w:pPr>
              <w:spacing w:after="20"/>
            </w:pPr>
            <w:r/>
            <w:r>
              <w:rPr>
                <w:b w:val="0"/>
                <w:sz w:val="17"/>
              </w:rPr>
              <w:t>DimCustomer</w:t>
            </w:r>
          </w:p>
        </w:tc>
        <w:tc>
          <w:tcPr>
            <w:tcW w:type="dxa" w:w="1134"/>
          </w:tcPr>
          <w:p>
            <w:pPr>
              <w:spacing w:after="20"/>
            </w:pPr>
            <w:r/>
            <w:r>
              <w:rPr>
                <w:b w:val="0"/>
                <w:sz w:val="17"/>
              </w:rPr>
              <w:t>18</w:t>
            </w:r>
          </w:p>
        </w:tc>
        <w:tc>
          <w:tcPr>
            <w:tcW w:type="dxa" w:w="1474"/>
          </w:tcPr>
          <w:p>
            <w:pPr>
              <w:spacing w:after="20"/>
            </w:pPr>
            <w:r/>
            <w:r>
              <w:rPr>
                <w:b w:val="0"/>
                <w:sz w:val="17"/>
              </w:rPr>
              <w:t>Loaded</w:t>
            </w:r>
          </w:p>
        </w:tc>
        <w:tc>
          <w:tcPr>
            <w:tcW w:type="dxa" w:w="4989"/>
          </w:tcPr>
          <w:p>
            <w:pPr>
              <w:spacing w:after="20"/>
            </w:pPr>
            <w:r/>
            <w:r>
              <w:rPr>
                <w:b w:val="0"/>
                <w:sz w:val="17"/>
              </w:rPr>
            </w:r>
          </w:p>
        </w:tc>
      </w:tr>
      <w:tr>
        <w:tc>
          <w:tcPr>
            <w:tcW w:type="dxa" w:w="2041"/>
            <w:shd w:val="clear" w:color="auto" w:fill="F5F8FA"/>
          </w:tcPr>
          <w:p>
            <w:pPr>
              <w:spacing w:after="20"/>
            </w:pPr>
            <w:r/>
            <w:r>
              <w:rPr>
                <w:b w:val="0"/>
                <w:sz w:val="17"/>
              </w:rPr>
              <w:t>DimEmployee</w:t>
            </w:r>
          </w:p>
        </w:tc>
        <w:tc>
          <w:tcPr>
            <w:tcW w:type="dxa" w:w="1134"/>
            <w:shd w:val="clear" w:color="auto" w:fill="F5F8FA"/>
          </w:tcPr>
          <w:p>
            <w:pPr>
              <w:spacing w:after="20"/>
            </w:pPr>
            <w:r/>
            <w:r>
              <w:rPr>
                <w:b w:val="0"/>
                <w:sz w:val="17"/>
              </w:rPr>
              <w:t>63</w:t>
            </w:r>
          </w:p>
        </w:tc>
        <w:tc>
          <w:tcPr>
            <w:tcW w:type="dxa" w:w="1474"/>
            <w:shd w:val="clear" w:color="auto" w:fill="F5F8FA"/>
          </w:tcPr>
          <w:p>
            <w:pPr>
              <w:spacing w:after="20"/>
            </w:pPr>
            <w:r/>
            <w:r>
              <w:rPr>
                <w:b w:val="0"/>
                <w:sz w:val="17"/>
              </w:rPr>
              <w:t>Loaded</w:t>
            </w:r>
          </w:p>
        </w:tc>
        <w:tc>
          <w:tcPr>
            <w:tcW w:type="dxa" w:w="4989"/>
            <w:shd w:val="clear" w:color="auto" w:fill="F5F8FA"/>
          </w:tcPr>
          <w:p>
            <w:pPr>
              <w:spacing w:after="20"/>
            </w:pPr>
            <w:r/>
            <w:r>
              <w:rPr>
                <w:b w:val="0"/>
                <w:sz w:val="17"/>
              </w:rPr>
              <w:t>Personal data - RLS applied</w:t>
            </w:r>
          </w:p>
        </w:tc>
      </w:tr>
      <w:tr>
        <w:tc>
          <w:tcPr>
            <w:tcW w:type="dxa" w:w="2041"/>
          </w:tcPr>
          <w:p>
            <w:pPr>
              <w:spacing w:after="20"/>
            </w:pPr>
            <w:r/>
            <w:r>
              <w:rPr>
                <w:b w:val="0"/>
                <w:sz w:val="17"/>
              </w:rPr>
              <w:t>DimFXRate</w:t>
            </w:r>
          </w:p>
        </w:tc>
        <w:tc>
          <w:tcPr>
            <w:tcW w:type="dxa" w:w="1134"/>
          </w:tcPr>
          <w:p>
            <w:pPr>
              <w:spacing w:after="20"/>
            </w:pPr>
            <w:r/>
            <w:r>
              <w:rPr>
                <w:b w:val="0"/>
                <w:sz w:val="17"/>
              </w:rPr>
              <w:t>84</w:t>
            </w:r>
          </w:p>
        </w:tc>
        <w:tc>
          <w:tcPr>
            <w:tcW w:type="dxa" w:w="1474"/>
          </w:tcPr>
          <w:p>
            <w:pPr>
              <w:spacing w:after="20"/>
            </w:pPr>
            <w:r/>
            <w:r>
              <w:rPr>
                <w:b w:val="0"/>
                <w:sz w:val="17"/>
              </w:rPr>
              <w:t>Loaded</w:t>
            </w:r>
          </w:p>
        </w:tc>
        <w:tc>
          <w:tcPr>
            <w:tcW w:type="dxa" w:w="4989"/>
          </w:tcPr>
          <w:p>
            <w:pPr>
              <w:spacing w:after="20"/>
            </w:pPr>
            <w:r/>
            <w:r>
              <w:rPr>
                <w:b w:val="0"/>
                <w:sz w:val="17"/>
              </w:rPr>
            </w:r>
          </w:p>
        </w:tc>
      </w:tr>
      <w:tr>
        <w:tc>
          <w:tcPr>
            <w:tcW w:type="dxa" w:w="2041"/>
            <w:shd w:val="clear" w:color="auto" w:fill="F5F8FA"/>
          </w:tcPr>
          <w:p>
            <w:pPr>
              <w:spacing w:after="20"/>
            </w:pPr>
            <w:r/>
            <w:r>
              <w:rPr>
                <w:b w:val="0"/>
                <w:sz w:val="17"/>
              </w:rPr>
              <w:t>_Measures</w:t>
            </w:r>
          </w:p>
        </w:tc>
        <w:tc>
          <w:tcPr>
            <w:tcW w:type="dxa" w:w="1134"/>
            <w:shd w:val="clear" w:color="auto" w:fill="F5F8FA"/>
          </w:tcPr>
          <w:p>
            <w:pPr>
              <w:spacing w:after="20"/>
            </w:pPr>
            <w:r/>
            <w:r>
              <w:rPr>
                <w:b w:val="0"/>
                <w:sz w:val="17"/>
              </w:rPr>
              <w:t>-</w:t>
            </w:r>
          </w:p>
        </w:tc>
        <w:tc>
          <w:tcPr>
            <w:tcW w:type="dxa" w:w="1474"/>
            <w:shd w:val="clear" w:color="auto" w:fill="F5F8FA"/>
          </w:tcPr>
          <w:p>
            <w:pPr>
              <w:spacing w:after="20"/>
            </w:pPr>
            <w:r/>
            <w:r>
              <w:rPr>
                <w:b w:val="0"/>
                <w:sz w:val="17"/>
              </w:rPr>
              <w:t>Loaded</w:t>
            </w:r>
          </w:p>
        </w:tc>
        <w:tc>
          <w:tcPr>
            <w:tcW w:type="dxa" w:w="4989"/>
            <w:shd w:val="clear" w:color="auto" w:fill="F5F8FA"/>
          </w:tcPr>
          <w:p>
            <w:pPr>
              <w:spacing w:after="20"/>
            </w:pPr>
            <w:r/>
            <w:r>
              <w:rPr>
                <w:b w:val="0"/>
                <w:sz w:val="17"/>
              </w:rPr>
              <w:t>All measures live here, in display folders</w:t>
            </w:r>
          </w:p>
        </w:tc>
      </w:tr>
      <w:tr>
        <w:tc>
          <w:tcPr>
            <w:tcW w:type="dxa" w:w="2041"/>
          </w:tcPr>
          <w:p>
            <w:pPr>
              <w:spacing w:after="20"/>
            </w:pPr>
            <w:r/>
            <w:r>
              <w:rPr>
                <w:b w:val="0"/>
                <w:sz w:val="17"/>
              </w:rPr>
              <w:t>stg_* staging queries</w:t>
            </w:r>
          </w:p>
        </w:tc>
        <w:tc>
          <w:tcPr>
            <w:tcW w:type="dxa" w:w="1134"/>
          </w:tcPr>
          <w:p>
            <w:pPr>
              <w:spacing w:after="20"/>
            </w:pPr>
            <w:r/>
            <w:r>
              <w:rPr>
                <w:b w:val="0"/>
                <w:sz w:val="17"/>
              </w:rPr>
              <w:t>-</w:t>
            </w:r>
          </w:p>
        </w:tc>
        <w:tc>
          <w:tcPr>
            <w:tcW w:type="dxa" w:w="1474"/>
          </w:tcPr>
          <w:p>
            <w:pPr>
              <w:spacing w:after="20"/>
            </w:pPr>
            <w:r/>
            <w:r>
              <w:rPr>
                <w:b w:val="0"/>
                <w:sz w:val="17"/>
              </w:rPr>
              <w:t>Enable load = OFF</w:t>
            </w:r>
          </w:p>
        </w:tc>
        <w:tc>
          <w:tcPr>
            <w:tcW w:type="dxa" w:w="4989"/>
          </w:tcPr>
          <w:p>
            <w:pPr>
              <w:spacing w:after="20"/>
            </w:pPr>
            <w:r/>
            <w:r>
              <w:rPr>
                <w:b w:val="0"/>
                <w:sz w:val="17"/>
              </w:rPr>
              <w:t>Never referenced by the report</w:t>
            </w:r>
          </w:p>
        </w:tc>
      </w:tr>
    </w:tbl>
    <w:p>
      <w:pPr>
        <w:spacing w:after="40"/>
      </w:pPr>
    </w:p>
    <w:p>
      <w:pPr>
        <w:pStyle w:val="Heading2"/>
      </w:pPr>
      <w:r>
        <w:t>3. Refresh instructions</w:t>
      </w:r>
    </w:p>
    <w:p>
      <w:pPr>
        <w:pStyle w:val="ListNumber"/>
        <w:spacing w:after="40"/>
      </w:pPr>
      <w:r>
        <w:rPr>
          <w:sz w:val="21"/>
        </w:rPr>
        <w:t>Drop the new extract into the client's landing folder. The folder path is held in the parameter pSourcePath - nothing in the model is hard-coded.</w:t>
      </w:r>
    </w:p>
    <w:p>
      <w:pPr>
        <w:pStyle w:val="ListNumber"/>
        <w:spacing w:after="40"/>
      </w:pPr>
      <w:r>
        <w:rPr>
          <w:sz w:val="21"/>
        </w:rPr>
        <w:t>Set the parameter pAsAtDate to the reporting date (the last day of the period).</w:t>
      </w:r>
    </w:p>
    <w:p>
      <w:pPr>
        <w:pStyle w:val="ListNumber"/>
        <w:spacing w:after="40"/>
      </w:pPr>
      <w:r>
        <w:rPr>
          <w:sz w:val="21"/>
        </w:rPr>
        <w:t>Home &gt; Refresh. Expected duration under 60 seconds on the current data volume.</w:t>
      </w:r>
    </w:p>
    <w:p>
      <w:pPr>
        <w:pStyle w:val="ListNumber"/>
        <w:spacing w:after="40"/>
      </w:pPr>
      <w:r>
        <w:rPr>
          <w:sz w:val="21"/>
        </w:rPr>
        <w:t>Open the hidden Data Quality page. Every control check must read 'Ties'. If any reads 'Investigate', do not publish - the extract is incomplete.</w:t>
      </w:r>
    </w:p>
    <w:p>
      <w:pPr>
        <w:pStyle w:val="ListNumber"/>
        <w:spacing w:after="40"/>
      </w:pPr>
      <w:r>
        <w:rPr>
          <w:sz w:val="21"/>
        </w:rPr>
        <w:t>Publish to the workspace and confirm the scheduled refresh succeeded.</w:t>
      </w:r>
    </w:p>
    <w:p>
      <w:pPr>
        <w:pStyle w:val="Heading2"/>
      </w:pPr>
      <w:r>
        <w:t>4. Performance</w:t>
      </w:r>
    </w:p>
    <w:tbl>
      <w:tblPr>
        <w:tblStyle w:val="TableGrid"/>
        <w:tblW w:type="auto" w:w="0"/>
        <w:jc w:val="center"/>
        <w:tblLook w:firstColumn="1" w:firstRow="1" w:lastColumn="0" w:lastRow="0" w:noHBand="0" w:noVBand="1" w:val="04A0"/>
      </w:tblPr>
      <w:tblGrid>
        <w:gridCol w:w="3324"/>
        <w:gridCol w:w="3324"/>
        <w:gridCol w:w="3324"/>
      </w:tblGrid>
      <w:tr>
        <w:tc>
          <w:tcPr>
            <w:tcW w:type="dxa" w:w="2494"/>
            <w:shd w:val="clear" w:color="auto" w:fill="0B2E4F"/>
          </w:tcPr>
          <w:p>
            <w:r/>
            <w:r>
              <w:rPr>
                <w:b/>
                <w:color w:val="FFFFFF"/>
                <w:sz w:val="17"/>
              </w:rPr>
              <w:t>Budget</w:t>
            </w:r>
          </w:p>
        </w:tc>
        <w:tc>
          <w:tcPr>
            <w:tcW w:type="dxa" w:w="1701"/>
            <w:shd w:val="clear" w:color="auto" w:fill="0B2E4F"/>
          </w:tcPr>
          <w:p>
            <w:r/>
            <w:r>
              <w:rPr>
                <w:b/>
                <w:color w:val="FFFFFF"/>
                <w:sz w:val="17"/>
              </w:rPr>
              <w:t>Target</w:t>
            </w:r>
          </w:p>
        </w:tc>
        <w:tc>
          <w:tcPr>
            <w:tcW w:type="dxa" w:w="5443"/>
            <w:shd w:val="clear" w:color="auto" w:fill="0B2E4F"/>
          </w:tcPr>
          <w:p>
            <w:r/>
            <w:r>
              <w:rPr>
                <w:b/>
                <w:color w:val="FFFFFF"/>
                <w:sz w:val="17"/>
              </w:rPr>
              <w:t>Note</w:t>
            </w:r>
          </w:p>
        </w:tc>
      </w:tr>
      <w:tr>
        <w:tc>
          <w:tcPr>
            <w:tcW w:type="dxa" w:w="2494"/>
          </w:tcPr>
          <w:p>
            <w:pPr>
              <w:spacing w:after="20"/>
            </w:pPr>
            <w:r/>
            <w:r>
              <w:rPr>
                <w:b w:val="0"/>
                <w:sz w:val="18"/>
              </w:rPr>
              <w:t>Refresh</w:t>
            </w:r>
          </w:p>
        </w:tc>
        <w:tc>
          <w:tcPr>
            <w:tcW w:type="dxa" w:w="1701"/>
          </w:tcPr>
          <w:p>
            <w:pPr>
              <w:spacing w:after="20"/>
            </w:pPr>
            <w:r/>
            <w:r>
              <w:rPr>
                <w:b w:val="0"/>
                <w:sz w:val="18"/>
              </w:rPr>
              <w:t>&lt; 5 minutes</w:t>
            </w:r>
          </w:p>
        </w:tc>
        <w:tc>
          <w:tcPr>
            <w:tcW w:type="dxa" w:w="5443"/>
          </w:tcPr>
          <w:p>
            <w:pPr>
              <w:spacing w:after="20"/>
            </w:pPr>
            <w:r/>
            <w:r>
              <w:rPr>
                <w:b w:val="0"/>
                <w:sz w:val="18"/>
              </w:rPr>
              <w:t>Currently well under one minute on 13,929 rows</w:t>
            </w:r>
          </w:p>
        </w:tc>
      </w:tr>
      <w:tr>
        <w:tc>
          <w:tcPr>
            <w:tcW w:type="dxa" w:w="2494"/>
            <w:shd w:val="clear" w:color="auto" w:fill="F5F8FA"/>
          </w:tcPr>
          <w:p>
            <w:pPr>
              <w:spacing w:after="20"/>
            </w:pPr>
            <w:r/>
            <w:r>
              <w:rPr>
                <w:b w:val="0"/>
                <w:sz w:val="18"/>
              </w:rPr>
              <w:t>Visual response</w:t>
            </w:r>
          </w:p>
        </w:tc>
        <w:tc>
          <w:tcPr>
            <w:tcW w:type="dxa" w:w="1701"/>
            <w:shd w:val="clear" w:color="auto" w:fill="F5F8FA"/>
          </w:tcPr>
          <w:p>
            <w:pPr>
              <w:spacing w:after="20"/>
            </w:pPr>
            <w:r/>
            <w:r>
              <w:rPr>
                <w:b w:val="0"/>
                <w:sz w:val="18"/>
              </w:rPr>
              <w:t>&lt; 2 seconds</w:t>
            </w:r>
          </w:p>
        </w:tc>
        <w:tc>
          <w:tcPr>
            <w:tcW w:type="dxa" w:w="5443"/>
            <w:shd w:val="clear" w:color="auto" w:fill="F5F8FA"/>
          </w:tcPr>
          <w:p>
            <w:pPr>
              <w:spacing w:after="20"/>
            </w:pPr>
            <w:r/>
            <w:r>
              <w:rPr>
                <w:b w:val="0"/>
                <w:sz w:val="18"/>
              </w:rPr>
              <w:t>No visual queries more than two fact tables</w:t>
            </w:r>
          </w:p>
        </w:tc>
      </w:tr>
      <w:tr>
        <w:tc>
          <w:tcPr>
            <w:tcW w:type="dxa" w:w="2494"/>
          </w:tcPr>
          <w:p>
            <w:pPr>
              <w:spacing w:after="20"/>
            </w:pPr>
            <w:r/>
            <w:r>
              <w:rPr>
                <w:b w:val="0"/>
                <w:sz w:val="18"/>
              </w:rPr>
              <w:t>Calculated columns on facts</w:t>
            </w:r>
          </w:p>
        </w:tc>
        <w:tc>
          <w:tcPr>
            <w:tcW w:type="dxa" w:w="1701"/>
          </w:tcPr>
          <w:p>
            <w:pPr>
              <w:spacing w:after="20"/>
            </w:pPr>
            <w:r/>
            <w:r>
              <w:rPr>
                <w:b w:val="0"/>
                <w:sz w:val="18"/>
              </w:rPr>
              <w:t>None</w:t>
            </w:r>
          </w:p>
        </w:tc>
        <w:tc>
          <w:tcPr>
            <w:tcW w:type="dxa" w:w="5443"/>
          </w:tcPr>
          <w:p>
            <w:pPr>
              <w:spacing w:after="20"/>
            </w:pPr>
            <w:r/>
            <w:r>
              <w:rPr>
                <w:b w:val="0"/>
                <w:sz w:val="18"/>
              </w:rPr>
              <w:t>All logic is in measures or Power Query</w:t>
            </w:r>
          </w:p>
        </w:tc>
      </w:tr>
      <w:tr>
        <w:tc>
          <w:tcPr>
            <w:tcW w:type="dxa" w:w="2494"/>
            <w:shd w:val="clear" w:color="auto" w:fill="F5F8FA"/>
          </w:tcPr>
          <w:p>
            <w:pPr>
              <w:spacing w:after="20"/>
            </w:pPr>
            <w:r/>
            <w:r>
              <w:rPr>
                <w:b w:val="0"/>
                <w:sz w:val="18"/>
              </w:rPr>
              <w:t>Bidirectional relationships</w:t>
            </w:r>
          </w:p>
        </w:tc>
        <w:tc>
          <w:tcPr>
            <w:tcW w:type="dxa" w:w="1701"/>
            <w:shd w:val="clear" w:color="auto" w:fill="F5F8FA"/>
          </w:tcPr>
          <w:p>
            <w:pPr>
              <w:spacing w:after="20"/>
            </w:pPr>
            <w:r/>
            <w:r>
              <w:rPr>
                <w:b w:val="0"/>
                <w:sz w:val="18"/>
              </w:rPr>
              <w:t>None</w:t>
            </w:r>
          </w:p>
        </w:tc>
        <w:tc>
          <w:tcPr>
            <w:tcW w:type="dxa" w:w="5443"/>
            <w:shd w:val="clear" w:color="auto" w:fill="F5F8FA"/>
          </w:tcPr>
          <w:p>
            <w:pPr>
              <w:spacing w:after="20"/>
            </w:pPr>
            <w:r/>
            <w:r>
              <w:rPr>
                <w:b w:val="0"/>
                <w:sz w:val="18"/>
              </w:rPr>
              <w:t>Single direction throughout</w:t>
            </w:r>
          </w:p>
        </w:tc>
      </w:tr>
      <w:tr>
        <w:tc>
          <w:tcPr>
            <w:tcW w:type="dxa" w:w="2494"/>
          </w:tcPr>
          <w:p>
            <w:pPr>
              <w:spacing w:after="20"/>
            </w:pPr>
            <w:r/>
            <w:r>
              <w:rPr>
                <w:b w:val="0"/>
                <w:sz w:val="18"/>
              </w:rPr>
              <w:t>Row-level security</w:t>
            </w:r>
          </w:p>
        </w:tc>
        <w:tc>
          <w:tcPr>
            <w:tcW w:type="dxa" w:w="1701"/>
          </w:tcPr>
          <w:p>
            <w:pPr>
              <w:spacing w:after="20"/>
            </w:pPr>
            <w:r/>
            <w:r>
              <w:rPr>
                <w:b w:val="0"/>
                <w:sz w:val="18"/>
              </w:rPr>
              <w:t>DimUser and DimEmployee</w:t>
            </w:r>
          </w:p>
        </w:tc>
        <w:tc>
          <w:tcPr>
            <w:tcW w:type="dxa" w:w="5443"/>
          </w:tcPr>
          <w:p>
            <w:pPr>
              <w:spacing w:after="20"/>
            </w:pPr>
            <w:r/>
            <w:r>
              <w:rPr>
                <w:b w:val="0"/>
                <w:sz w:val="18"/>
              </w:rPr>
              <w:t>Credit team sees their own cost centre only</w:t>
            </w:r>
          </w:p>
        </w:tc>
      </w:tr>
    </w:tbl>
    <w:p>
      <w:pPr>
        <w:spacing w:after="40"/>
      </w:pP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model documentation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