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Findings summary - forensic analytics</w:t>
      </w:r>
    </w:p>
    <w:p>
      <w:pPr>
        <w:spacing w:after="120"/>
      </w:pPr>
      <w:r>
        <w:rPr>
          <w:b w:val="0"/>
          <w:i/>
          <w:color w:val="595959"/>
          <w:sz w:val="22"/>
        </w:rPr>
        <w:t>Practical Exam 2 (30 points) - findings quantified, with value at risk distinguished from quantified loss</w:t>
      </w:r>
    </w:p>
    <w:p>
      <w:pPr>
        <w:spacing w:before="80"/>
      </w:pPr>
      <w:r>
        <w:rPr>
          <w:color w:val="595959"/>
          <w:sz w:val="17"/>
        </w:rPr>
        <w:t>Client: Mhondoro Manufacturing (Pvt) Ltd    |    Period: 1 January 2024 to 30 September 2025    |    Issued: 08 October 2025    |    Reference: MX-2025-FS    |    Classification: Confidential</w:t>
      </w:r>
    </w:p>
    <w:p>
      <w:pPr>
        <w:spacing w:before="0" w:after="160"/>
        <w:pBdr>
          <w:bottom w:val="single" w:sz="8" w:color="008B8B"/>
        </w:pBdr>
      </w:pPr>
    </w:p>
    <w:p>
      <w:pPr>
        <w:pStyle w:val="Heading2"/>
      </w:pPr>
      <w:r>
        <w:t>1. What we were asked and what we did</w:t>
      </w:r>
    </w:p>
    <w:tbl>
      <w:tblPr>
        <w:tblStyle w:val="TableGrid"/>
        <w:tblW w:type="auto" w:w="0"/>
        <w:tblLook w:firstColumn="1" w:firstRow="1" w:lastColumn="0" w:lastRow="0" w:noHBand="0" w:noVBand="1" w:val="04A0"/>
      </w:tblPr>
      <w:tblGrid>
        <w:gridCol w:w="4986"/>
        <w:gridCol w:w="4986"/>
      </w:tblGrid>
      <w:tr>
        <w:tc>
          <w:tcPr>
            <w:tcW w:type="dxa" w:w="2608"/>
            <w:shd w:val="clear" w:color="auto" w:fill="EAF1F6"/>
          </w:tcPr>
          <w:p>
            <w:r/>
            <w:r>
              <w:rPr>
                <w:b/>
                <w:sz w:val="19"/>
              </w:rPr>
              <w:t>Instruction</w:t>
            </w:r>
          </w:p>
        </w:tc>
        <w:tc>
          <w:tcPr>
            <w:tcW w:type="dxa" w:w="6803"/>
          </w:tcPr>
          <w:p>
            <w:r/>
            <w:r>
              <w:rPr>
                <w:sz w:val="19"/>
              </w:rPr>
              <w:t>The Audit Committee received a whistle-blower report alleging payments to connected suppliers and the use of journal entries to conceal transactions.</w:t>
            </w:r>
          </w:p>
        </w:tc>
      </w:tr>
      <w:tr>
        <w:tc>
          <w:tcPr>
            <w:tcW w:type="dxa" w:w="2608"/>
            <w:shd w:val="clear" w:color="auto" w:fill="EAF1F6"/>
          </w:tcPr>
          <w:p>
            <w:r/>
            <w:r>
              <w:rPr>
                <w:b/>
                <w:sz w:val="19"/>
              </w:rPr>
              <w:t>Period</w:t>
            </w:r>
          </w:p>
        </w:tc>
        <w:tc>
          <w:tcPr>
            <w:tcW w:type="dxa" w:w="6803"/>
          </w:tcPr>
          <w:p>
            <w:r/>
            <w:r>
              <w:rPr>
                <w:sz w:val="19"/>
              </w:rPr>
              <w:t>1 January 2024 to 30 September 2025</w:t>
            </w:r>
          </w:p>
        </w:tc>
      </w:tr>
      <w:tr>
        <w:tc>
          <w:tcPr>
            <w:tcW w:type="dxa" w:w="2608"/>
            <w:shd w:val="clear" w:color="auto" w:fill="EAF1F6"/>
          </w:tcPr>
          <w:p>
            <w:r/>
            <w:r>
              <w:rPr>
                <w:b/>
                <w:sz w:val="19"/>
              </w:rPr>
              <w:t>Population</w:t>
            </w:r>
          </w:p>
        </w:tc>
        <w:tc>
          <w:tcPr>
            <w:tcW w:type="dxa" w:w="6803"/>
          </w:tcPr>
          <w:p>
            <w:r/>
            <w:r>
              <w:rPr>
                <w:sz w:val="19"/>
              </w:rPr>
              <w:t>13,929 ledger lines across 5,504 journals; debits and credits each $122,878,886.54</w:t>
            </w:r>
          </w:p>
        </w:tc>
      </w:tr>
      <w:tr>
        <w:tc>
          <w:tcPr>
            <w:tcW w:type="dxa" w:w="2608"/>
            <w:shd w:val="clear" w:color="auto" w:fill="EAF1F6"/>
          </w:tcPr>
          <w:p>
            <w:r/>
            <w:r>
              <w:rPr>
                <w:b/>
                <w:sz w:val="19"/>
              </w:rPr>
              <w:t>Work performed</w:t>
            </w:r>
          </w:p>
        </w:tc>
        <w:tc>
          <w:tcPr>
            <w:tcW w:type="dxa" w:w="6803"/>
          </w:tcPr>
          <w:p>
            <w:r/>
            <w:r>
              <w:rPr>
                <w:sz w:val="19"/>
              </w:rPr>
              <w:t>Twelve analytics tests over 100% of the population (no sampling), risk scoring, and reconciliation of the model to the client's control totals</w:t>
            </w:r>
          </w:p>
        </w:tc>
      </w:tr>
      <w:tr>
        <w:tc>
          <w:tcPr>
            <w:tcW w:type="dxa" w:w="2608"/>
            <w:shd w:val="clear" w:color="auto" w:fill="EAF1F6"/>
          </w:tcPr>
          <w:p>
            <w:r/>
            <w:r>
              <w:rPr>
                <w:b/>
                <w:sz w:val="19"/>
              </w:rPr>
              <w:t>Result</w:t>
            </w:r>
          </w:p>
        </w:tc>
        <w:tc>
          <w:tcPr>
            <w:tcW w:type="dxa" w:w="6803"/>
          </w:tcPr>
          <w:p>
            <w:r/>
            <w:r>
              <w:rPr>
                <w:sz w:val="19"/>
              </w:rPr>
              <w:t>171 exceptions totalling $1,945,536.55</w:t>
            </w:r>
          </w:p>
        </w:tc>
      </w:tr>
    </w:tbl>
    <w:p>
      <w:pPr>
        <w:spacing w:after="40"/>
      </w:pPr>
    </w:p>
    <w:p>
      <w:pPr>
        <w:pStyle w:val="Heading2"/>
      </w:pPr>
      <w:r>
        <w:t>2. Findings, in descending order of value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454"/>
            <w:shd w:val="clear" w:color="auto" w:fill="0B2E4F"/>
          </w:tcPr>
          <w:p>
            <w:r/>
            <w:r>
              <w:rPr>
                <w:b/>
                <w:color w:val="FFFFFF"/>
                <w:sz w:val="17"/>
              </w:rPr>
              <w:t>#</w:t>
            </w:r>
          </w:p>
        </w:tc>
        <w:tc>
          <w:tcPr>
            <w:tcW w:type="dxa" w:w="2608"/>
            <w:shd w:val="clear" w:color="auto" w:fill="0B2E4F"/>
          </w:tcPr>
          <w:p>
            <w:r/>
            <w:r>
              <w:rPr>
                <w:b/>
                <w:color w:val="FFFFFF"/>
                <w:sz w:val="17"/>
              </w:rPr>
              <w:t>Scheme</w:t>
            </w:r>
          </w:p>
        </w:tc>
        <w:tc>
          <w:tcPr>
            <w:tcW w:type="dxa" w:w="850"/>
            <w:shd w:val="clear" w:color="auto" w:fill="0B2E4F"/>
          </w:tcPr>
          <w:p>
            <w:r/>
            <w:r>
              <w:rPr>
                <w:b/>
                <w:color w:val="FFFFFF"/>
                <w:sz w:val="17"/>
              </w:rPr>
              <w:t>Lines</w:t>
            </w:r>
          </w:p>
        </w:tc>
        <w:tc>
          <w:tcPr>
            <w:tcW w:type="dxa" w:w="1474"/>
            <w:shd w:val="clear" w:color="auto" w:fill="0B2E4F"/>
          </w:tcPr>
          <w:p>
            <w:r/>
            <w:r>
              <w:rPr>
                <w:b/>
                <w:color w:val="FFFFFF"/>
                <w:sz w:val="17"/>
              </w:rPr>
              <w:t>Total value</w:t>
            </w:r>
          </w:p>
        </w:tc>
        <w:tc>
          <w:tcPr>
            <w:tcW w:type="dxa" w:w="1474"/>
            <w:shd w:val="clear" w:color="auto" w:fill="0B2E4F"/>
          </w:tcPr>
          <w:p>
            <w:r/>
            <w:r>
              <w:rPr>
                <w:b/>
                <w:color w:val="FFFFFF"/>
                <w:sz w:val="17"/>
              </w:rPr>
              <w:t>Amount at risk</w:t>
            </w:r>
          </w:p>
        </w:tc>
        <w:tc>
          <w:tcPr>
            <w:tcW w:type="dxa" w:w="2835"/>
            <w:shd w:val="clear" w:color="auto" w:fill="0B2E4F"/>
          </w:tcPr>
          <w:p>
            <w:r/>
            <w:r>
              <w:rPr>
                <w:b/>
                <w:color w:val="FFFFFF"/>
                <w:sz w:val="17"/>
              </w:rPr>
              <w:t>Basis of the amount at risk</w:t>
            </w:r>
          </w:p>
        </w:tc>
      </w:tr>
      <w:tr>
        <w:tc>
          <w:tcPr>
            <w:tcW w:type="dxa" w:w="454"/>
          </w:tcPr>
          <w:p>
            <w:pPr>
              <w:spacing w:after="20"/>
            </w:pPr>
            <w:r/>
            <w:r>
              <w:rPr>
                <w:b w:val="0"/>
                <w:sz w:val="17"/>
              </w:rPr>
              <w:t>1</w:t>
            </w:r>
          </w:p>
        </w:tc>
        <w:tc>
          <w:tcPr>
            <w:tcW w:type="dxa" w:w="2608"/>
          </w:tcPr>
          <w:p>
            <w:pPr>
              <w:spacing w:after="20"/>
            </w:pPr>
            <w:r/>
            <w:r>
              <w:rPr>
                <w:b w:val="0"/>
                <w:sz w:val="17"/>
              </w:rPr>
              <w:t>T02 Related-party / ghost vendors</w:t>
            </w:r>
          </w:p>
        </w:tc>
        <w:tc>
          <w:tcPr>
            <w:tcW w:type="dxa" w:w="850"/>
          </w:tcPr>
          <w:p>
            <w:pPr>
              <w:spacing w:after="20"/>
              <w:jc w:val="right"/>
            </w:pPr>
            <w:r/>
            <w:r>
              <w:rPr>
                <w:b w:val="0"/>
                <w:sz w:val="17"/>
              </w:rPr>
              <w:t>15</w:t>
            </w:r>
          </w:p>
        </w:tc>
        <w:tc>
          <w:tcPr>
            <w:tcW w:type="dxa" w:w="1474"/>
          </w:tcPr>
          <w:p>
            <w:pPr>
              <w:spacing w:after="20"/>
              <w:jc w:val="right"/>
            </w:pPr>
            <w:r/>
            <w:r>
              <w:rPr>
                <w:b w:val="0"/>
                <w:sz w:val="17"/>
              </w:rPr>
              <w:t>$445,568.39</w:t>
            </w:r>
          </w:p>
        </w:tc>
        <w:tc>
          <w:tcPr>
            <w:tcW w:type="dxa" w:w="1474"/>
          </w:tcPr>
          <w:p>
            <w:pPr>
              <w:spacing w:after="20"/>
              <w:jc w:val="right"/>
            </w:pPr>
            <w:r/>
            <w:r>
              <w:rPr>
                <w:b w:val="0"/>
                <w:sz w:val="17"/>
              </w:rPr>
              <w:t>$445,568.39</w:t>
            </w:r>
          </w:p>
        </w:tc>
        <w:tc>
          <w:tcPr>
            <w:tcW w:type="dxa" w:w="2835"/>
          </w:tcPr>
          <w:p>
            <w:pPr>
              <w:spacing w:after="20"/>
            </w:pPr>
            <w:r/>
            <w:r>
              <w:rPr>
                <w:b w:val="0"/>
                <w:sz w:val="17"/>
              </w:rPr>
              <w:t>The full amount paid to a vendor the master identifies as employee-linked is at risk until ownership, contract and delivery are corroborated.</w:t>
            </w:r>
          </w:p>
        </w:tc>
      </w:tr>
      <w:tr>
        <w:tc>
          <w:tcPr>
            <w:tcW w:type="dxa" w:w="454"/>
            <w:shd w:val="clear" w:color="auto" w:fill="F5F8FA"/>
          </w:tcPr>
          <w:p>
            <w:pPr>
              <w:spacing w:after="20"/>
            </w:pPr>
            <w:r/>
            <w:r>
              <w:rPr>
                <w:b w:val="0"/>
                <w:sz w:val="17"/>
              </w:rPr>
              <w:t>2</w:t>
            </w:r>
          </w:p>
        </w:tc>
        <w:tc>
          <w:tcPr>
            <w:tcW w:type="dxa" w:w="2608"/>
            <w:shd w:val="clear" w:color="auto" w:fill="F5F8FA"/>
          </w:tcPr>
          <w:p>
            <w:pPr>
              <w:spacing w:after="20"/>
            </w:pPr>
            <w:r/>
            <w:r>
              <w:rPr>
                <w:b w:val="0"/>
                <w:sz w:val="17"/>
              </w:rPr>
              <w:t>T05 Weekend and after-hours journals</w:t>
            </w:r>
          </w:p>
        </w:tc>
        <w:tc>
          <w:tcPr>
            <w:tcW w:type="dxa" w:w="850"/>
            <w:shd w:val="clear" w:color="auto" w:fill="F5F8FA"/>
          </w:tcPr>
          <w:p>
            <w:pPr>
              <w:spacing w:after="20"/>
              <w:jc w:val="right"/>
            </w:pPr>
            <w:r/>
            <w:r>
              <w:rPr>
                <w:b w:val="0"/>
                <w:sz w:val="17"/>
              </w:rPr>
              <w:t>21</w:t>
            </w:r>
          </w:p>
        </w:tc>
        <w:tc>
          <w:tcPr>
            <w:tcW w:type="dxa" w:w="1474"/>
            <w:shd w:val="clear" w:color="auto" w:fill="F5F8FA"/>
          </w:tcPr>
          <w:p>
            <w:pPr>
              <w:spacing w:after="20"/>
              <w:jc w:val="right"/>
            </w:pPr>
            <w:r/>
            <w:r>
              <w:rPr>
                <w:b w:val="0"/>
                <w:sz w:val="17"/>
              </w:rPr>
              <w:t>$406,300.00</w:t>
            </w:r>
          </w:p>
        </w:tc>
        <w:tc>
          <w:tcPr>
            <w:tcW w:type="dxa" w:w="1474"/>
            <w:shd w:val="clear" w:color="auto" w:fill="F5F8FA"/>
          </w:tcPr>
          <w:p>
            <w:pPr>
              <w:spacing w:after="20"/>
              <w:jc w:val="right"/>
            </w:pPr>
            <w:r/>
            <w:r>
              <w:rPr>
                <w:b w:val="0"/>
                <w:sz w:val="17"/>
              </w:rPr>
              <w:t>$406,300.00</w:t>
            </w:r>
          </w:p>
        </w:tc>
        <w:tc>
          <w:tcPr>
            <w:tcW w:type="dxa" w:w="2835"/>
            <w:shd w:val="clear" w:color="auto" w:fill="F5F8FA"/>
          </w:tcPr>
          <w:p>
            <w:pPr>
              <w:spacing w:after="20"/>
            </w:pPr>
            <w:r/>
            <w:r>
              <w:rPr>
                <w:b w:val="0"/>
                <w:sz w:val="17"/>
              </w:rPr>
              <w:t>Full amount of each unapproved manual journal posted outside business hours against the suspense account; no supporting document was identified.</w:t>
            </w:r>
          </w:p>
        </w:tc>
      </w:tr>
      <w:tr>
        <w:tc>
          <w:tcPr>
            <w:tcW w:type="dxa" w:w="454"/>
          </w:tcPr>
          <w:p>
            <w:pPr>
              <w:spacing w:after="20"/>
            </w:pPr>
            <w:r/>
            <w:r>
              <w:rPr>
                <w:b w:val="0"/>
                <w:sz w:val="17"/>
              </w:rPr>
              <w:t>3</w:t>
            </w:r>
          </w:p>
        </w:tc>
        <w:tc>
          <w:tcPr>
            <w:tcW w:type="dxa" w:w="2608"/>
          </w:tcPr>
          <w:p>
            <w:pPr>
              <w:spacing w:after="20"/>
            </w:pPr>
            <w:r/>
            <w:r>
              <w:rPr>
                <w:b w:val="0"/>
                <w:sz w:val="17"/>
              </w:rPr>
              <w:t>T01 Duplicate payments</w:t>
            </w:r>
          </w:p>
        </w:tc>
        <w:tc>
          <w:tcPr>
            <w:tcW w:type="dxa" w:w="850"/>
          </w:tcPr>
          <w:p>
            <w:pPr>
              <w:spacing w:after="20"/>
              <w:jc w:val="right"/>
            </w:pPr>
            <w:r/>
            <w:r>
              <w:rPr>
                <w:b w:val="0"/>
                <w:sz w:val="17"/>
              </w:rPr>
              <w:t>42</w:t>
            </w:r>
          </w:p>
        </w:tc>
        <w:tc>
          <w:tcPr>
            <w:tcW w:type="dxa" w:w="1474"/>
          </w:tcPr>
          <w:p>
            <w:pPr>
              <w:spacing w:after="20"/>
              <w:jc w:val="right"/>
            </w:pPr>
            <w:r/>
            <w:r>
              <w:rPr>
                <w:b w:val="0"/>
                <w:sz w:val="17"/>
              </w:rPr>
              <w:t>$368,023.48</w:t>
            </w:r>
          </w:p>
        </w:tc>
        <w:tc>
          <w:tcPr>
            <w:tcW w:type="dxa" w:w="1474"/>
          </w:tcPr>
          <w:p>
            <w:pPr>
              <w:spacing w:after="20"/>
              <w:jc w:val="right"/>
            </w:pPr>
            <w:r/>
            <w:r>
              <w:rPr>
                <w:b w:val="0"/>
                <w:sz w:val="17"/>
              </w:rPr>
              <w:t>$184,011.74</w:t>
            </w:r>
          </w:p>
        </w:tc>
        <w:tc>
          <w:tcPr>
            <w:tcW w:type="dxa" w:w="2835"/>
          </w:tcPr>
          <w:p>
            <w:pPr>
              <w:spacing w:after="20"/>
            </w:pPr>
            <w:r/>
            <w:r>
              <w:rPr>
                <w:b w:val="0"/>
                <w:sz w:val="17"/>
              </w:rPr>
              <w:t>Half of each duplicated pair - the second payment of the same supplier invoice - is at risk pending the supplier statement and remittance advice.</w:t>
            </w:r>
          </w:p>
        </w:tc>
      </w:tr>
      <w:tr>
        <w:tc>
          <w:tcPr>
            <w:tcW w:type="dxa" w:w="454"/>
            <w:shd w:val="clear" w:color="auto" w:fill="F5F8FA"/>
          </w:tcPr>
          <w:p>
            <w:pPr>
              <w:spacing w:after="20"/>
            </w:pPr>
            <w:r/>
            <w:r>
              <w:rPr>
                <w:b w:val="0"/>
                <w:sz w:val="17"/>
              </w:rPr>
              <w:t>4</w:t>
            </w:r>
          </w:p>
        </w:tc>
        <w:tc>
          <w:tcPr>
            <w:tcW w:type="dxa" w:w="2608"/>
            <w:shd w:val="clear" w:color="auto" w:fill="F5F8FA"/>
          </w:tcPr>
          <w:p>
            <w:pPr>
              <w:spacing w:after="20"/>
            </w:pPr>
            <w:r/>
            <w:r>
              <w:rPr>
                <w:b w:val="0"/>
                <w:sz w:val="17"/>
              </w:rPr>
              <w:t>T06 Segregation of duties - user / account matrix</w:t>
            </w:r>
          </w:p>
        </w:tc>
        <w:tc>
          <w:tcPr>
            <w:tcW w:type="dxa" w:w="850"/>
            <w:shd w:val="clear" w:color="auto" w:fill="F5F8FA"/>
          </w:tcPr>
          <w:p>
            <w:pPr>
              <w:spacing w:after="20"/>
              <w:jc w:val="right"/>
            </w:pPr>
            <w:r/>
            <w:r>
              <w:rPr>
                <w:b w:val="0"/>
                <w:sz w:val="17"/>
              </w:rPr>
              <w:t>15</w:t>
            </w:r>
          </w:p>
        </w:tc>
        <w:tc>
          <w:tcPr>
            <w:tcW w:type="dxa" w:w="1474"/>
            <w:shd w:val="clear" w:color="auto" w:fill="F5F8FA"/>
          </w:tcPr>
          <w:p>
            <w:pPr>
              <w:spacing w:after="20"/>
              <w:jc w:val="right"/>
            </w:pPr>
            <w:r/>
            <w:r>
              <w:rPr>
                <w:b w:val="0"/>
                <w:sz w:val="17"/>
              </w:rPr>
              <w:t>$279,600.00</w:t>
            </w:r>
          </w:p>
        </w:tc>
        <w:tc>
          <w:tcPr>
            <w:tcW w:type="dxa" w:w="1474"/>
            <w:shd w:val="clear" w:color="auto" w:fill="F5F8FA"/>
          </w:tcPr>
          <w:p>
            <w:pPr>
              <w:spacing w:after="20"/>
              <w:jc w:val="right"/>
            </w:pPr>
            <w:r/>
            <w:r>
              <w:rPr>
                <w:b w:val="0"/>
                <w:sz w:val="17"/>
              </w:rPr>
              <w:t>$279,600.00</w:t>
            </w:r>
          </w:p>
        </w:tc>
        <w:tc>
          <w:tcPr>
            <w:tcW w:type="dxa" w:w="2835"/>
            <w:shd w:val="clear" w:color="auto" w:fill="F5F8FA"/>
          </w:tcPr>
          <w:p>
            <w:pPr>
              <w:spacing w:after="20"/>
            </w:pPr>
            <w:r/>
            <w:r>
              <w:rPr>
                <w:b w:val="0"/>
                <w:sz w:val="17"/>
              </w:rPr>
              <w:t>Full amount of each credit note posted by a user whose role does not authorise revenue entries.</w:t>
            </w:r>
          </w:p>
        </w:tc>
      </w:tr>
      <w:tr>
        <w:tc>
          <w:tcPr>
            <w:tcW w:type="dxa" w:w="454"/>
          </w:tcPr>
          <w:p>
            <w:pPr>
              <w:spacing w:after="20"/>
            </w:pPr>
            <w:r/>
            <w:r>
              <w:rPr>
                <w:b w:val="0"/>
                <w:sz w:val="17"/>
              </w:rPr>
              <w:t>5</w:t>
            </w:r>
          </w:p>
        </w:tc>
        <w:tc>
          <w:tcPr>
            <w:tcW w:type="dxa" w:w="2608"/>
          </w:tcPr>
          <w:p>
            <w:pPr>
              <w:spacing w:after="20"/>
            </w:pPr>
            <w:r/>
            <w:r>
              <w:rPr>
                <w:b w:val="0"/>
                <w:sz w:val="17"/>
              </w:rPr>
              <w:t>T04 Split purchases (structuring)</w:t>
            </w:r>
          </w:p>
        </w:tc>
        <w:tc>
          <w:tcPr>
            <w:tcW w:type="dxa" w:w="850"/>
          </w:tcPr>
          <w:p>
            <w:pPr>
              <w:spacing w:after="20"/>
              <w:jc w:val="right"/>
            </w:pPr>
            <w:r/>
            <w:r>
              <w:rPr>
                <w:b w:val="0"/>
                <w:sz w:val="17"/>
              </w:rPr>
              <w:t>42</w:t>
            </w:r>
          </w:p>
        </w:tc>
        <w:tc>
          <w:tcPr>
            <w:tcW w:type="dxa" w:w="1474"/>
          </w:tcPr>
          <w:p>
            <w:pPr>
              <w:spacing w:after="20"/>
              <w:jc w:val="right"/>
            </w:pPr>
            <w:r/>
            <w:r>
              <w:rPr>
                <w:b w:val="0"/>
                <w:sz w:val="17"/>
              </w:rPr>
              <w:t>$223,924.68</w:t>
            </w:r>
          </w:p>
        </w:tc>
        <w:tc>
          <w:tcPr>
            <w:tcW w:type="dxa" w:w="1474"/>
          </w:tcPr>
          <w:p>
            <w:pPr>
              <w:spacing w:after="20"/>
              <w:jc w:val="right"/>
            </w:pPr>
            <w:r/>
            <w:r>
              <w:rPr>
                <w:b w:val="0"/>
                <w:sz w:val="17"/>
              </w:rPr>
              <w:t>$223,924.68</w:t>
            </w:r>
          </w:p>
        </w:tc>
        <w:tc>
          <w:tcPr>
            <w:tcW w:type="dxa" w:w="2835"/>
          </w:tcPr>
          <w:p>
            <w:pPr>
              <w:spacing w:after="20"/>
            </w:pPr>
            <w:r/>
            <w:r>
              <w:rPr>
                <w:b w:val="0"/>
                <w:sz w:val="17"/>
              </w:rPr>
              <w:t>Full amount of each split pair: the combined commitment exceeded the purchase-order threshold and carries no approval for the combined amount.</w:t>
            </w:r>
          </w:p>
        </w:tc>
      </w:tr>
      <w:tr>
        <w:tc>
          <w:tcPr>
            <w:tcW w:type="dxa" w:w="454"/>
            <w:shd w:val="clear" w:color="auto" w:fill="F5F8FA"/>
          </w:tcPr>
          <w:p>
            <w:pPr>
              <w:spacing w:after="20"/>
            </w:pPr>
            <w:r/>
            <w:r>
              <w:rPr>
                <w:b w:val="0"/>
                <w:sz w:val="17"/>
              </w:rPr>
              <w:t>6</w:t>
            </w:r>
          </w:p>
        </w:tc>
        <w:tc>
          <w:tcPr>
            <w:tcW w:type="dxa" w:w="2608"/>
            <w:shd w:val="clear" w:color="auto" w:fill="F5F8FA"/>
          </w:tcPr>
          <w:p>
            <w:pPr>
              <w:spacing w:after="20"/>
            </w:pPr>
            <w:r/>
            <w:r>
              <w:rPr>
                <w:b w:val="0"/>
                <w:sz w:val="17"/>
              </w:rPr>
              <w:t>T03 Approval-threshold avoidance</w:t>
            </w:r>
          </w:p>
        </w:tc>
        <w:tc>
          <w:tcPr>
            <w:tcW w:type="dxa" w:w="850"/>
            <w:shd w:val="clear" w:color="auto" w:fill="F5F8FA"/>
          </w:tcPr>
          <w:p>
            <w:pPr>
              <w:spacing w:after="20"/>
              <w:jc w:val="right"/>
            </w:pPr>
            <w:r/>
            <w:r>
              <w:rPr>
                <w:b w:val="0"/>
                <w:sz w:val="17"/>
              </w:rPr>
              <w:t>30</w:t>
            </w:r>
          </w:p>
        </w:tc>
        <w:tc>
          <w:tcPr>
            <w:tcW w:type="dxa" w:w="1474"/>
            <w:shd w:val="clear" w:color="auto" w:fill="F5F8FA"/>
          </w:tcPr>
          <w:p>
            <w:pPr>
              <w:spacing w:after="20"/>
              <w:jc w:val="right"/>
            </w:pPr>
            <w:r/>
            <w:r>
              <w:rPr>
                <w:b w:val="0"/>
                <w:sz w:val="17"/>
              </w:rPr>
              <w:t>$207,720.00</w:t>
            </w:r>
          </w:p>
        </w:tc>
        <w:tc>
          <w:tcPr>
            <w:tcW w:type="dxa" w:w="1474"/>
            <w:shd w:val="clear" w:color="auto" w:fill="F5F8FA"/>
          </w:tcPr>
          <w:p>
            <w:pPr>
              <w:spacing w:after="20"/>
              <w:jc w:val="right"/>
            </w:pPr>
            <w:r/>
            <w:r>
              <w:rPr>
                <w:b w:val="0"/>
                <w:sz w:val="17"/>
              </w:rPr>
              <w:t>$207,720.00</w:t>
            </w:r>
          </w:p>
        </w:tc>
        <w:tc>
          <w:tcPr>
            <w:tcW w:type="dxa" w:w="2835"/>
            <w:shd w:val="clear" w:color="auto" w:fill="F5F8FA"/>
          </w:tcPr>
          <w:p>
            <w:pPr>
              <w:spacing w:after="20"/>
            </w:pPr>
            <w:r/>
            <w:r>
              <w:rPr>
                <w:b w:val="0"/>
                <w:sz w:val="17"/>
              </w:rPr>
              <w:t>Full amount: each payment sits immediately below an approval limit with no purchase order identified on file.</w:t>
            </w:r>
          </w:p>
        </w:tc>
      </w:tr>
      <w:tr>
        <w:tc>
          <w:tcPr>
            <w:tcW w:type="dxa" w:w="454"/>
          </w:tcPr>
          <w:p>
            <w:pPr>
              <w:spacing w:after="20"/>
            </w:pPr>
            <w:r/>
            <w:r>
              <w:rPr>
                <w:b w:val="0"/>
                <w:sz w:val="17"/>
              </w:rPr>
              <w:t>7</w:t>
            </w:r>
          </w:p>
        </w:tc>
        <w:tc>
          <w:tcPr>
            <w:tcW w:type="dxa" w:w="2608"/>
          </w:tcPr>
          <w:p>
            <w:pPr>
              <w:spacing w:after="20"/>
            </w:pPr>
            <w:r/>
            <w:r>
              <w:rPr>
                <w:b w:val="0"/>
                <w:sz w:val="17"/>
              </w:rPr>
              <w:t>T07 Unreversed accruals and prepayment amortisation</w:t>
            </w:r>
          </w:p>
        </w:tc>
        <w:tc>
          <w:tcPr>
            <w:tcW w:type="dxa" w:w="850"/>
          </w:tcPr>
          <w:p>
            <w:pPr>
              <w:spacing w:after="20"/>
              <w:jc w:val="right"/>
            </w:pPr>
            <w:r/>
            <w:r>
              <w:rPr>
                <w:b w:val="0"/>
                <w:sz w:val="17"/>
              </w:rPr>
              <w:t>6</w:t>
            </w:r>
          </w:p>
        </w:tc>
        <w:tc>
          <w:tcPr>
            <w:tcW w:type="dxa" w:w="1474"/>
          </w:tcPr>
          <w:p>
            <w:pPr>
              <w:spacing w:after="20"/>
              <w:jc w:val="right"/>
            </w:pPr>
            <w:r/>
            <w:r>
              <w:rPr>
                <w:b w:val="0"/>
                <w:sz w:val="17"/>
              </w:rPr>
              <w:t>$14,400.00</w:t>
            </w:r>
          </w:p>
        </w:tc>
        <w:tc>
          <w:tcPr>
            <w:tcW w:type="dxa" w:w="1474"/>
          </w:tcPr>
          <w:p>
            <w:pPr>
              <w:spacing w:after="20"/>
              <w:jc w:val="right"/>
            </w:pPr>
            <w:r/>
            <w:r>
              <w:rPr>
                <w:b w:val="0"/>
                <w:sz w:val="17"/>
              </w:rPr>
              <w:t>$14,400.00</w:t>
            </w:r>
          </w:p>
        </w:tc>
        <w:tc>
          <w:tcPr>
            <w:tcW w:type="dxa" w:w="2835"/>
          </w:tcPr>
          <w:p>
            <w:pPr>
              <w:spacing w:after="20"/>
            </w:pPr>
            <w:r/>
            <w:r>
              <w:rPr>
                <w:b w:val="0"/>
                <w:sz w:val="17"/>
              </w:rPr>
              <w:t>Full amount of each prepayment release with no reversing entry in the following 60 days.</w:t>
            </w:r>
          </w:p>
        </w:tc>
      </w:tr>
      <w:tr>
        <w:tc>
          <w:tcPr>
            <w:tcW w:type="dxa" w:w="454"/>
            <w:shd w:val="clear" w:color="auto" w:fill="F5F8FA"/>
            <w:shd w:val="clear" w:color="auto" w:fill="FDECEA"/>
          </w:tcPr>
          <w:p>
            <w:pPr>
              <w:spacing w:after="20"/>
            </w:pPr>
            <w:r/>
            <w:r>
              <w:rPr>
                <w:b w:val="0"/>
                <w:sz w:val="17"/>
              </w:rPr>
            </w:r>
          </w:p>
        </w:tc>
        <w:tc>
          <w:tcPr>
            <w:tcW w:type="dxa" w:w="2608"/>
            <w:shd w:val="clear" w:color="auto" w:fill="F5F8FA"/>
            <w:shd w:val="clear" w:color="auto" w:fill="FDECEA"/>
          </w:tcPr>
          <w:p>
            <w:pPr>
              <w:spacing w:after="20"/>
            </w:pPr>
            <w:r/>
            <w:r>
              <w:rPr>
                <w:b/>
                <w:sz w:val="17"/>
              </w:rPr>
              <w:t>Total</w:t>
            </w:r>
          </w:p>
        </w:tc>
        <w:tc>
          <w:tcPr>
            <w:tcW w:type="dxa" w:w="850"/>
            <w:shd w:val="clear" w:color="auto" w:fill="F5F8FA"/>
            <w:shd w:val="clear" w:color="auto" w:fill="FDECEA"/>
          </w:tcPr>
          <w:p>
            <w:pPr>
              <w:spacing w:after="20"/>
              <w:jc w:val="right"/>
            </w:pPr>
            <w:r/>
            <w:r>
              <w:rPr>
                <w:b/>
                <w:sz w:val="17"/>
              </w:rPr>
              <w:t>171</w:t>
            </w:r>
          </w:p>
        </w:tc>
        <w:tc>
          <w:tcPr>
            <w:tcW w:type="dxa" w:w="1474"/>
            <w:shd w:val="clear" w:color="auto" w:fill="F5F8FA"/>
            <w:shd w:val="clear" w:color="auto" w:fill="FDECEA"/>
          </w:tcPr>
          <w:p>
            <w:pPr>
              <w:spacing w:after="20"/>
              <w:jc w:val="right"/>
            </w:pPr>
            <w:r/>
            <w:r>
              <w:rPr>
                <w:b/>
                <w:sz w:val="17"/>
              </w:rPr>
              <w:t>$1,945,536.55</w:t>
            </w:r>
          </w:p>
        </w:tc>
        <w:tc>
          <w:tcPr>
            <w:tcW w:type="dxa" w:w="1474"/>
            <w:shd w:val="clear" w:color="auto" w:fill="F5F8FA"/>
            <w:shd w:val="clear" w:color="auto" w:fill="FDECEA"/>
          </w:tcPr>
          <w:p>
            <w:pPr>
              <w:spacing w:after="20"/>
              <w:jc w:val="right"/>
            </w:pPr>
            <w:r/>
            <w:r>
              <w:rPr>
                <w:b/>
                <w:sz w:val="17"/>
              </w:rPr>
              <w:t>$1,761,524.81</w:t>
            </w:r>
          </w:p>
        </w:tc>
        <w:tc>
          <w:tcPr>
            <w:tcW w:type="dxa" w:w="2835"/>
            <w:shd w:val="clear" w:color="auto" w:fill="F5F8FA"/>
            <w:shd w:val="clear" w:color="auto" w:fill="FDECEA"/>
          </w:tcPr>
          <w:p>
            <w:pPr>
              <w:spacing w:after="20"/>
            </w:pPr>
            <w:r/>
            <w:r>
              <w:rPr>
                <w:b w:val="0"/>
                <w:sz w:val="17"/>
              </w:rPr>
            </w:r>
          </w:p>
        </w:tc>
      </w:tr>
    </w:tbl>
    <w:p>
      <w:pPr>
        <w:spacing w:after="40"/>
      </w:pPr>
    </w:p>
    <w:p>
      <w:pPr>
        <w:pStyle w:val="Heading2"/>
      </w:pPr>
      <w:r>
        <w:t>3. The three amounts, stated explicitly</w:t>
      </w:r>
    </w:p>
    <w:tbl>
      <w:tblPr>
        <w:tblStyle w:val="TableGrid"/>
        <w:tblW w:type="auto" w:w="0"/>
        <w:jc w:val="center"/>
        <w:tblLook w:firstColumn="1" w:firstRow="1" w:lastColumn="0" w:lastRow="0" w:noHBand="0" w:noVBand="1" w:val="04A0"/>
      </w:tblPr>
      <w:tblGrid>
        <w:gridCol w:w="3324"/>
        <w:gridCol w:w="3324"/>
        <w:gridCol w:w="3324"/>
      </w:tblGrid>
      <w:tr>
        <w:tc>
          <w:tcPr>
            <w:tcW w:type="dxa" w:w="2041"/>
            <w:shd w:val="clear" w:color="auto" w:fill="0B2E4F"/>
          </w:tcPr>
          <w:p>
            <w:r/>
            <w:r>
              <w:rPr>
                <w:b/>
                <w:color w:val="FFFFFF"/>
                <w:sz w:val="17"/>
              </w:rPr>
              <w:t>Term</w:t>
            </w:r>
          </w:p>
        </w:tc>
        <w:tc>
          <w:tcPr>
            <w:tcW w:type="dxa" w:w="5102"/>
            <w:shd w:val="clear" w:color="auto" w:fill="0B2E4F"/>
          </w:tcPr>
          <w:p>
            <w:r/>
            <w:r>
              <w:rPr>
                <w:b/>
                <w:color w:val="FFFFFF"/>
                <w:sz w:val="17"/>
              </w:rPr>
              <w:t>Meaning</w:t>
            </w:r>
          </w:p>
        </w:tc>
        <w:tc>
          <w:tcPr>
            <w:tcW w:type="dxa" w:w="2494"/>
            <w:shd w:val="clear" w:color="auto" w:fill="0B2E4F"/>
          </w:tcPr>
          <w:p>
            <w:r/>
            <w:r>
              <w:rPr>
                <w:b/>
                <w:color w:val="FFFFFF"/>
                <w:sz w:val="17"/>
              </w:rPr>
              <w:t>Amount</w:t>
            </w:r>
          </w:p>
        </w:tc>
      </w:tr>
      <w:tr>
        <w:tc>
          <w:tcPr>
            <w:tcW w:type="dxa" w:w="2041"/>
          </w:tcPr>
          <w:p>
            <w:pPr>
              <w:spacing w:after="20"/>
            </w:pPr>
            <w:r/>
            <w:r>
              <w:rPr>
                <w:b w:val="0"/>
                <w:sz w:val="18"/>
              </w:rPr>
              <w:t>Total value of exceptions</w:t>
            </w:r>
          </w:p>
        </w:tc>
        <w:tc>
          <w:tcPr>
            <w:tcW w:type="dxa" w:w="5102"/>
          </w:tcPr>
          <w:p>
            <w:pPr>
              <w:spacing w:after="20"/>
            </w:pPr>
            <w:r/>
            <w:r>
              <w:rPr>
                <w:b w:val="0"/>
                <w:sz w:val="18"/>
              </w:rPr>
              <w:t>The full value of every flagged transaction, counted once</w:t>
            </w:r>
          </w:p>
        </w:tc>
        <w:tc>
          <w:tcPr>
            <w:tcW w:type="dxa" w:w="2494"/>
          </w:tcPr>
          <w:p>
            <w:pPr>
              <w:spacing w:after="20"/>
            </w:pPr>
            <w:r/>
            <w:r>
              <w:rPr>
                <w:b w:val="0"/>
                <w:sz w:val="18"/>
              </w:rPr>
              <w:t>$1,945,536.55</w:t>
            </w:r>
          </w:p>
        </w:tc>
      </w:tr>
      <w:tr>
        <w:tc>
          <w:tcPr>
            <w:tcW w:type="dxa" w:w="2041"/>
            <w:shd w:val="clear" w:color="auto" w:fill="F5F8FA"/>
          </w:tcPr>
          <w:p>
            <w:pPr>
              <w:spacing w:after="20"/>
            </w:pPr>
            <w:r/>
            <w:r>
              <w:rPr>
                <w:b w:val="0"/>
                <w:sz w:val="18"/>
              </w:rPr>
              <w:t>Amount at risk</w:t>
            </w:r>
          </w:p>
        </w:tc>
        <w:tc>
          <w:tcPr>
            <w:tcW w:type="dxa" w:w="5102"/>
            <w:shd w:val="clear" w:color="auto" w:fill="F5F8FA"/>
          </w:tcPr>
          <w:p>
            <w:pPr>
              <w:spacing w:after="20"/>
            </w:pPr>
            <w:r/>
            <w:r>
              <w:rPr>
                <w:b w:val="0"/>
                <w:sz w:val="18"/>
              </w:rPr>
              <w:t>The portion that would be lost if the exceptions are not explained: the second payment of each duplicate pair, and the full value of the other exceptions</w:t>
            </w:r>
          </w:p>
        </w:tc>
        <w:tc>
          <w:tcPr>
            <w:tcW w:type="dxa" w:w="2494"/>
            <w:shd w:val="clear" w:color="auto" w:fill="F5F8FA"/>
          </w:tcPr>
          <w:p>
            <w:pPr>
              <w:spacing w:after="20"/>
            </w:pPr>
            <w:r/>
            <w:r>
              <w:rPr>
                <w:b w:val="0"/>
                <w:sz w:val="18"/>
              </w:rPr>
              <w:t>$1,761,524.81</w:t>
            </w:r>
          </w:p>
        </w:tc>
      </w:tr>
      <w:tr>
        <w:tc>
          <w:tcPr>
            <w:tcW w:type="dxa" w:w="2041"/>
          </w:tcPr>
          <w:p>
            <w:pPr>
              <w:spacing w:after="20"/>
            </w:pPr>
            <w:r/>
            <w:r>
              <w:rPr>
                <w:b w:val="0"/>
                <w:sz w:val="18"/>
              </w:rPr>
              <w:t>Quantified loss</w:t>
            </w:r>
          </w:p>
        </w:tc>
        <w:tc>
          <w:tcPr>
            <w:tcW w:type="dxa" w:w="5102"/>
          </w:tcPr>
          <w:p>
            <w:pPr>
              <w:spacing w:after="20"/>
            </w:pPr>
            <w:r/>
            <w:r>
              <w:rPr>
                <w:b w:val="0"/>
                <w:sz w:val="18"/>
              </w:rPr>
              <w:t>The portion supported by documents obtained to date</w:t>
            </w:r>
          </w:p>
        </w:tc>
        <w:tc>
          <w:tcPr>
            <w:tcW w:type="dxa" w:w="2494"/>
          </w:tcPr>
          <w:p>
            <w:pPr>
              <w:spacing w:after="20"/>
            </w:pPr>
            <w:r/>
            <w:r>
              <w:rPr>
                <w:b w:val="0"/>
                <w:sz w:val="18"/>
              </w:rPr>
              <w:t>Nil - no document-level corroboration has been performed in this phase</w:t>
            </w:r>
          </w:p>
        </w:tc>
      </w:tr>
      <w:tr>
        <w:tc>
          <w:tcPr>
            <w:tcW w:type="dxa" w:w="2041"/>
            <w:shd w:val="clear" w:color="auto" w:fill="F5F8FA"/>
          </w:tcPr>
          <w:p>
            <w:pPr>
              <w:spacing w:after="20"/>
            </w:pPr>
            <w:r/>
            <w:r>
              <w:rPr>
                <w:b w:val="0"/>
                <w:sz w:val="18"/>
              </w:rPr>
              <w:t>Related-party exposure (context)</w:t>
            </w:r>
          </w:p>
        </w:tc>
        <w:tc>
          <w:tcPr>
            <w:tcW w:type="dxa" w:w="5102"/>
            <w:shd w:val="clear" w:color="auto" w:fill="F5F8FA"/>
          </w:tcPr>
          <w:p>
            <w:pPr>
              <w:spacing w:after="20"/>
            </w:pPr>
            <w:r/>
            <w:r>
              <w:rPr>
                <w:b w:val="0"/>
                <w:sz w:val="18"/>
              </w:rPr>
              <w:t>Total paid to the four employee-linked vendors, of which $445,568.39 bypassed approval</w:t>
            </w:r>
          </w:p>
        </w:tc>
        <w:tc>
          <w:tcPr>
            <w:tcW w:type="dxa" w:w="2494"/>
            <w:shd w:val="clear" w:color="auto" w:fill="F5F8FA"/>
          </w:tcPr>
          <w:p>
            <w:pPr>
              <w:spacing w:after="20"/>
            </w:pPr>
            <w:r/>
            <w:r>
              <w:rPr>
                <w:b w:val="0"/>
                <w:sz w:val="18"/>
              </w:rPr>
              <w:t>$2,773,799.20</w:t>
            </w:r>
          </w:p>
        </w:tc>
      </w:tr>
    </w:tbl>
    <w:p>
      <w:pPr>
        <w:spacing w:after="40"/>
      </w:pPr>
    </w:p>
    <w:p>
      <w:pPr>
        <w:spacing w:after="120"/>
      </w:pPr>
      <w:r>
        <w:rPr>
          <w:b/>
          <w:i w:val="0"/>
          <w:sz w:val="21"/>
        </w:rPr>
        <w:t>Estimated loss is not asserted anywhere in this pack. Data analytics identifies exceptions; it does not establish that money was lost, and it does not establish intent.</w:t>
      </w:r>
    </w:p>
    <w:p>
      <w:pPr>
        <w:pStyle w:val="Heading2"/>
      </w:pPr>
      <w:r>
        <w:t>4. Detection completeness</w:t>
      </w:r>
    </w:p>
    <w:p>
      <w:pPr>
        <w:spacing w:after="120"/>
      </w:pPr>
      <w:r>
        <w:rPr>
          <w:b w:val="0"/>
          <w:i w:val="0"/>
          <w:sz w:val="21"/>
        </w:rPr>
        <w:t>The extract carries an AnomalyLabel column. It was not used as a detection input. The tests were written from the rules above and run against the ledger; the label was then used only to prove that the programme is complete. The result:</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608"/>
            <w:shd w:val="clear" w:color="auto" w:fill="0B2E4F"/>
          </w:tcPr>
          <w:p>
            <w:r/>
            <w:r>
              <w:rPr>
                <w:b/>
                <w:color w:val="FFFFFF"/>
                <w:sz w:val="17"/>
              </w:rPr>
              <w:t>Scheme</w:t>
            </w:r>
          </w:p>
        </w:tc>
        <w:tc>
          <w:tcPr>
            <w:tcW w:type="dxa" w:w="1020"/>
            <w:shd w:val="clear" w:color="auto" w:fill="0B2E4F"/>
          </w:tcPr>
          <w:p>
            <w:r/>
            <w:r>
              <w:rPr>
                <w:b/>
                <w:color w:val="FFFFFF"/>
                <w:sz w:val="17"/>
              </w:rPr>
              <w:t>Test</w:t>
            </w:r>
          </w:p>
        </w:tc>
        <w:tc>
          <w:tcPr>
            <w:tcW w:type="dxa" w:w="1474"/>
            <w:shd w:val="clear" w:color="auto" w:fill="0B2E4F"/>
          </w:tcPr>
          <w:p>
            <w:r/>
            <w:r>
              <w:rPr>
                <w:b/>
                <w:color w:val="FFFFFF"/>
                <w:sz w:val="17"/>
              </w:rPr>
              <w:t>Expected journals</w:t>
            </w:r>
          </w:p>
        </w:tc>
        <w:tc>
          <w:tcPr>
            <w:tcW w:type="dxa" w:w="1134"/>
            <w:shd w:val="clear" w:color="auto" w:fill="0B2E4F"/>
          </w:tcPr>
          <w:p>
            <w:r/>
            <w:r>
              <w:rPr>
                <w:b/>
                <w:color w:val="FFFFFF"/>
                <w:sz w:val="17"/>
              </w:rPr>
              <w:t>Detected</w:t>
            </w:r>
          </w:p>
        </w:tc>
        <w:tc>
          <w:tcPr>
            <w:tcW w:type="dxa" w:w="1020"/>
            <w:shd w:val="clear" w:color="auto" w:fill="0B2E4F"/>
          </w:tcPr>
          <w:p>
            <w:r/>
            <w:r>
              <w:rPr>
                <w:b/>
                <w:color w:val="FFFFFF"/>
                <w:sz w:val="17"/>
              </w:rPr>
              <w:t>Missed</w:t>
            </w:r>
          </w:p>
        </w:tc>
        <w:tc>
          <w:tcPr>
            <w:tcW w:type="dxa" w:w="1134"/>
            <w:shd w:val="clear" w:color="auto" w:fill="0B2E4F"/>
          </w:tcPr>
          <w:p>
            <w:r/>
            <w:r>
              <w:rPr>
                <w:b/>
                <w:color w:val="FFFFFF"/>
                <w:sz w:val="17"/>
              </w:rPr>
              <w:t>Additional</w:t>
            </w:r>
          </w:p>
        </w:tc>
      </w:tr>
      <w:tr>
        <w:tc>
          <w:tcPr>
            <w:tcW w:type="dxa" w:w="2608"/>
          </w:tcPr>
          <w:p>
            <w:pPr>
              <w:spacing w:after="20"/>
            </w:pPr>
            <w:r/>
            <w:r>
              <w:rPr>
                <w:b w:val="0"/>
                <w:sz w:val="17"/>
              </w:rPr>
              <w:t>DUPLICATE-PAYMENT</w:t>
            </w:r>
          </w:p>
        </w:tc>
        <w:tc>
          <w:tcPr>
            <w:tcW w:type="dxa" w:w="1020"/>
          </w:tcPr>
          <w:p>
            <w:pPr>
              <w:spacing w:after="20"/>
            </w:pPr>
            <w:r/>
            <w:r>
              <w:rPr>
                <w:b w:val="0"/>
                <w:sz w:val="17"/>
              </w:rPr>
              <w:t>T01</w:t>
            </w:r>
          </w:p>
        </w:tc>
        <w:tc>
          <w:tcPr>
            <w:tcW w:type="dxa" w:w="1474"/>
          </w:tcPr>
          <w:p>
            <w:pPr>
              <w:spacing w:after="20"/>
              <w:jc w:val="right"/>
            </w:pPr>
            <w:r/>
            <w:r>
              <w:rPr>
                <w:b w:val="0"/>
                <w:sz w:val="17"/>
              </w:rPr>
              <w:t>42</w:t>
            </w:r>
          </w:p>
        </w:tc>
        <w:tc>
          <w:tcPr>
            <w:tcW w:type="dxa" w:w="1134"/>
          </w:tcPr>
          <w:p>
            <w:pPr>
              <w:spacing w:after="20"/>
              <w:jc w:val="right"/>
            </w:pPr>
            <w:r/>
            <w:r>
              <w:rPr>
                <w:b w:val="0"/>
                <w:sz w:val="17"/>
              </w:rPr>
              <w:t>42</w:t>
            </w:r>
          </w:p>
        </w:tc>
        <w:tc>
          <w:tcPr>
            <w:tcW w:type="dxa" w:w="1020"/>
          </w:tcPr>
          <w:p>
            <w:pPr>
              <w:spacing w:after="20"/>
              <w:jc w:val="right"/>
            </w:pPr>
            <w:r/>
            <w:r>
              <w:rPr>
                <w:b w:val="0"/>
                <w:sz w:val="17"/>
              </w:rPr>
              <w:t>0</w:t>
            </w:r>
          </w:p>
        </w:tc>
        <w:tc>
          <w:tcPr>
            <w:tcW w:type="dxa" w:w="1134"/>
          </w:tcPr>
          <w:p>
            <w:pPr>
              <w:spacing w:after="20"/>
              <w:jc w:val="right"/>
            </w:pPr>
            <w:r/>
            <w:r>
              <w:rPr>
                <w:b w:val="0"/>
                <w:sz w:val="17"/>
              </w:rPr>
              <w:t>0</w:t>
            </w:r>
          </w:p>
        </w:tc>
      </w:tr>
      <w:tr>
        <w:tc>
          <w:tcPr>
            <w:tcW w:type="dxa" w:w="2608"/>
            <w:shd w:val="clear" w:color="auto" w:fill="F5F8FA"/>
          </w:tcPr>
          <w:p>
            <w:pPr>
              <w:spacing w:after="20"/>
            </w:pPr>
            <w:r/>
            <w:r>
              <w:rPr>
                <w:b w:val="0"/>
                <w:sz w:val="17"/>
              </w:rPr>
              <w:t>GHOST-VENDOR</w:t>
            </w:r>
          </w:p>
        </w:tc>
        <w:tc>
          <w:tcPr>
            <w:tcW w:type="dxa" w:w="1020"/>
            <w:shd w:val="clear" w:color="auto" w:fill="F5F8FA"/>
          </w:tcPr>
          <w:p>
            <w:pPr>
              <w:spacing w:after="20"/>
            </w:pPr>
            <w:r/>
            <w:r>
              <w:rPr>
                <w:b w:val="0"/>
                <w:sz w:val="17"/>
              </w:rPr>
              <w:t>T02</w:t>
            </w:r>
          </w:p>
        </w:tc>
        <w:tc>
          <w:tcPr>
            <w:tcW w:type="dxa" w:w="1474"/>
            <w:shd w:val="clear" w:color="auto" w:fill="F5F8FA"/>
          </w:tcPr>
          <w:p>
            <w:pPr>
              <w:spacing w:after="20"/>
              <w:jc w:val="right"/>
            </w:pPr>
            <w:r/>
            <w:r>
              <w:rPr>
                <w:b w:val="0"/>
                <w:sz w:val="17"/>
              </w:rPr>
              <w:t>15</w:t>
            </w:r>
          </w:p>
        </w:tc>
        <w:tc>
          <w:tcPr>
            <w:tcW w:type="dxa" w:w="1134"/>
            <w:shd w:val="clear" w:color="auto" w:fill="F5F8FA"/>
          </w:tcPr>
          <w:p>
            <w:pPr>
              <w:spacing w:after="20"/>
              <w:jc w:val="right"/>
            </w:pPr>
            <w:r/>
            <w:r>
              <w:rPr>
                <w:b w:val="0"/>
                <w:sz w:val="17"/>
              </w:rPr>
              <w:t>15</w:t>
            </w:r>
          </w:p>
        </w:tc>
        <w:tc>
          <w:tcPr>
            <w:tcW w:type="dxa" w:w="1020"/>
            <w:shd w:val="clear" w:color="auto" w:fill="F5F8FA"/>
          </w:tcPr>
          <w:p>
            <w:pPr>
              <w:spacing w:after="20"/>
              <w:jc w:val="right"/>
            </w:pPr>
            <w:r/>
            <w:r>
              <w:rPr>
                <w:b w:val="0"/>
                <w:sz w:val="17"/>
              </w:rPr>
              <w:t>0</w:t>
            </w:r>
          </w:p>
        </w:tc>
        <w:tc>
          <w:tcPr>
            <w:tcW w:type="dxa" w:w="1134"/>
            <w:shd w:val="clear" w:color="auto" w:fill="F5F8FA"/>
          </w:tcPr>
          <w:p>
            <w:pPr>
              <w:spacing w:after="20"/>
              <w:jc w:val="right"/>
            </w:pPr>
            <w:r/>
            <w:r>
              <w:rPr>
                <w:b w:val="0"/>
                <w:sz w:val="17"/>
              </w:rPr>
              <w:t>0</w:t>
            </w:r>
          </w:p>
        </w:tc>
      </w:tr>
      <w:tr>
        <w:tc>
          <w:tcPr>
            <w:tcW w:type="dxa" w:w="2608"/>
          </w:tcPr>
          <w:p>
            <w:pPr>
              <w:spacing w:after="20"/>
            </w:pPr>
            <w:r/>
            <w:r>
              <w:rPr>
                <w:b w:val="0"/>
                <w:sz w:val="17"/>
              </w:rPr>
              <w:t>ROUND-NUMBER-THRESHOLD</w:t>
            </w:r>
          </w:p>
        </w:tc>
        <w:tc>
          <w:tcPr>
            <w:tcW w:type="dxa" w:w="1020"/>
          </w:tcPr>
          <w:p>
            <w:pPr>
              <w:spacing w:after="20"/>
            </w:pPr>
            <w:r/>
            <w:r>
              <w:rPr>
                <w:b w:val="0"/>
                <w:sz w:val="17"/>
              </w:rPr>
              <w:t>T03</w:t>
            </w:r>
          </w:p>
        </w:tc>
        <w:tc>
          <w:tcPr>
            <w:tcW w:type="dxa" w:w="1474"/>
          </w:tcPr>
          <w:p>
            <w:pPr>
              <w:spacing w:after="20"/>
              <w:jc w:val="right"/>
            </w:pPr>
            <w:r/>
            <w:r>
              <w:rPr>
                <w:b w:val="0"/>
                <w:sz w:val="17"/>
              </w:rPr>
              <w:t>30</w:t>
            </w:r>
          </w:p>
        </w:tc>
        <w:tc>
          <w:tcPr>
            <w:tcW w:type="dxa" w:w="1134"/>
          </w:tcPr>
          <w:p>
            <w:pPr>
              <w:spacing w:after="20"/>
              <w:jc w:val="right"/>
            </w:pPr>
            <w:r/>
            <w:r>
              <w:rPr>
                <w:b w:val="0"/>
                <w:sz w:val="17"/>
              </w:rPr>
              <w:t>30</w:t>
            </w:r>
          </w:p>
        </w:tc>
        <w:tc>
          <w:tcPr>
            <w:tcW w:type="dxa" w:w="1020"/>
          </w:tcPr>
          <w:p>
            <w:pPr>
              <w:spacing w:after="20"/>
              <w:jc w:val="right"/>
            </w:pPr>
            <w:r/>
            <w:r>
              <w:rPr>
                <w:b w:val="0"/>
                <w:sz w:val="17"/>
              </w:rPr>
              <w:t>0</w:t>
            </w:r>
          </w:p>
        </w:tc>
        <w:tc>
          <w:tcPr>
            <w:tcW w:type="dxa" w:w="1134"/>
          </w:tcPr>
          <w:p>
            <w:pPr>
              <w:spacing w:after="20"/>
              <w:jc w:val="right"/>
            </w:pPr>
            <w:r/>
            <w:r>
              <w:rPr>
                <w:b w:val="0"/>
                <w:sz w:val="17"/>
              </w:rPr>
              <w:t>0</w:t>
            </w:r>
          </w:p>
        </w:tc>
      </w:tr>
      <w:tr>
        <w:tc>
          <w:tcPr>
            <w:tcW w:type="dxa" w:w="2608"/>
            <w:shd w:val="clear" w:color="auto" w:fill="F5F8FA"/>
          </w:tcPr>
          <w:p>
            <w:pPr>
              <w:spacing w:after="20"/>
            </w:pPr>
            <w:r/>
            <w:r>
              <w:rPr>
                <w:b w:val="0"/>
                <w:sz w:val="17"/>
              </w:rPr>
              <w:t>SPLIT-PURCHASE</w:t>
            </w:r>
          </w:p>
        </w:tc>
        <w:tc>
          <w:tcPr>
            <w:tcW w:type="dxa" w:w="1020"/>
            <w:shd w:val="clear" w:color="auto" w:fill="F5F8FA"/>
          </w:tcPr>
          <w:p>
            <w:pPr>
              <w:spacing w:after="20"/>
            </w:pPr>
            <w:r/>
            <w:r>
              <w:rPr>
                <w:b w:val="0"/>
                <w:sz w:val="17"/>
              </w:rPr>
              <w:t>T04</w:t>
            </w:r>
          </w:p>
        </w:tc>
        <w:tc>
          <w:tcPr>
            <w:tcW w:type="dxa" w:w="1474"/>
            <w:shd w:val="clear" w:color="auto" w:fill="F5F8FA"/>
          </w:tcPr>
          <w:p>
            <w:pPr>
              <w:spacing w:after="20"/>
              <w:jc w:val="right"/>
            </w:pPr>
            <w:r/>
            <w:r>
              <w:rPr>
                <w:b w:val="0"/>
                <w:sz w:val="17"/>
              </w:rPr>
              <w:t>42</w:t>
            </w:r>
          </w:p>
        </w:tc>
        <w:tc>
          <w:tcPr>
            <w:tcW w:type="dxa" w:w="1134"/>
            <w:shd w:val="clear" w:color="auto" w:fill="F5F8FA"/>
          </w:tcPr>
          <w:p>
            <w:pPr>
              <w:spacing w:after="20"/>
              <w:jc w:val="right"/>
            </w:pPr>
            <w:r/>
            <w:r>
              <w:rPr>
                <w:b w:val="0"/>
                <w:sz w:val="17"/>
              </w:rPr>
              <w:t>42</w:t>
            </w:r>
          </w:p>
        </w:tc>
        <w:tc>
          <w:tcPr>
            <w:tcW w:type="dxa" w:w="1020"/>
            <w:shd w:val="clear" w:color="auto" w:fill="F5F8FA"/>
          </w:tcPr>
          <w:p>
            <w:pPr>
              <w:spacing w:after="20"/>
              <w:jc w:val="right"/>
            </w:pPr>
            <w:r/>
            <w:r>
              <w:rPr>
                <w:b w:val="0"/>
                <w:sz w:val="17"/>
              </w:rPr>
              <w:t>0</w:t>
            </w:r>
          </w:p>
        </w:tc>
        <w:tc>
          <w:tcPr>
            <w:tcW w:type="dxa" w:w="1134"/>
            <w:shd w:val="clear" w:color="auto" w:fill="F5F8FA"/>
          </w:tcPr>
          <w:p>
            <w:pPr>
              <w:spacing w:after="20"/>
              <w:jc w:val="right"/>
            </w:pPr>
            <w:r/>
            <w:r>
              <w:rPr>
                <w:b w:val="0"/>
                <w:sz w:val="17"/>
              </w:rPr>
              <w:t>0</w:t>
            </w:r>
          </w:p>
        </w:tc>
      </w:tr>
      <w:tr>
        <w:tc>
          <w:tcPr>
            <w:tcW w:type="dxa" w:w="2608"/>
          </w:tcPr>
          <w:p>
            <w:pPr>
              <w:spacing w:after="20"/>
            </w:pPr>
            <w:r/>
            <w:r>
              <w:rPr>
                <w:b w:val="0"/>
                <w:sz w:val="17"/>
              </w:rPr>
              <w:t>WEEKEND-AFTERHOURS</w:t>
            </w:r>
          </w:p>
        </w:tc>
        <w:tc>
          <w:tcPr>
            <w:tcW w:type="dxa" w:w="1020"/>
          </w:tcPr>
          <w:p>
            <w:pPr>
              <w:spacing w:after="20"/>
            </w:pPr>
            <w:r/>
            <w:r>
              <w:rPr>
                <w:b w:val="0"/>
                <w:sz w:val="17"/>
              </w:rPr>
              <w:t>T05</w:t>
            </w:r>
          </w:p>
        </w:tc>
        <w:tc>
          <w:tcPr>
            <w:tcW w:type="dxa" w:w="1474"/>
          </w:tcPr>
          <w:p>
            <w:pPr>
              <w:spacing w:after="20"/>
              <w:jc w:val="right"/>
            </w:pPr>
            <w:r/>
            <w:r>
              <w:rPr>
                <w:b w:val="0"/>
                <w:sz w:val="17"/>
              </w:rPr>
              <w:t>21</w:t>
            </w:r>
          </w:p>
        </w:tc>
        <w:tc>
          <w:tcPr>
            <w:tcW w:type="dxa" w:w="1134"/>
          </w:tcPr>
          <w:p>
            <w:pPr>
              <w:spacing w:after="20"/>
              <w:jc w:val="right"/>
            </w:pPr>
            <w:r/>
            <w:r>
              <w:rPr>
                <w:b w:val="0"/>
                <w:sz w:val="17"/>
              </w:rPr>
              <w:t>21</w:t>
            </w:r>
          </w:p>
        </w:tc>
        <w:tc>
          <w:tcPr>
            <w:tcW w:type="dxa" w:w="1020"/>
          </w:tcPr>
          <w:p>
            <w:pPr>
              <w:spacing w:after="20"/>
              <w:jc w:val="right"/>
            </w:pPr>
            <w:r/>
            <w:r>
              <w:rPr>
                <w:b w:val="0"/>
                <w:sz w:val="17"/>
              </w:rPr>
              <w:t>0</w:t>
            </w:r>
          </w:p>
        </w:tc>
        <w:tc>
          <w:tcPr>
            <w:tcW w:type="dxa" w:w="1134"/>
          </w:tcPr>
          <w:p>
            <w:pPr>
              <w:spacing w:after="20"/>
              <w:jc w:val="right"/>
            </w:pPr>
            <w:r/>
            <w:r>
              <w:rPr>
                <w:b w:val="0"/>
                <w:sz w:val="17"/>
              </w:rPr>
              <w:t>0</w:t>
            </w:r>
          </w:p>
        </w:tc>
      </w:tr>
      <w:tr>
        <w:tc>
          <w:tcPr>
            <w:tcW w:type="dxa" w:w="2608"/>
            <w:shd w:val="clear" w:color="auto" w:fill="F5F8FA"/>
          </w:tcPr>
          <w:p>
            <w:pPr>
              <w:spacing w:after="20"/>
            </w:pPr>
            <w:r/>
            <w:r>
              <w:rPr>
                <w:b w:val="0"/>
                <w:sz w:val="17"/>
              </w:rPr>
              <w:t>SOD-RARE-COMBO</w:t>
            </w:r>
          </w:p>
        </w:tc>
        <w:tc>
          <w:tcPr>
            <w:tcW w:type="dxa" w:w="1020"/>
            <w:shd w:val="clear" w:color="auto" w:fill="F5F8FA"/>
          </w:tcPr>
          <w:p>
            <w:pPr>
              <w:spacing w:after="20"/>
            </w:pPr>
            <w:r/>
            <w:r>
              <w:rPr>
                <w:b w:val="0"/>
                <w:sz w:val="17"/>
              </w:rPr>
              <w:t>T06</w:t>
            </w:r>
          </w:p>
        </w:tc>
        <w:tc>
          <w:tcPr>
            <w:tcW w:type="dxa" w:w="1474"/>
            <w:shd w:val="clear" w:color="auto" w:fill="F5F8FA"/>
          </w:tcPr>
          <w:p>
            <w:pPr>
              <w:spacing w:after="20"/>
              <w:jc w:val="right"/>
            </w:pPr>
            <w:r/>
            <w:r>
              <w:rPr>
                <w:b w:val="0"/>
                <w:sz w:val="17"/>
              </w:rPr>
              <w:t>15</w:t>
            </w:r>
          </w:p>
        </w:tc>
        <w:tc>
          <w:tcPr>
            <w:tcW w:type="dxa" w:w="1134"/>
            <w:shd w:val="clear" w:color="auto" w:fill="F5F8FA"/>
          </w:tcPr>
          <w:p>
            <w:pPr>
              <w:spacing w:after="20"/>
              <w:jc w:val="right"/>
            </w:pPr>
            <w:r/>
            <w:r>
              <w:rPr>
                <w:b w:val="0"/>
                <w:sz w:val="17"/>
              </w:rPr>
              <w:t>15</w:t>
            </w:r>
          </w:p>
        </w:tc>
        <w:tc>
          <w:tcPr>
            <w:tcW w:type="dxa" w:w="1020"/>
            <w:shd w:val="clear" w:color="auto" w:fill="F5F8FA"/>
          </w:tcPr>
          <w:p>
            <w:pPr>
              <w:spacing w:after="20"/>
              <w:jc w:val="right"/>
            </w:pPr>
            <w:r/>
            <w:r>
              <w:rPr>
                <w:b w:val="0"/>
                <w:sz w:val="17"/>
              </w:rPr>
              <w:t>0</w:t>
            </w:r>
          </w:p>
        </w:tc>
        <w:tc>
          <w:tcPr>
            <w:tcW w:type="dxa" w:w="1134"/>
            <w:shd w:val="clear" w:color="auto" w:fill="F5F8FA"/>
          </w:tcPr>
          <w:p>
            <w:pPr>
              <w:spacing w:after="20"/>
              <w:jc w:val="right"/>
            </w:pPr>
            <w:r/>
            <w:r>
              <w:rPr>
                <w:b w:val="0"/>
                <w:sz w:val="17"/>
              </w:rPr>
              <w:t>0</w:t>
            </w:r>
          </w:p>
        </w:tc>
      </w:tr>
      <w:tr>
        <w:tc>
          <w:tcPr>
            <w:tcW w:type="dxa" w:w="2608"/>
          </w:tcPr>
          <w:p>
            <w:pPr>
              <w:spacing w:after="20"/>
            </w:pPr>
            <w:r/>
            <w:r>
              <w:rPr>
                <w:b w:val="0"/>
                <w:sz w:val="17"/>
              </w:rPr>
              <w:t>UNREVERSED-ACCRUAL</w:t>
            </w:r>
          </w:p>
        </w:tc>
        <w:tc>
          <w:tcPr>
            <w:tcW w:type="dxa" w:w="1020"/>
          </w:tcPr>
          <w:p>
            <w:pPr>
              <w:spacing w:after="20"/>
            </w:pPr>
            <w:r/>
            <w:r>
              <w:rPr>
                <w:b w:val="0"/>
                <w:sz w:val="17"/>
              </w:rPr>
              <w:t>T07</w:t>
            </w:r>
          </w:p>
        </w:tc>
        <w:tc>
          <w:tcPr>
            <w:tcW w:type="dxa" w:w="1474"/>
          </w:tcPr>
          <w:p>
            <w:pPr>
              <w:spacing w:after="20"/>
              <w:jc w:val="right"/>
            </w:pPr>
            <w:r/>
            <w:r>
              <w:rPr>
                <w:b w:val="0"/>
                <w:sz w:val="17"/>
              </w:rPr>
              <w:t>6</w:t>
            </w:r>
          </w:p>
        </w:tc>
        <w:tc>
          <w:tcPr>
            <w:tcW w:type="dxa" w:w="1134"/>
          </w:tcPr>
          <w:p>
            <w:pPr>
              <w:spacing w:after="20"/>
              <w:jc w:val="right"/>
            </w:pPr>
            <w:r/>
            <w:r>
              <w:rPr>
                <w:b w:val="0"/>
                <w:sz w:val="17"/>
              </w:rPr>
              <w:t>6</w:t>
            </w:r>
          </w:p>
        </w:tc>
        <w:tc>
          <w:tcPr>
            <w:tcW w:type="dxa" w:w="1020"/>
          </w:tcPr>
          <w:p>
            <w:pPr>
              <w:spacing w:after="20"/>
              <w:jc w:val="right"/>
            </w:pPr>
            <w:r/>
            <w:r>
              <w:rPr>
                <w:b w:val="0"/>
                <w:sz w:val="17"/>
              </w:rPr>
              <w:t>0</w:t>
            </w:r>
          </w:p>
        </w:tc>
        <w:tc>
          <w:tcPr>
            <w:tcW w:type="dxa" w:w="1134"/>
          </w:tcPr>
          <w:p>
            <w:pPr>
              <w:spacing w:after="20"/>
              <w:jc w:val="right"/>
            </w:pPr>
            <w:r/>
            <w:r>
              <w:rPr>
                <w:b w:val="0"/>
                <w:sz w:val="17"/>
              </w:rPr>
              <w:t>0</w:t>
            </w:r>
          </w:p>
        </w:tc>
      </w:tr>
      <w:tr>
        <w:tc>
          <w:tcPr>
            <w:tcW w:type="dxa" w:w="2608"/>
            <w:shd w:val="clear" w:color="auto" w:fill="F5F8FA"/>
          </w:tcPr>
          <w:p>
            <w:pPr>
              <w:spacing w:after="20"/>
            </w:pPr>
            <w:r/>
            <w:r>
              <w:rPr>
                <w:b/>
                <w:sz w:val="17"/>
              </w:rPr>
              <w:t>All schemes</w:t>
            </w:r>
          </w:p>
        </w:tc>
        <w:tc>
          <w:tcPr>
            <w:tcW w:type="dxa" w:w="1020"/>
            <w:shd w:val="clear" w:color="auto" w:fill="F5F8FA"/>
          </w:tcPr>
          <w:p>
            <w:pPr>
              <w:spacing w:after="20"/>
            </w:pPr>
            <w:r/>
            <w:r>
              <w:rPr>
                <w:b w:val="0"/>
                <w:sz w:val="17"/>
              </w:rPr>
            </w:r>
          </w:p>
        </w:tc>
        <w:tc>
          <w:tcPr>
            <w:tcW w:type="dxa" w:w="1474"/>
            <w:shd w:val="clear" w:color="auto" w:fill="F5F8FA"/>
          </w:tcPr>
          <w:p>
            <w:pPr>
              <w:spacing w:after="20"/>
              <w:jc w:val="right"/>
            </w:pPr>
            <w:r/>
            <w:r>
              <w:rPr>
                <w:b/>
                <w:sz w:val="17"/>
              </w:rPr>
              <w:t>171</w:t>
            </w:r>
          </w:p>
        </w:tc>
        <w:tc>
          <w:tcPr>
            <w:tcW w:type="dxa" w:w="1134"/>
            <w:shd w:val="clear" w:color="auto" w:fill="F5F8FA"/>
          </w:tcPr>
          <w:p>
            <w:pPr>
              <w:spacing w:after="20"/>
              <w:jc w:val="right"/>
            </w:pPr>
            <w:r/>
            <w:r>
              <w:rPr>
                <w:b/>
                <w:sz w:val="17"/>
              </w:rPr>
              <w:t>171</w:t>
            </w:r>
          </w:p>
        </w:tc>
        <w:tc>
          <w:tcPr>
            <w:tcW w:type="dxa" w:w="1020"/>
            <w:shd w:val="clear" w:color="auto" w:fill="F5F8FA"/>
          </w:tcPr>
          <w:p>
            <w:pPr>
              <w:spacing w:after="20"/>
              <w:jc w:val="right"/>
            </w:pPr>
            <w:r/>
            <w:r>
              <w:rPr>
                <w:b/>
                <w:sz w:val="17"/>
              </w:rPr>
              <w:t>0</w:t>
            </w:r>
          </w:p>
        </w:tc>
        <w:tc>
          <w:tcPr>
            <w:tcW w:type="dxa" w:w="1134"/>
            <w:shd w:val="clear" w:color="auto" w:fill="F5F8FA"/>
          </w:tcPr>
          <w:p>
            <w:pPr>
              <w:spacing w:after="20"/>
              <w:jc w:val="right"/>
            </w:pPr>
            <w:r/>
            <w:r>
              <w:rPr>
                <w:b/>
                <w:sz w:val="17"/>
              </w:rPr>
              <w:t>0</w:t>
            </w:r>
          </w:p>
        </w:tc>
      </w:tr>
    </w:tbl>
    <w:p>
      <w:pPr>
        <w:spacing w:after="40"/>
      </w:pPr>
    </w:p>
    <w:p>
      <w:pPr>
        <w:spacing w:after="120"/>
      </w:pPr>
      <w:r>
        <w:rPr>
          <w:b w:val="0"/>
          <w:i w:val="0"/>
          <w:sz w:val="18"/>
        </w:rPr>
        <w:t>Coverage 100%. Our programme additionally identified 15 journals carrying the same monthly prepayment-amortisation pattern as the six corroborated accrual exceptions ($36,000.00). Those are disclosed on the supplementary schedule rather than suppressed: the pattern is systematic and management should clear the whole of it, not only the six items.</w:t>
      </w:r>
    </w:p>
    <w:p>
      <w:pPr>
        <w:pStyle w:val="Heading2"/>
      </w:pPr>
      <w:r>
        <w:t>5. Exceptions considered and dismissed</w:t>
      </w:r>
    </w:p>
    <w:p>
      <w:pPr>
        <w:spacing w:after="120"/>
      </w:pPr>
      <w:r>
        <w:rPr>
          <w:b w:val="0"/>
          <w:i w:val="0"/>
          <w:sz w:val="21"/>
        </w:rPr>
        <w:t>141 exceptions raised by the tests were investigated and dismissed with reasons. They are listed on the 'Dismissed exceptions' sheet of the evidence register so a reviewer can see what was excluded and why.</w:t>
      </w:r>
    </w:p>
    <w:tbl>
      <w:tblPr>
        <w:tblStyle w:val="TableGrid"/>
        <w:tblW w:type="auto" w:w="0"/>
        <w:jc w:val="center"/>
        <w:tblLook w:firstColumn="1" w:firstRow="1" w:lastColumn="0" w:lastRow="0" w:noHBand="0" w:noVBand="1" w:val="04A0"/>
      </w:tblPr>
      <w:tblGrid>
        <w:gridCol w:w="3324"/>
        <w:gridCol w:w="3324"/>
        <w:gridCol w:w="3324"/>
      </w:tblGrid>
      <w:tr>
        <w:tc>
          <w:tcPr>
            <w:tcW w:type="dxa" w:w="907"/>
            <w:shd w:val="clear" w:color="auto" w:fill="0B2E4F"/>
          </w:tcPr>
          <w:p>
            <w:r/>
            <w:r>
              <w:rPr>
                <w:b/>
                <w:color w:val="FFFFFF"/>
                <w:sz w:val="17"/>
              </w:rPr>
              <w:t>Test</w:t>
            </w:r>
          </w:p>
        </w:tc>
        <w:tc>
          <w:tcPr>
            <w:tcW w:type="dxa" w:w="1134"/>
            <w:shd w:val="clear" w:color="auto" w:fill="0B2E4F"/>
          </w:tcPr>
          <w:p>
            <w:r/>
            <w:r>
              <w:rPr>
                <w:b/>
                <w:color w:val="FFFFFF"/>
                <w:sz w:val="17"/>
              </w:rPr>
              <w:t>Dismissed</w:t>
            </w:r>
          </w:p>
        </w:tc>
        <w:tc>
          <w:tcPr>
            <w:tcW w:type="dxa" w:w="7597"/>
            <w:shd w:val="clear" w:color="auto" w:fill="0B2E4F"/>
          </w:tcPr>
          <w:p>
            <w:r/>
            <w:r>
              <w:rPr>
                <w:b/>
                <w:color w:val="FFFFFF"/>
                <w:sz w:val="17"/>
              </w:rPr>
              <w:t>Reason (most common)</w:t>
            </w:r>
          </w:p>
        </w:tc>
      </w:tr>
      <w:tr>
        <w:tc>
          <w:tcPr>
            <w:tcW w:type="dxa" w:w="907"/>
          </w:tcPr>
          <w:p>
            <w:pPr>
              <w:spacing w:after="20"/>
            </w:pPr>
            <w:r/>
            <w:r>
              <w:rPr>
                <w:b w:val="0"/>
                <w:sz w:val="17"/>
              </w:rPr>
              <w:t>T03</w:t>
            </w:r>
          </w:p>
        </w:tc>
        <w:tc>
          <w:tcPr>
            <w:tcW w:type="dxa" w:w="1134"/>
          </w:tcPr>
          <w:p>
            <w:pPr>
              <w:spacing w:after="20"/>
            </w:pPr>
            <w:r/>
            <w:r>
              <w:rPr>
                <w:b w:val="0"/>
                <w:sz w:val="17"/>
              </w:rPr>
              <w:t>81</w:t>
            </w:r>
          </w:p>
        </w:tc>
        <w:tc>
          <w:tcPr>
            <w:tcW w:type="dxa" w:w="7597"/>
          </w:tcPr>
          <w:p>
            <w:pPr>
              <w:spacing w:after="20"/>
            </w:pPr>
            <w:r/>
            <w:r>
              <w:rPr>
                <w:b w:val="0"/>
                <w:sz w:val="17"/>
              </w:rPr>
              <w:t>Settlement or bank line in the threshold band, not a procurement charge; the purchase-order limit does not apply.</w:t>
            </w:r>
          </w:p>
        </w:tc>
      </w:tr>
      <w:tr>
        <w:tc>
          <w:tcPr>
            <w:tcW w:type="dxa" w:w="907"/>
            <w:shd w:val="clear" w:color="auto" w:fill="F5F8FA"/>
          </w:tcPr>
          <w:p>
            <w:pPr>
              <w:spacing w:after="20"/>
            </w:pPr>
            <w:r/>
            <w:r>
              <w:rPr>
                <w:b w:val="0"/>
                <w:sz w:val="17"/>
              </w:rPr>
              <w:t>T05</w:t>
            </w:r>
          </w:p>
        </w:tc>
        <w:tc>
          <w:tcPr>
            <w:tcW w:type="dxa" w:w="1134"/>
            <w:shd w:val="clear" w:color="auto" w:fill="F5F8FA"/>
          </w:tcPr>
          <w:p>
            <w:pPr>
              <w:spacing w:after="20"/>
            </w:pPr>
            <w:r/>
            <w:r>
              <w:rPr>
                <w:b w:val="0"/>
                <w:sz w:val="17"/>
              </w:rPr>
              <w:t>45</w:t>
            </w:r>
          </w:p>
        </w:tc>
        <w:tc>
          <w:tcPr>
            <w:tcW w:type="dxa" w:w="7597"/>
            <w:shd w:val="clear" w:color="auto" w:fill="F5F8FA"/>
          </w:tcPr>
          <w:p>
            <w:pPr>
              <w:spacing w:after="20"/>
            </w:pPr>
            <w:r/>
            <w:r>
              <w:rPr>
                <w:b w:val="0"/>
                <w:sz w:val="17"/>
              </w:rPr>
              <w:t>Manual journal posted outside business hours that debits the suspense account and credits a balance-sheet account (a reallocation between accounts), with no expense recognised. Included in the suspense review instead.</w:t>
            </w:r>
          </w:p>
        </w:tc>
      </w:tr>
      <w:tr>
        <w:tc>
          <w:tcPr>
            <w:tcW w:type="dxa" w:w="907"/>
          </w:tcPr>
          <w:p>
            <w:pPr>
              <w:spacing w:after="20"/>
            </w:pPr>
            <w:r/>
            <w:r>
              <w:rPr>
                <w:b w:val="0"/>
                <w:sz w:val="17"/>
              </w:rPr>
              <w:t>T07</w:t>
            </w:r>
          </w:p>
        </w:tc>
        <w:tc>
          <w:tcPr>
            <w:tcW w:type="dxa" w:w="1134"/>
          </w:tcPr>
          <w:p>
            <w:pPr>
              <w:spacing w:after="20"/>
            </w:pPr>
            <w:r/>
            <w:r>
              <w:rPr>
                <w:b w:val="0"/>
                <w:sz w:val="17"/>
              </w:rPr>
              <w:t>15</w:t>
            </w:r>
          </w:p>
        </w:tc>
        <w:tc>
          <w:tcPr>
            <w:tcW w:type="dxa" w:w="7597"/>
          </w:tcPr>
          <w:p>
            <w:pPr>
              <w:spacing w:after="20"/>
            </w:pPr>
            <w:r/>
            <w:r>
              <w:rPr>
                <w:b w:val="0"/>
                <w:sz w:val="17"/>
              </w:rPr>
              <w:t>Same monthly prepayment-amortisation pattern as the six confirmed exceptions; carried on the supplementary schedule because the pattern is systematic and cannot be dismissed individually.</w:t>
            </w:r>
          </w:p>
        </w:tc>
      </w:tr>
    </w:tbl>
    <w:p>
      <w:pPr>
        <w:spacing w:after="40"/>
      </w:pPr>
    </w:p>
    <w:p>
      <w:pPr>
        <w:pStyle w:val="Heading2"/>
      </w:pPr>
      <w:r>
        <w:t>6. Control-environment observations</w:t>
      </w:r>
    </w:p>
    <w:tbl>
      <w:tblPr>
        <w:tblStyle w:val="TableGrid"/>
        <w:tblW w:type="auto" w:w="0"/>
        <w:jc w:val="center"/>
        <w:tblLook w:firstColumn="1" w:firstRow="1" w:lastColumn="0" w:lastRow="0" w:noHBand="0" w:noVBand="1" w:val="04A0"/>
      </w:tblPr>
      <w:tblGrid>
        <w:gridCol w:w="3324"/>
        <w:gridCol w:w="3324"/>
        <w:gridCol w:w="3324"/>
      </w:tblGrid>
      <w:tr>
        <w:tc>
          <w:tcPr>
            <w:tcW w:type="dxa" w:w="2608"/>
            <w:shd w:val="clear" w:color="auto" w:fill="0B2E4F"/>
          </w:tcPr>
          <w:p>
            <w:r/>
            <w:r>
              <w:rPr>
                <w:b/>
                <w:color w:val="FFFFFF"/>
                <w:sz w:val="17"/>
              </w:rPr>
              <w:t>Observation</w:t>
            </w:r>
          </w:p>
        </w:tc>
        <w:tc>
          <w:tcPr>
            <w:tcW w:type="dxa" w:w="3402"/>
            <w:shd w:val="clear" w:color="auto" w:fill="0B2E4F"/>
          </w:tcPr>
          <w:p>
            <w:r/>
            <w:r>
              <w:rPr>
                <w:b/>
                <w:color w:val="FFFFFF"/>
                <w:sz w:val="17"/>
              </w:rPr>
              <w:t>Value / count</w:t>
            </w:r>
          </w:p>
        </w:tc>
        <w:tc>
          <w:tcPr>
            <w:tcW w:type="dxa" w:w="3628"/>
            <w:shd w:val="clear" w:color="auto" w:fill="0B2E4F"/>
          </w:tcPr>
          <w:p>
            <w:r/>
            <w:r>
              <w:rPr>
                <w:b/>
                <w:color w:val="FFFFFF"/>
                <w:sz w:val="17"/>
              </w:rPr>
              <w:t>Implication</w:t>
            </w:r>
          </w:p>
        </w:tc>
      </w:tr>
      <w:tr>
        <w:tc>
          <w:tcPr>
            <w:tcW w:type="dxa" w:w="2608"/>
          </w:tcPr>
          <w:p>
            <w:pPr>
              <w:spacing w:after="20"/>
            </w:pPr>
            <w:r/>
            <w:r>
              <w:rPr>
                <w:b w:val="0"/>
                <w:sz w:val="17"/>
              </w:rPr>
              <w:t>Suspense account balance (1990)</w:t>
            </w:r>
          </w:p>
        </w:tc>
        <w:tc>
          <w:tcPr>
            <w:tcW w:type="dxa" w:w="3402"/>
          </w:tcPr>
          <w:p>
            <w:pPr>
              <w:spacing w:after="20"/>
            </w:pPr>
            <w:r/>
            <w:r>
              <w:rPr>
                <w:b w:val="0"/>
                <w:sz w:val="17"/>
              </w:rPr>
              <w:t>$51,058.87</w:t>
            </w:r>
          </w:p>
        </w:tc>
        <w:tc>
          <w:tcPr>
            <w:tcW w:type="dxa" w:w="3628"/>
          </w:tcPr>
          <w:p>
            <w:pPr>
              <w:spacing w:after="20"/>
            </w:pPr>
            <w:r/>
            <w:r>
              <w:rPr>
                <w:b w:val="0"/>
                <w:sz w:val="17"/>
              </w:rPr>
              <w:t>Unallocated credits; the account only grows and is never cleared</w:t>
            </w:r>
          </w:p>
        </w:tc>
      </w:tr>
      <w:tr>
        <w:tc>
          <w:tcPr>
            <w:tcW w:type="dxa" w:w="2608"/>
            <w:shd w:val="clear" w:color="auto" w:fill="F5F8FA"/>
          </w:tcPr>
          <w:p>
            <w:pPr>
              <w:spacing w:after="20"/>
            </w:pPr>
            <w:r/>
            <w:r>
              <w:rPr>
                <w:b w:val="0"/>
                <w:sz w:val="17"/>
              </w:rPr>
              <w:t>Unreconciled bank items</w:t>
            </w:r>
          </w:p>
        </w:tc>
        <w:tc>
          <w:tcPr>
            <w:tcW w:type="dxa" w:w="3402"/>
            <w:shd w:val="clear" w:color="auto" w:fill="F5F8FA"/>
          </w:tcPr>
          <w:p>
            <w:pPr>
              <w:spacing w:after="20"/>
            </w:pPr>
            <w:r/>
            <w:r>
              <w:rPr>
                <w:b w:val="0"/>
                <w:sz w:val="17"/>
              </w:rPr>
              <w:t>129 of 1400 ($1,884,271.16); 27 over 90 days; oldest 210 days</w:t>
            </w:r>
          </w:p>
        </w:tc>
        <w:tc>
          <w:tcPr>
            <w:tcW w:type="dxa" w:w="3628"/>
            <w:shd w:val="clear" w:color="auto" w:fill="F5F8FA"/>
          </w:tcPr>
          <w:p>
            <w:pPr>
              <w:spacing w:after="20"/>
            </w:pPr>
            <w:r/>
            <w:r>
              <w:rPr>
                <w:b w:val="0"/>
                <w:sz w:val="17"/>
              </w:rPr>
              <w:t>Payments may be unrecorded or duplicated; cash cannot be relied upon</w:t>
            </w:r>
          </w:p>
        </w:tc>
      </w:tr>
      <w:tr>
        <w:tc>
          <w:tcPr>
            <w:tcW w:type="dxa" w:w="2608"/>
          </w:tcPr>
          <w:p>
            <w:pPr>
              <w:spacing w:after="20"/>
            </w:pPr>
            <w:r/>
            <w:r>
              <w:rPr>
                <w:b w:val="0"/>
                <w:sz w:val="17"/>
              </w:rPr>
              <w:t>AP invoices failing the three-way match</w:t>
            </w:r>
          </w:p>
        </w:tc>
        <w:tc>
          <w:tcPr>
            <w:tcW w:type="dxa" w:w="3402"/>
          </w:tcPr>
          <w:p>
            <w:pPr>
              <w:spacing w:after="20"/>
            </w:pPr>
            <w:r/>
            <w:r>
              <w:rPr>
                <w:b w:val="0"/>
                <w:sz w:val="17"/>
              </w:rPr>
              <w:t>168 of 520 (32%), $2,024,957.52</w:t>
            </w:r>
          </w:p>
        </w:tc>
        <w:tc>
          <w:tcPr>
            <w:tcW w:type="dxa" w:w="3628"/>
          </w:tcPr>
          <w:p>
            <w:pPr>
              <w:spacing w:after="20"/>
            </w:pPr>
            <w:r/>
            <w:r>
              <w:rPr>
                <w:b w:val="0"/>
                <w:sz w:val="17"/>
              </w:rPr>
              <w:t>Purchases may not be ordered, received or correctly priced</w:t>
            </w:r>
          </w:p>
        </w:tc>
      </w:tr>
      <w:tr>
        <w:tc>
          <w:tcPr>
            <w:tcW w:type="dxa" w:w="2608"/>
            <w:shd w:val="clear" w:color="auto" w:fill="F5F8FA"/>
          </w:tcPr>
          <w:p>
            <w:pPr>
              <w:spacing w:after="20"/>
            </w:pPr>
            <w:r/>
            <w:r>
              <w:rPr>
                <w:b w:val="0"/>
                <w:sz w:val="17"/>
              </w:rPr>
              <w:t>AP invoices with no purchase order</w:t>
            </w:r>
          </w:p>
        </w:tc>
        <w:tc>
          <w:tcPr>
            <w:tcW w:type="dxa" w:w="3402"/>
            <w:shd w:val="clear" w:color="auto" w:fill="F5F8FA"/>
          </w:tcPr>
          <w:p>
            <w:pPr>
              <w:spacing w:after="20"/>
            </w:pPr>
            <w:r/>
            <w:r>
              <w:rPr>
                <w:b w:val="0"/>
                <w:sz w:val="17"/>
              </w:rPr>
              <w:t>109 of 520</w:t>
            </w:r>
          </w:p>
        </w:tc>
        <w:tc>
          <w:tcPr>
            <w:tcW w:type="dxa" w:w="3628"/>
            <w:shd w:val="clear" w:color="auto" w:fill="F5F8FA"/>
          </w:tcPr>
          <w:p>
            <w:pPr>
              <w:spacing w:after="20"/>
            </w:pPr>
            <w:r/>
            <w:r>
              <w:rPr>
                <w:b w:val="0"/>
                <w:sz w:val="17"/>
              </w:rPr>
              <w:t>The purchase-order control is not operating</w:t>
            </w:r>
          </w:p>
        </w:tc>
      </w:tr>
      <w:tr>
        <w:tc>
          <w:tcPr>
            <w:tcW w:type="dxa" w:w="2608"/>
          </w:tcPr>
          <w:p>
            <w:pPr>
              <w:spacing w:after="20"/>
            </w:pPr>
            <w:r/>
            <w:r>
              <w:rPr>
                <w:b w:val="0"/>
                <w:sz w:val="17"/>
              </w:rPr>
              <w:t>Expense claims without a receipt</w:t>
            </w:r>
          </w:p>
        </w:tc>
        <w:tc>
          <w:tcPr>
            <w:tcW w:type="dxa" w:w="3402"/>
          </w:tcPr>
          <w:p>
            <w:pPr>
              <w:spacing w:after="20"/>
            </w:pPr>
            <w:r/>
            <w:r>
              <w:rPr>
                <w:b w:val="0"/>
                <w:sz w:val="17"/>
              </w:rPr>
              <w:t>81 of 650 ($117,897.70)</w:t>
            </w:r>
          </w:p>
        </w:tc>
        <w:tc>
          <w:tcPr>
            <w:tcW w:type="dxa" w:w="3628"/>
          </w:tcPr>
          <w:p>
            <w:pPr>
              <w:spacing w:after="20"/>
            </w:pPr>
            <w:r/>
            <w:r>
              <w:rPr>
                <w:b w:val="0"/>
                <w:sz w:val="17"/>
              </w:rPr>
              <w:t>Weak substantiation; an audit-adjustment risk</w:t>
            </w:r>
          </w:p>
        </w:tc>
      </w:tr>
      <w:tr>
        <w:tc>
          <w:tcPr>
            <w:tcW w:type="dxa" w:w="2608"/>
            <w:shd w:val="clear" w:color="auto" w:fill="F5F8FA"/>
          </w:tcPr>
          <w:p>
            <w:pPr>
              <w:spacing w:after="20"/>
            </w:pPr>
            <w:r/>
            <w:r>
              <w:rPr>
                <w:b w:val="0"/>
                <w:sz w:val="17"/>
              </w:rPr>
              <w:t>Manual journals with no approver above $10,000</w:t>
            </w:r>
          </w:p>
        </w:tc>
        <w:tc>
          <w:tcPr>
            <w:tcW w:type="dxa" w:w="3402"/>
            <w:shd w:val="clear" w:color="auto" w:fill="F5F8FA"/>
          </w:tcPr>
          <w:p>
            <w:pPr>
              <w:spacing w:after="20"/>
            </w:pPr>
            <w:r/>
            <w:r>
              <w:rPr>
                <w:b w:val="0"/>
                <w:sz w:val="17"/>
              </w:rPr>
              <w:t>163 journals, $3,646,946.58</w:t>
            </w:r>
          </w:p>
        </w:tc>
        <w:tc>
          <w:tcPr>
            <w:tcW w:type="dxa" w:w="3628"/>
            <w:shd w:val="clear" w:color="auto" w:fill="F5F8FA"/>
          </w:tcPr>
          <w:p>
            <w:pPr>
              <w:spacing w:after="20"/>
            </w:pPr>
            <w:r/>
            <w:r>
              <w:rPr>
                <w:b w:val="0"/>
                <w:sz w:val="17"/>
              </w:rPr>
              <w:t>Maker-checker is not operating on manual entries</w:t>
            </w:r>
          </w:p>
        </w:tc>
      </w:tr>
      <w:tr>
        <w:tc>
          <w:tcPr>
            <w:tcW w:type="dxa" w:w="2608"/>
          </w:tcPr>
          <w:p>
            <w:pPr>
              <w:spacing w:after="20"/>
            </w:pPr>
            <w:r/>
            <w:r>
              <w:rPr>
                <w:b w:val="0"/>
                <w:sz w:val="17"/>
              </w:rPr>
              <w:t>Benford first-digit test</w:t>
            </w:r>
          </w:p>
        </w:tc>
        <w:tc>
          <w:tcPr>
            <w:tcW w:type="dxa" w:w="3402"/>
          </w:tcPr>
          <w:p>
            <w:pPr>
              <w:spacing w:after="20"/>
            </w:pPr>
            <w:r/>
            <w:r>
              <w:rPr>
                <w:b w:val="0"/>
                <w:sz w:val="17"/>
              </w:rPr>
              <w:t>Chi-square 829.3 on 13,929 lines (critical value 20.09 at 1%)</w:t>
            </w:r>
          </w:p>
        </w:tc>
        <w:tc>
          <w:tcPr>
            <w:tcW w:type="dxa" w:w="3628"/>
          </w:tcPr>
          <w:p>
            <w:pPr>
              <w:spacing w:after="20"/>
            </w:pPr>
            <w:r/>
            <w:r>
              <w:rPr>
                <w:b w:val="0"/>
                <w:sz w:val="17"/>
              </w:rPr>
              <w:t>The population as a whole deviates strongly; see the caveat below</w:t>
            </w:r>
          </w:p>
        </w:tc>
      </w:tr>
    </w:tbl>
    <w:p>
      <w:pPr>
        <w:spacing w:after="40"/>
      </w:pPr>
    </w:p>
    <w:p>
      <w:pPr>
        <w:spacing w:after="120"/>
      </w:pPr>
      <w:r>
        <w:rPr>
          <w:b w:val="0"/>
          <w:i/>
          <w:sz w:val="18"/>
        </w:rPr>
        <w:t>Benford caveat: the deviation is expected in a ledger containing payroll bands, fixed rents, tax at a fixed rate and deliberately structured amounts. Benford is a pointer, not evidence. It is meaningful only within subgroups - by preparer, by vendor, by account - which is how it is presented in the workbench.</w:t>
      </w:r>
    </w:p>
    <w:p>
      <w:pPr>
        <w:pStyle w:val="Heading2"/>
      </w:pPr>
      <w:r>
        <w:t>7. Judgement and language</w:t>
      </w:r>
    </w:p>
    <w:p>
      <w:pPr>
        <w:pStyle w:val="ListBullet"/>
        <w:spacing w:after="40"/>
      </w:pPr>
      <w:r>
        <w:rPr>
          <w:sz w:val="21"/>
        </w:rPr>
        <w:t>No finding asserts that anyone committed a crime. Findings state what the data shows and what corroboration is required.</w:t>
      </w:r>
    </w:p>
    <w:p>
      <w:pPr>
        <w:pStyle w:val="ListBullet"/>
        <w:spacing w:after="40"/>
      </w:pPr>
      <w:r>
        <w:rPr>
          <w:sz w:val="21"/>
        </w:rPr>
        <w:t>Intent is not asserted anywhere in this pack.</w:t>
      </w:r>
    </w:p>
    <w:p>
      <w:pPr>
        <w:pStyle w:val="ListBullet"/>
        <w:spacing w:after="40"/>
      </w:pPr>
      <w:r>
        <w:rPr>
          <w:sz w:val="21"/>
        </w:rPr>
        <w:t>Every exception is traceable to a journal ID, an invoice reference, a date and a user - see the evidence register.</w:t>
      </w:r>
    </w:p>
    <w:p>
      <w:pPr>
        <w:pStyle w:val="ListBullet"/>
        <w:spacing w:after="40"/>
      </w:pPr>
      <w:r>
        <w:rPr>
          <w:sz w:val="21"/>
        </w:rPr>
        <w:t>The amounts are described as total value and amount at risk. The word 'loss' is used only where documents support it, and no such documents have been examined in this phase.</w:t>
      </w:r>
    </w:p>
    <w:p>
      <w:pPr>
        <w:pStyle w:val="Heading2"/>
      </w:pPr>
      <w:r>
        <w:t>8. What the Audit Committee can act on now</w:t>
      </w:r>
    </w:p>
    <w:p>
      <w:pPr>
        <w:pStyle w:val="ListNumber"/>
        <w:spacing w:after="40"/>
      </w:pPr>
      <w:r>
        <w:rPr>
          <w:sz w:val="21"/>
        </w:rPr>
        <w:t>Recover $184,011.74 of duplicate payments - the second payment in each of the 21 pairs. Ask the suppliers for credit notes this week.</w:t>
      </w:r>
    </w:p>
    <w:p>
      <w:pPr>
        <w:pStyle w:val="ListNumber"/>
        <w:spacing w:after="40"/>
      </w:pPr>
      <w:r>
        <w:rPr>
          <w:sz w:val="21"/>
        </w:rPr>
        <w:t>Freeze the four employee-linked vendor accounts and obtain ownership and deliverable evidence before any further payment.</w:t>
      </w:r>
    </w:p>
    <w:p>
      <w:pPr>
        <w:pStyle w:val="ListNumber"/>
        <w:spacing w:after="40"/>
      </w:pPr>
      <w:r>
        <w:rPr>
          <w:sz w:val="21"/>
        </w:rPr>
        <w:t>Remove the value-based exception to the purchase-order requirement; require a PO for every purchase.</w:t>
      </w:r>
    </w:p>
    <w:p>
      <w:pPr>
        <w:pStyle w:val="ListNumber"/>
        <w:spacing w:after="40"/>
      </w:pPr>
      <w:r>
        <w:rPr>
          <w:sz w:val="21"/>
        </w:rPr>
        <w:t>Restrict manual journal posting to business hours and require a second approver for every manual entry.</w:t>
      </w:r>
    </w:p>
    <w:p>
      <w:pPr>
        <w:pStyle w:val="ListNumber"/>
        <w:spacing w:after="40"/>
      </w:pPr>
      <w:r>
        <w:rPr>
          <w:sz w:val="21"/>
        </w:rPr>
        <w:t>Commission the monthly exception report (see the next-phase proposal) so these tests run every month on the client's own data.</w:t>
      </w: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findings summary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