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Forensic workbench - five-page specification</w:t>
      </w:r>
    </w:p>
    <w:p>
      <w:pPr>
        <w:spacing w:after="120"/>
      </w:pPr>
      <w:r>
        <w:rPr>
          <w:b w:val="0"/>
          <w:i/>
          <w:color w:val="595959"/>
          <w:sz w:val="22"/>
        </w:rPr>
        <w:t>Practical Exam 2 (35 points) - the Power BI workbench, with every visual specified and its data source stated</w:t>
      </w:r>
    </w:p>
    <w:p>
      <w:pPr>
        <w:spacing w:before="80"/>
      </w:pPr>
      <w:r>
        <w:rPr>
          <w:color w:val="595959"/>
          <w:sz w:val="17"/>
        </w:rPr>
        <w:t>Client: Mhondoro Manufacturing (Pvt) Ltd    |    Period: 1 January 2024 to 30 September 2025    |    Issued: 08 October 2025    |    Reference: MX-2025-WB    |    Classification: Confidential</w:t>
      </w:r>
    </w:p>
    <w:p>
      <w:pPr>
        <w:spacing w:before="0" w:after="160"/>
        <w:pBdr>
          <w:bottom w:val="single" w:sz="8" w:color="008B8B"/>
        </w:pBdr>
      </w:pPr>
    </w:p>
    <w:p>
      <w:pPr>
        <w:pStyle w:val="Heading2"/>
      </w:pPr>
      <w:r>
        <w:t>How to read this</w:t>
      </w:r>
    </w:p>
    <w:p>
      <w:pPr>
        <w:spacing w:after="120"/>
      </w:pPr>
      <w:r>
        <w:rPr>
          <w:b w:val="0"/>
          <w:i w:val="0"/>
          <w:sz w:val="21"/>
        </w:rPr>
        <w:t>The workbench is delivered as a specification plus a ready-to-import data pack (09_PowerBI_Ready_To_Import_Pack) and a browser-openable mirror (10_Interactive_Dashboard/index.html) that renders the same figures from the same computation. Every number below is produced by scripts/submission_build/forensic.py.</w:t>
      </w:r>
    </w:p>
    <w:p>
      <w:pPr>
        <w:pStyle w:val="Heading2"/>
      </w:pPr>
      <w:r>
        <w:t>Page 1 - Risk overview - How much could be going wrong?</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0B2E4F"/>
          </w:tcPr>
          <w:p>
            <w:r/>
            <w:r>
              <w:rPr>
                <w:b/>
                <w:color w:val="FFFFFF"/>
                <w:sz w:val="17"/>
              </w:rPr>
              <w:t>Visual</w:t>
            </w:r>
          </w:p>
        </w:tc>
        <w:tc>
          <w:tcPr>
            <w:tcW w:type="dxa" w:w="2835"/>
            <w:shd w:val="clear" w:color="auto" w:fill="0B2E4F"/>
          </w:tcPr>
          <w:p>
            <w:r/>
            <w:r>
              <w:rPr>
                <w:b/>
                <w:color w:val="FFFFFF"/>
                <w:sz w:val="17"/>
              </w:rPr>
              <w:t>Content</w:t>
            </w:r>
          </w:p>
        </w:tc>
        <w:tc>
          <w:tcPr>
            <w:tcW w:type="dxa" w:w="5329"/>
            <w:shd w:val="clear" w:color="auto" w:fill="0B2E4F"/>
          </w:tcPr>
          <w:p>
            <w:r/>
            <w:r>
              <w:rPr>
                <w:b/>
                <w:color w:val="FFFFFF"/>
                <w:sz w:val="17"/>
              </w:rPr>
              <w:t>Detail / value</w:t>
            </w:r>
          </w:p>
        </w:tc>
      </w:tr>
      <w:tr>
        <w:tc>
          <w:tcPr>
            <w:tcW w:type="dxa" w:w="1474"/>
          </w:tcPr>
          <w:p>
            <w:pPr>
              <w:spacing w:after="20"/>
            </w:pPr>
            <w:r/>
            <w:r>
              <w:rPr>
                <w:b w:val="0"/>
                <w:sz w:val="17"/>
              </w:rPr>
              <w:t>Card</w:t>
            </w:r>
          </w:p>
        </w:tc>
        <w:tc>
          <w:tcPr>
            <w:tcW w:type="dxa" w:w="2835"/>
          </w:tcPr>
          <w:p>
            <w:pPr>
              <w:spacing w:after="20"/>
            </w:pPr>
            <w:r/>
            <w:r>
              <w:rPr>
                <w:b w:val="0"/>
                <w:sz w:val="17"/>
              </w:rPr>
              <w:t>Total exceptions</w:t>
            </w:r>
          </w:p>
        </w:tc>
        <w:tc>
          <w:tcPr>
            <w:tcW w:type="dxa" w:w="5329"/>
          </w:tcPr>
          <w:p>
            <w:pPr>
              <w:spacing w:after="20"/>
            </w:pPr>
            <w:r/>
            <w:r>
              <w:rPr>
                <w:b w:val="0"/>
                <w:sz w:val="17"/>
              </w:rPr>
              <w:t>171 lines / $1,945,536.55</w:t>
            </w:r>
          </w:p>
        </w:tc>
      </w:tr>
      <w:tr>
        <w:tc>
          <w:tcPr>
            <w:tcW w:type="dxa" w:w="1474"/>
            <w:shd w:val="clear" w:color="auto" w:fill="F5F8FA"/>
          </w:tcPr>
          <w:p>
            <w:pPr>
              <w:spacing w:after="20"/>
            </w:pPr>
            <w:r/>
            <w:r>
              <w:rPr>
                <w:b w:val="0"/>
                <w:sz w:val="17"/>
              </w:rPr>
              <w:t>Card</w:t>
            </w:r>
          </w:p>
        </w:tc>
        <w:tc>
          <w:tcPr>
            <w:tcW w:type="dxa" w:w="2835"/>
            <w:shd w:val="clear" w:color="auto" w:fill="F5F8FA"/>
          </w:tcPr>
          <w:p>
            <w:pPr>
              <w:spacing w:after="20"/>
            </w:pPr>
            <w:r/>
            <w:r>
              <w:rPr>
                <w:b w:val="0"/>
                <w:sz w:val="17"/>
              </w:rPr>
              <w:t>Amount at risk</w:t>
            </w:r>
          </w:p>
        </w:tc>
        <w:tc>
          <w:tcPr>
            <w:tcW w:type="dxa" w:w="5329"/>
            <w:shd w:val="clear" w:color="auto" w:fill="F5F8FA"/>
          </w:tcPr>
          <w:p>
            <w:pPr>
              <w:spacing w:after="20"/>
            </w:pPr>
            <w:r/>
            <w:r>
              <w:rPr>
                <w:b w:val="0"/>
                <w:sz w:val="17"/>
              </w:rPr>
              <w:t>$1,761,524.81</w:t>
            </w:r>
          </w:p>
        </w:tc>
      </w:tr>
      <w:tr>
        <w:tc>
          <w:tcPr>
            <w:tcW w:type="dxa" w:w="1474"/>
          </w:tcPr>
          <w:p>
            <w:pPr>
              <w:spacing w:after="20"/>
            </w:pPr>
            <w:r/>
            <w:r>
              <w:rPr>
                <w:b w:val="0"/>
                <w:sz w:val="17"/>
              </w:rPr>
              <w:t>Bar chart</w:t>
            </w:r>
          </w:p>
        </w:tc>
        <w:tc>
          <w:tcPr>
            <w:tcW w:type="dxa" w:w="2835"/>
          </w:tcPr>
          <w:p>
            <w:pPr>
              <w:spacing w:after="20"/>
            </w:pPr>
            <w:r/>
            <w:r>
              <w:rPr>
                <w:b w:val="0"/>
                <w:sz w:val="17"/>
              </w:rPr>
              <w:t>Exceptions by scheme</w:t>
            </w:r>
          </w:p>
        </w:tc>
        <w:tc>
          <w:tcPr>
            <w:tcW w:type="dxa" w:w="5329"/>
          </w:tcPr>
          <w:p>
            <w:pPr>
              <w:spacing w:after="20"/>
            </w:pPr>
            <w:r/>
            <w:r>
              <w:rPr>
                <w:b w:val="0"/>
                <w:sz w:val="17"/>
              </w:rPr>
              <w:t>Count and value per test T01-T07</w:t>
            </w:r>
          </w:p>
        </w:tc>
      </w:tr>
      <w:tr>
        <w:tc>
          <w:tcPr>
            <w:tcW w:type="dxa" w:w="1474"/>
            <w:shd w:val="clear" w:color="auto" w:fill="F5F8FA"/>
          </w:tcPr>
          <w:p>
            <w:pPr>
              <w:spacing w:after="20"/>
            </w:pPr>
            <w:r/>
            <w:r>
              <w:rPr>
                <w:b w:val="0"/>
                <w:sz w:val="17"/>
              </w:rPr>
              <w:t>Line chart</w:t>
            </w:r>
          </w:p>
        </w:tc>
        <w:tc>
          <w:tcPr>
            <w:tcW w:type="dxa" w:w="2835"/>
            <w:shd w:val="clear" w:color="auto" w:fill="F5F8FA"/>
          </w:tcPr>
          <w:p>
            <w:pPr>
              <w:spacing w:after="20"/>
            </w:pPr>
            <w:r/>
            <w:r>
              <w:rPr>
                <w:b w:val="0"/>
                <w:sz w:val="17"/>
              </w:rPr>
              <w:t>Exceptions by month</w:t>
            </w:r>
          </w:p>
        </w:tc>
        <w:tc>
          <w:tcPr>
            <w:tcW w:type="dxa" w:w="5329"/>
            <w:shd w:val="clear" w:color="auto" w:fill="F5F8FA"/>
          </w:tcPr>
          <w:p>
            <w:pPr>
              <w:spacing w:after="20"/>
            </w:pPr>
            <w:r/>
            <w:r>
              <w:rPr>
                <w:b w:val="0"/>
                <w:sz w:val="17"/>
              </w:rPr>
              <w:t>Count of flagged journals per period</w:t>
            </w:r>
          </w:p>
        </w:tc>
      </w:tr>
      <w:tr>
        <w:tc>
          <w:tcPr>
            <w:tcW w:type="dxa" w:w="1474"/>
          </w:tcPr>
          <w:p>
            <w:pPr>
              <w:spacing w:after="20"/>
            </w:pPr>
            <w:r/>
            <w:r>
              <w:rPr>
                <w:b w:val="0"/>
                <w:sz w:val="17"/>
              </w:rPr>
              <w:t>Table</w:t>
            </w:r>
          </w:p>
        </w:tc>
        <w:tc>
          <w:tcPr>
            <w:tcW w:type="dxa" w:w="2835"/>
          </w:tcPr>
          <w:p>
            <w:pPr>
              <w:spacing w:after="20"/>
            </w:pPr>
            <w:r/>
            <w:r>
              <w:rPr>
                <w:b w:val="0"/>
                <w:sz w:val="17"/>
              </w:rPr>
              <w:t>Top 10 journals by risk-weighted value</w:t>
            </w:r>
          </w:p>
        </w:tc>
        <w:tc>
          <w:tcPr>
            <w:tcW w:type="dxa" w:w="5329"/>
          </w:tcPr>
          <w:p>
            <w:pPr>
              <w:spacing w:after="20"/>
            </w:pPr>
            <w:r/>
            <w:r>
              <w:rPr>
                <w:b w:val="0"/>
                <w:sz w:val="17"/>
              </w:rPr>
              <w:t>Rank, journal, test, amount, score, band</w:t>
            </w:r>
          </w:p>
        </w:tc>
      </w:tr>
    </w:tbl>
    <w:p>
      <w:pPr>
        <w:spacing w:after="40"/>
      </w:pPr>
    </w:p>
    <w:p>
      <w:pPr>
        <w:pStyle w:val="Heading2"/>
      </w:pPr>
      <w:r>
        <w:t>Page 2 - Payments and vendors - Is money leaving to the right people?</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0B2E4F"/>
          </w:tcPr>
          <w:p>
            <w:r/>
            <w:r>
              <w:rPr>
                <w:b/>
                <w:color w:val="FFFFFF"/>
                <w:sz w:val="17"/>
              </w:rPr>
              <w:t>Visual</w:t>
            </w:r>
          </w:p>
        </w:tc>
        <w:tc>
          <w:tcPr>
            <w:tcW w:type="dxa" w:w="2835"/>
            <w:shd w:val="clear" w:color="auto" w:fill="0B2E4F"/>
          </w:tcPr>
          <w:p>
            <w:r/>
            <w:r>
              <w:rPr>
                <w:b/>
                <w:color w:val="FFFFFF"/>
                <w:sz w:val="17"/>
              </w:rPr>
              <w:t>Content</w:t>
            </w:r>
          </w:p>
        </w:tc>
        <w:tc>
          <w:tcPr>
            <w:tcW w:type="dxa" w:w="5329"/>
            <w:shd w:val="clear" w:color="auto" w:fill="0B2E4F"/>
          </w:tcPr>
          <w:p>
            <w:r/>
            <w:r>
              <w:rPr>
                <w:b/>
                <w:color w:val="FFFFFF"/>
                <w:sz w:val="17"/>
              </w:rPr>
              <w:t>Detail / value</w:t>
            </w:r>
          </w:p>
        </w:tc>
      </w:tr>
      <w:tr>
        <w:tc>
          <w:tcPr>
            <w:tcW w:type="dxa" w:w="1474"/>
          </w:tcPr>
          <w:p>
            <w:pPr>
              <w:spacing w:after="20"/>
            </w:pPr>
            <w:r/>
            <w:r>
              <w:rPr>
                <w:b w:val="0"/>
                <w:sz w:val="17"/>
              </w:rPr>
              <w:t>Table</w:t>
            </w:r>
          </w:p>
        </w:tc>
        <w:tc>
          <w:tcPr>
            <w:tcW w:type="dxa" w:w="2835"/>
          </w:tcPr>
          <w:p>
            <w:pPr>
              <w:spacing w:after="20"/>
            </w:pPr>
            <w:r/>
            <w:r>
              <w:rPr>
                <w:b w:val="0"/>
                <w:sz w:val="17"/>
              </w:rPr>
              <w:t>Duplicate payment pairs</w:t>
            </w:r>
          </w:p>
        </w:tc>
        <w:tc>
          <w:tcPr>
            <w:tcW w:type="dxa" w:w="5329"/>
          </w:tcPr>
          <w:p>
            <w:pPr>
              <w:spacing w:after="20"/>
            </w:pPr>
            <w:r/>
            <w:r>
              <w:rPr>
                <w:b w:val="0"/>
                <w:sz w:val="17"/>
              </w:rPr>
              <w:t>21 pairs, invoice reference, both dates, both journals</w:t>
            </w:r>
          </w:p>
        </w:tc>
      </w:tr>
      <w:tr>
        <w:tc>
          <w:tcPr>
            <w:tcW w:type="dxa" w:w="1474"/>
            <w:shd w:val="clear" w:color="auto" w:fill="F5F8FA"/>
          </w:tcPr>
          <w:p>
            <w:pPr>
              <w:spacing w:after="20"/>
            </w:pPr>
            <w:r/>
            <w:r>
              <w:rPr>
                <w:b w:val="0"/>
                <w:sz w:val="17"/>
              </w:rPr>
              <w:t>Table</w:t>
            </w:r>
          </w:p>
        </w:tc>
        <w:tc>
          <w:tcPr>
            <w:tcW w:type="dxa" w:w="2835"/>
            <w:shd w:val="clear" w:color="auto" w:fill="F5F8FA"/>
          </w:tcPr>
          <w:p>
            <w:pPr>
              <w:spacing w:after="20"/>
            </w:pPr>
            <w:r/>
            <w:r>
              <w:rPr>
                <w:b w:val="0"/>
                <w:sz w:val="17"/>
              </w:rPr>
              <w:t>Related-party vendor indicators</w:t>
            </w:r>
          </w:p>
        </w:tc>
        <w:tc>
          <w:tcPr>
            <w:tcW w:type="dxa" w:w="5329"/>
            <w:shd w:val="clear" w:color="auto" w:fill="F5F8FA"/>
          </w:tcPr>
          <w:p>
            <w:pPr>
              <w:spacing w:after="20"/>
            </w:pPr>
            <w:r/>
            <w:r>
              <w:rPr>
                <w:b w:val="0"/>
                <w:sz w:val="17"/>
              </w:rPr>
              <w:t>Vendor, created, first payment, tax clearance, terms, total paid</w:t>
            </w:r>
          </w:p>
        </w:tc>
      </w:tr>
      <w:tr>
        <w:tc>
          <w:tcPr>
            <w:tcW w:type="dxa" w:w="1474"/>
          </w:tcPr>
          <w:p>
            <w:pPr>
              <w:spacing w:after="20"/>
            </w:pPr>
            <w:r/>
            <w:r>
              <w:rPr>
                <w:b w:val="0"/>
                <w:sz w:val="17"/>
              </w:rPr>
              <w:t>Histogram</w:t>
            </w:r>
          </w:p>
        </w:tc>
        <w:tc>
          <w:tcPr>
            <w:tcW w:type="dxa" w:w="2835"/>
          </w:tcPr>
          <w:p>
            <w:pPr>
              <w:spacing w:after="20"/>
            </w:pPr>
            <w:r/>
            <w:r>
              <w:rPr>
                <w:b w:val="0"/>
                <w:sz w:val="17"/>
              </w:rPr>
              <w:t>Payment amounts $4,000-$11,000 in $500 bins</w:t>
            </w:r>
          </w:p>
        </w:tc>
        <w:tc>
          <w:tcPr>
            <w:tcW w:type="dxa" w:w="5329"/>
          </w:tcPr>
          <w:p>
            <w:pPr>
              <w:spacing w:after="20"/>
            </w:pPr>
            <w:r/>
            <w:r>
              <w:rPr>
                <w:b w:val="0"/>
                <w:sz w:val="17"/>
              </w:rPr>
              <w:t>Shows the wall below $5,000 and $10,000</w:t>
            </w:r>
          </w:p>
        </w:tc>
      </w:tr>
      <w:tr>
        <w:tc>
          <w:tcPr>
            <w:tcW w:type="dxa" w:w="1474"/>
            <w:shd w:val="clear" w:color="auto" w:fill="F5F8FA"/>
          </w:tcPr>
          <w:p>
            <w:pPr>
              <w:spacing w:after="20"/>
            </w:pPr>
            <w:r/>
            <w:r>
              <w:rPr>
                <w:b w:val="0"/>
                <w:sz w:val="17"/>
              </w:rPr>
              <w:t>Card</w:t>
            </w:r>
          </w:p>
        </w:tc>
        <w:tc>
          <w:tcPr>
            <w:tcW w:type="dxa" w:w="2835"/>
            <w:shd w:val="clear" w:color="auto" w:fill="F5F8FA"/>
          </w:tcPr>
          <w:p>
            <w:pPr>
              <w:spacing w:after="20"/>
            </w:pPr>
            <w:r/>
            <w:r>
              <w:rPr>
                <w:b w:val="0"/>
                <w:sz w:val="17"/>
              </w:rPr>
              <w:t>Round-number share of payments</w:t>
            </w:r>
          </w:p>
        </w:tc>
        <w:tc>
          <w:tcPr>
            <w:tcW w:type="dxa" w:w="5329"/>
            <w:shd w:val="clear" w:color="auto" w:fill="F5F8FA"/>
          </w:tcPr>
          <w:p>
            <w:pPr>
              <w:spacing w:after="20"/>
            </w:pPr>
            <w:r/>
            <w:r>
              <w:rPr>
                <w:b w:val="0"/>
                <w:sz w:val="17"/>
              </w:rPr>
              <w:t>Percentage of payment lines that are round</w:t>
            </w:r>
          </w:p>
        </w:tc>
      </w:tr>
      <w:tr>
        <w:tc>
          <w:tcPr>
            <w:tcW w:type="dxa" w:w="1474"/>
          </w:tcPr>
          <w:p>
            <w:pPr>
              <w:spacing w:after="20"/>
            </w:pPr>
            <w:r/>
            <w:r>
              <w:rPr>
                <w:b w:val="0"/>
                <w:sz w:val="17"/>
              </w:rPr>
              <w:t>Pareto</w:t>
            </w:r>
          </w:p>
        </w:tc>
        <w:tc>
          <w:tcPr>
            <w:tcW w:type="dxa" w:w="2835"/>
          </w:tcPr>
          <w:p>
            <w:pPr>
              <w:spacing w:after="20"/>
            </w:pPr>
            <w:r/>
            <w:r>
              <w:rPr>
                <w:b w:val="0"/>
                <w:sz w:val="17"/>
              </w:rPr>
              <w:t>Spend by vendor with the 80% line</w:t>
            </w:r>
          </w:p>
        </w:tc>
        <w:tc>
          <w:tcPr>
            <w:tcW w:type="dxa" w:w="5329"/>
          </w:tcPr>
          <w:p>
            <w:pPr>
              <w:spacing w:after="20"/>
            </w:pPr>
            <w:r/>
            <w:r>
              <w:rPr>
                <w:b w:val="0"/>
                <w:sz w:val="17"/>
              </w:rPr>
              <w:t>19 of 26 vendors reach 80% of spend</w:t>
            </w:r>
          </w:p>
        </w:tc>
      </w:tr>
    </w:tbl>
    <w:p>
      <w:pPr>
        <w:spacing w:after="40"/>
      </w:pPr>
    </w:p>
    <w:p>
      <w:pPr>
        <w:pStyle w:val="Heading2"/>
      </w:pPr>
      <w:r>
        <w:t>Page 3 - Journal entries - Can people book entries to hide things?</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0B2E4F"/>
          </w:tcPr>
          <w:p>
            <w:r/>
            <w:r>
              <w:rPr>
                <w:b/>
                <w:color w:val="FFFFFF"/>
                <w:sz w:val="17"/>
              </w:rPr>
              <w:t>Visual</w:t>
            </w:r>
          </w:p>
        </w:tc>
        <w:tc>
          <w:tcPr>
            <w:tcW w:type="dxa" w:w="2835"/>
            <w:shd w:val="clear" w:color="auto" w:fill="0B2E4F"/>
          </w:tcPr>
          <w:p>
            <w:r/>
            <w:r>
              <w:rPr>
                <w:b/>
                <w:color w:val="FFFFFF"/>
                <w:sz w:val="17"/>
              </w:rPr>
              <w:t>Content</w:t>
            </w:r>
          </w:p>
        </w:tc>
        <w:tc>
          <w:tcPr>
            <w:tcW w:type="dxa" w:w="5329"/>
            <w:shd w:val="clear" w:color="auto" w:fill="0B2E4F"/>
          </w:tcPr>
          <w:p>
            <w:r/>
            <w:r>
              <w:rPr>
                <w:b/>
                <w:color w:val="FFFFFF"/>
                <w:sz w:val="17"/>
              </w:rPr>
              <w:t>Detail / value</w:t>
            </w:r>
          </w:p>
        </w:tc>
      </w:tr>
      <w:tr>
        <w:tc>
          <w:tcPr>
            <w:tcW w:type="dxa" w:w="1474"/>
          </w:tcPr>
          <w:p>
            <w:pPr>
              <w:spacing w:after="20"/>
            </w:pPr>
            <w:r/>
            <w:r>
              <w:rPr>
                <w:b w:val="0"/>
                <w:sz w:val="17"/>
              </w:rPr>
              <w:t>Matrix</w:t>
            </w:r>
          </w:p>
        </w:tc>
        <w:tc>
          <w:tcPr>
            <w:tcW w:type="dxa" w:w="2835"/>
          </w:tcPr>
          <w:p>
            <w:pPr>
              <w:spacing w:after="20"/>
            </w:pPr>
            <w:r/>
            <w:r>
              <w:rPr>
                <w:b w:val="0"/>
                <w:sz w:val="17"/>
              </w:rPr>
              <w:t>JE test matrix J1-J10</w:t>
            </w:r>
          </w:p>
        </w:tc>
        <w:tc>
          <w:tcPr>
            <w:tcW w:type="dxa" w:w="5329"/>
          </w:tcPr>
          <w:p>
            <w:pPr>
              <w:spacing w:after="20"/>
            </w:pPr>
            <w:r/>
            <w:r>
              <w:rPr>
                <w:b w:val="0"/>
                <w:sz w:val="17"/>
              </w:rPr>
              <w:t>Count, value and % of population per test</w:t>
            </w:r>
          </w:p>
        </w:tc>
      </w:tr>
      <w:tr>
        <w:tc>
          <w:tcPr>
            <w:tcW w:type="dxa" w:w="1474"/>
            <w:shd w:val="clear" w:color="auto" w:fill="F5F8FA"/>
          </w:tcPr>
          <w:p>
            <w:pPr>
              <w:spacing w:after="20"/>
            </w:pPr>
            <w:r/>
            <w:r>
              <w:rPr>
                <w:b w:val="0"/>
                <w:sz w:val="17"/>
              </w:rPr>
              <w:t>Scatter</w:t>
            </w:r>
          </w:p>
        </w:tc>
        <w:tc>
          <w:tcPr>
            <w:tcW w:type="dxa" w:w="2835"/>
            <w:shd w:val="clear" w:color="auto" w:fill="F5F8FA"/>
          </w:tcPr>
          <w:p>
            <w:pPr>
              <w:spacing w:after="20"/>
            </w:pPr>
            <w:r/>
            <w:r>
              <w:rPr>
                <w:b w:val="0"/>
                <w:sz w:val="17"/>
              </w:rPr>
              <w:t>Amount vs posting date</w:t>
            </w:r>
          </w:p>
        </w:tc>
        <w:tc>
          <w:tcPr>
            <w:tcW w:type="dxa" w:w="5329"/>
            <w:shd w:val="clear" w:color="auto" w:fill="F5F8FA"/>
          </w:tcPr>
          <w:p>
            <w:pPr>
              <w:spacing w:after="20"/>
            </w:pPr>
            <w:r/>
            <w:r>
              <w:rPr>
                <w:b w:val="0"/>
                <w:sz w:val="17"/>
              </w:rPr>
              <w:t>Manual journals highlighted</w:t>
            </w:r>
          </w:p>
        </w:tc>
      </w:tr>
      <w:tr>
        <w:tc>
          <w:tcPr>
            <w:tcW w:type="dxa" w:w="1474"/>
          </w:tcPr>
          <w:p>
            <w:pPr>
              <w:spacing w:after="20"/>
            </w:pPr>
            <w:r/>
            <w:r>
              <w:rPr>
                <w:b w:val="0"/>
                <w:sz w:val="17"/>
              </w:rPr>
              <w:t>Heatmap</w:t>
            </w:r>
          </w:p>
        </w:tc>
        <w:tc>
          <w:tcPr>
            <w:tcW w:type="dxa" w:w="2835"/>
          </w:tcPr>
          <w:p>
            <w:pPr>
              <w:spacing w:after="20"/>
            </w:pPr>
            <w:r/>
            <w:r>
              <w:rPr>
                <w:b w:val="0"/>
                <w:sz w:val="17"/>
              </w:rPr>
              <w:t>Postings by weekday x hour</w:t>
            </w:r>
          </w:p>
        </w:tc>
        <w:tc>
          <w:tcPr>
            <w:tcW w:type="dxa" w:w="5329"/>
          </w:tcPr>
          <w:p>
            <w:pPr>
              <w:spacing w:after="20"/>
            </w:pPr>
            <w:r/>
            <w:r>
              <w:rPr>
                <w:b w:val="0"/>
                <w:sz w:val="17"/>
              </w:rPr>
              <w:t>The 02:00-04:00 and 22:00-23:00 clusters</w:t>
            </w:r>
          </w:p>
        </w:tc>
      </w:tr>
      <w:tr>
        <w:tc>
          <w:tcPr>
            <w:tcW w:type="dxa" w:w="1474"/>
            <w:shd w:val="clear" w:color="auto" w:fill="F5F8FA"/>
          </w:tcPr>
          <w:p>
            <w:pPr>
              <w:spacing w:after="20"/>
            </w:pPr>
            <w:r/>
            <w:r>
              <w:rPr>
                <w:b w:val="0"/>
                <w:sz w:val="17"/>
              </w:rPr>
              <w:t>Card</w:t>
            </w:r>
          </w:p>
        </w:tc>
        <w:tc>
          <w:tcPr>
            <w:tcW w:type="dxa" w:w="2835"/>
            <w:shd w:val="clear" w:color="auto" w:fill="F5F8FA"/>
          </w:tcPr>
          <w:p>
            <w:pPr>
              <w:spacing w:after="20"/>
            </w:pPr>
            <w:r/>
            <w:r>
              <w:rPr>
                <w:b w:val="0"/>
                <w:sz w:val="17"/>
              </w:rPr>
              <w:t>Unapproved manual value above $10,000</w:t>
            </w:r>
          </w:p>
        </w:tc>
        <w:tc>
          <w:tcPr>
            <w:tcW w:type="dxa" w:w="5329"/>
            <w:shd w:val="clear" w:color="auto" w:fill="F5F8FA"/>
          </w:tcPr>
          <w:p>
            <w:pPr>
              <w:spacing w:after="20"/>
            </w:pPr>
            <w:r/>
            <w:r>
              <w:rPr>
                <w:b w:val="0"/>
                <w:sz w:val="17"/>
              </w:rPr>
              <w:t>$3,646,946.58 across 163 journals</w:t>
            </w:r>
          </w:p>
        </w:tc>
      </w:tr>
      <w:tr>
        <w:tc>
          <w:tcPr>
            <w:tcW w:type="dxa" w:w="1474"/>
          </w:tcPr>
          <w:p>
            <w:pPr>
              <w:spacing w:after="20"/>
            </w:pPr>
            <w:r/>
            <w:r>
              <w:rPr>
                <w:b w:val="0"/>
                <w:sz w:val="17"/>
              </w:rPr>
              <w:t>Card</w:t>
            </w:r>
          </w:p>
        </w:tc>
        <w:tc>
          <w:tcPr>
            <w:tcW w:type="dxa" w:w="2835"/>
          </w:tcPr>
          <w:p>
            <w:pPr>
              <w:spacing w:after="20"/>
            </w:pPr>
            <w:r/>
            <w:r>
              <w:rPr>
                <w:b w:val="0"/>
                <w:sz w:val="17"/>
              </w:rPr>
              <w:t>Suspense balance</w:t>
            </w:r>
          </w:p>
        </w:tc>
        <w:tc>
          <w:tcPr>
            <w:tcW w:type="dxa" w:w="5329"/>
          </w:tcPr>
          <w:p>
            <w:pPr>
              <w:spacing w:after="20"/>
            </w:pPr>
            <w:r/>
            <w:r>
              <w:rPr>
                <w:b w:val="0"/>
                <w:sz w:val="17"/>
              </w:rPr>
              <w:t>$51,058.87</w:t>
            </w:r>
          </w:p>
        </w:tc>
      </w:tr>
    </w:tbl>
    <w:p>
      <w:pPr>
        <w:spacing w:after="40"/>
      </w:pPr>
    </w:p>
    <w:p>
      <w:pPr>
        <w:pStyle w:val="Heading2"/>
      </w:pPr>
      <w:r>
        <w:t>Page 4 - Users and access - Who can do what they should not?</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0B2E4F"/>
          </w:tcPr>
          <w:p>
            <w:r/>
            <w:r>
              <w:rPr>
                <w:b/>
                <w:color w:val="FFFFFF"/>
                <w:sz w:val="17"/>
              </w:rPr>
              <w:t>Visual</w:t>
            </w:r>
          </w:p>
        </w:tc>
        <w:tc>
          <w:tcPr>
            <w:tcW w:type="dxa" w:w="2835"/>
            <w:shd w:val="clear" w:color="auto" w:fill="0B2E4F"/>
          </w:tcPr>
          <w:p>
            <w:r/>
            <w:r>
              <w:rPr>
                <w:b/>
                <w:color w:val="FFFFFF"/>
                <w:sz w:val="17"/>
              </w:rPr>
              <w:t>Content</w:t>
            </w:r>
          </w:p>
        </w:tc>
        <w:tc>
          <w:tcPr>
            <w:tcW w:type="dxa" w:w="5329"/>
            <w:shd w:val="clear" w:color="auto" w:fill="0B2E4F"/>
          </w:tcPr>
          <w:p>
            <w:r/>
            <w:r>
              <w:rPr>
                <w:b/>
                <w:color w:val="FFFFFF"/>
                <w:sz w:val="17"/>
              </w:rPr>
              <w:t>Detail / value</w:t>
            </w:r>
          </w:p>
        </w:tc>
      </w:tr>
      <w:tr>
        <w:tc>
          <w:tcPr>
            <w:tcW w:type="dxa" w:w="1474"/>
          </w:tcPr>
          <w:p>
            <w:pPr>
              <w:spacing w:after="20"/>
            </w:pPr>
            <w:r/>
            <w:r>
              <w:rPr>
                <w:b w:val="0"/>
                <w:sz w:val="17"/>
              </w:rPr>
              <w:t>Matrix</w:t>
            </w:r>
          </w:p>
        </w:tc>
        <w:tc>
          <w:tcPr>
            <w:tcW w:type="dxa" w:w="2835"/>
          </w:tcPr>
          <w:p>
            <w:pPr>
              <w:spacing w:after="20"/>
            </w:pPr>
            <w:r/>
            <w:r>
              <w:rPr>
                <w:b w:val="0"/>
                <w:sz w:val="17"/>
              </w:rPr>
              <w:t>User x account type</w:t>
            </w:r>
          </w:p>
        </w:tc>
        <w:tc>
          <w:tcPr>
            <w:tcW w:type="dxa" w:w="5329"/>
          </w:tcPr>
          <w:p>
            <w:pPr>
              <w:spacing w:after="20"/>
            </w:pPr>
            <w:r/>
            <w:r>
              <w:rPr>
                <w:b w:val="0"/>
                <w:sz w:val="17"/>
              </w:rPr>
              <w:t>Line counts with the SoD cells flagged</w:t>
            </w:r>
          </w:p>
        </w:tc>
      </w:tr>
      <w:tr>
        <w:tc>
          <w:tcPr>
            <w:tcW w:type="dxa" w:w="1474"/>
            <w:shd w:val="clear" w:color="auto" w:fill="F5F8FA"/>
          </w:tcPr>
          <w:p>
            <w:pPr>
              <w:spacing w:after="20"/>
            </w:pPr>
            <w:r/>
            <w:r>
              <w:rPr>
                <w:b w:val="0"/>
                <w:sz w:val="17"/>
              </w:rPr>
              <w:t>Table</w:t>
            </w:r>
          </w:p>
        </w:tc>
        <w:tc>
          <w:tcPr>
            <w:tcW w:type="dxa" w:w="2835"/>
            <w:shd w:val="clear" w:color="auto" w:fill="F5F8FA"/>
          </w:tcPr>
          <w:p>
            <w:pPr>
              <w:spacing w:after="20"/>
            </w:pPr>
            <w:r/>
            <w:r>
              <w:rPr>
                <w:b w:val="0"/>
                <w:sz w:val="17"/>
              </w:rPr>
              <w:t>Segregation-of-duties exceptions</w:t>
            </w:r>
          </w:p>
        </w:tc>
        <w:tc>
          <w:tcPr>
            <w:tcW w:type="dxa" w:w="5329"/>
            <w:shd w:val="clear" w:color="auto" w:fill="F5F8FA"/>
          </w:tcPr>
          <w:p>
            <w:pPr>
              <w:spacing w:after="20"/>
            </w:pPr>
            <w:r/>
            <w:r>
              <w:rPr>
                <w:b w:val="0"/>
                <w:sz w:val="17"/>
              </w:rPr>
              <w:t>15 lines by the accounts-payable clerk</w:t>
            </w:r>
          </w:p>
        </w:tc>
      </w:tr>
      <w:tr>
        <w:tc>
          <w:tcPr>
            <w:tcW w:type="dxa" w:w="1474"/>
          </w:tcPr>
          <w:p>
            <w:pPr>
              <w:spacing w:after="20"/>
            </w:pPr>
            <w:r/>
            <w:r>
              <w:rPr>
                <w:b w:val="0"/>
                <w:sz w:val="17"/>
              </w:rPr>
              <w:t>Table</w:t>
            </w:r>
          </w:p>
        </w:tc>
        <w:tc>
          <w:tcPr>
            <w:tcW w:type="dxa" w:w="2835"/>
          </w:tcPr>
          <w:p>
            <w:pPr>
              <w:spacing w:after="20"/>
            </w:pPr>
            <w:r/>
            <w:r>
              <w:rPr>
                <w:b w:val="0"/>
                <w:sz w:val="17"/>
              </w:rPr>
              <w:t>Vendors with a single preparer</w:t>
            </w:r>
          </w:p>
        </w:tc>
        <w:tc>
          <w:tcPr>
            <w:tcW w:type="dxa" w:w="5329"/>
          </w:tcPr>
          <w:p>
            <w:pPr>
              <w:spacing w:after="20"/>
            </w:pPr>
            <w:r/>
            <w:r>
              <w:rPr>
                <w:b w:val="0"/>
                <w:sz w:val="17"/>
              </w:rPr>
              <w:t>Concentration of payment initiation</w:t>
            </w:r>
          </w:p>
        </w:tc>
      </w:tr>
      <w:tr>
        <w:tc>
          <w:tcPr>
            <w:tcW w:type="dxa" w:w="1474"/>
            <w:shd w:val="clear" w:color="auto" w:fill="F5F8FA"/>
          </w:tcPr>
          <w:p>
            <w:pPr>
              <w:spacing w:after="20"/>
            </w:pPr>
            <w:r/>
            <w:r>
              <w:rPr>
                <w:b w:val="0"/>
                <w:sz w:val="17"/>
              </w:rPr>
              <w:t>Card</w:t>
            </w:r>
          </w:p>
        </w:tc>
        <w:tc>
          <w:tcPr>
            <w:tcW w:type="dxa" w:w="2835"/>
            <w:shd w:val="clear" w:color="auto" w:fill="F5F8FA"/>
          </w:tcPr>
          <w:p>
            <w:pPr>
              <w:spacing w:after="20"/>
            </w:pPr>
            <w:r/>
            <w:r>
              <w:rPr>
                <w:b w:val="0"/>
                <w:sz w:val="17"/>
              </w:rPr>
              <w:t>Self-approved journals</w:t>
            </w:r>
          </w:p>
        </w:tc>
        <w:tc>
          <w:tcPr>
            <w:tcW w:type="dxa" w:w="5329"/>
            <w:shd w:val="clear" w:color="auto" w:fill="F5F8FA"/>
          </w:tcPr>
          <w:p>
            <w:pPr>
              <w:spacing w:after="20"/>
            </w:pPr>
            <w:r/>
            <w:r>
              <w:rPr>
                <w:b w:val="0"/>
                <w:sz w:val="17"/>
              </w:rPr>
              <w:t>0</w:t>
            </w:r>
          </w:p>
        </w:tc>
      </w:tr>
      <w:tr>
        <w:tc>
          <w:tcPr>
            <w:tcW w:type="dxa" w:w="1474"/>
          </w:tcPr>
          <w:p>
            <w:pPr>
              <w:spacing w:after="20"/>
            </w:pPr>
            <w:r/>
            <w:r>
              <w:rPr>
                <w:b w:val="0"/>
                <w:sz w:val="17"/>
              </w:rPr>
              <w:t>Card</w:t>
            </w:r>
          </w:p>
        </w:tc>
        <w:tc>
          <w:tcPr>
            <w:tcW w:type="dxa" w:w="2835"/>
          </w:tcPr>
          <w:p>
            <w:pPr>
              <w:spacing w:after="20"/>
            </w:pPr>
            <w:r/>
            <w:r>
              <w:rPr>
                <w:b w:val="0"/>
                <w:sz w:val="17"/>
              </w:rPr>
              <w:t>Manual journals</w:t>
            </w:r>
          </w:p>
        </w:tc>
        <w:tc>
          <w:tcPr>
            <w:tcW w:type="dxa" w:w="5329"/>
          </w:tcPr>
          <w:p>
            <w:pPr>
              <w:spacing w:after="20"/>
            </w:pPr>
            <w:r/>
            <w:r>
              <w:rPr>
                <w:b w:val="0"/>
                <w:sz w:val="17"/>
              </w:rPr>
              <w:t>945 lines</w:t>
            </w:r>
          </w:p>
        </w:tc>
      </w:tr>
    </w:tbl>
    <w:p>
      <w:pPr>
        <w:spacing w:after="40"/>
      </w:pPr>
    </w:p>
    <w:p>
      <w:pPr>
        <w:pStyle w:val="Heading2"/>
      </w:pPr>
      <w:r>
        <w:t>Page 5 - Evidence register - What are we doing about each hit?</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0B2E4F"/>
          </w:tcPr>
          <w:p>
            <w:r/>
            <w:r>
              <w:rPr>
                <w:b/>
                <w:color w:val="FFFFFF"/>
                <w:sz w:val="17"/>
              </w:rPr>
              <w:t>Visual</w:t>
            </w:r>
          </w:p>
        </w:tc>
        <w:tc>
          <w:tcPr>
            <w:tcW w:type="dxa" w:w="2835"/>
            <w:shd w:val="clear" w:color="auto" w:fill="0B2E4F"/>
          </w:tcPr>
          <w:p>
            <w:r/>
            <w:r>
              <w:rPr>
                <w:b/>
                <w:color w:val="FFFFFF"/>
                <w:sz w:val="17"/>
              </w:rPr>
              <w:t>Content</w:t>
            </w:r>
          </w:p>
        </w:tc>
        <w:tc>
          <w:tcPr>
            <w:tcW w:type="dxa" w:w="5329"/>
            <w:shd w:val="clear" w:color="auto" w:fill="0B2E4F"/>
          </w:tcPr>
          <w:p>
            <w:r/>
            <w:r>
              <w:rPr>
                <w:b/>
                <w:color w:val="FFFFFF"/>
                <w:sz w:val="17"/>
              </w:rPr>
              <w:t>Detail / value</w:t>
            </w:r>
          </w:p>
        </w:tc>
      </w:tr>
      <w:tr>
        <w:tc>
          <w:tcPr>
            <w:tcW w:type="dxa" w:w="1474"/>
          </w:tcPr>
          <w:p>
            <w:pPr>
              <w:spacing w:after="20"/>
            </w:pPr>
            <w:r/>
            <w:r>
              <w:rPr>
                <w:b w:val="0"/>
                <w:sz w:val="17"/>
              </w:rPr>
              <w:t>Table</w:t>
            </w:r>
          </w:p>
        </w:tc>
        <w:tc>
          <w:tcPr>
            <w:tcW w:type="dxa" w:w="2835"/>
          </w:tcPr>
          <w:p>
            <w:pPr>
              <w:spacing w:after="20"/>
            </w:pPr>
            <w:r/>
            <w:r>
              <w:rPr>
                <w:b w:val="0"/>
                <w:sz w:val="17"/>
              </w:rPr>
              <w:t>All exceptions</w:t>
            </w:r>
          </w:p>
        </w:tc>
        <w:tc>
          <w:tcPr>
            <w:tcW w:type="dxa" w:w="5329"/>
          </w:tcPr>
          <w:p>
            <w:pPr>
              <w:spacing w:after="20"/>
            </w:pPr>
            <w:r/>
            <w:r>
              <w:rPr>
                <w:b w:val="0"/>
                <w:sz w:val="17"/>
              </w:rPr>
              <w:t>TestID, TestName, ExceptionDate, Amount, Preparer, DocumentRef, RiskScore, RiskBand, Status, Conclusion - exportable to Excel</w:t>
            </w:r>
          </w:p>
        </w:tc>
      </w:tr>
      <w:tr>
        <w:tc>
          <w:tcPr>
            <w:tcW w:type="dxa" w:w="1474"/>
            <w:shd w:val="clear" w:color="auto" w:fill="F5F8FA"/>
          </w:tcPr>
          <w:p>
            <w:pPr>
              <w:spacing w:after="20"/>
            </w:pPr>
            <w:r/>
            <w:r>
              <w:rPr>
                <w:b w:val="0"/>
                <w:sz w:val="17"/>
              </w:rPr>
              <w:t>Slicer</w:t>
            </w:r>
          </w:p>
        </w:tc>
        <w:tc>
          <w:tcPr>
            <w:tcW w:type="dxa" w:w="2835"/>
            <w:shd w:val="clear" w:color="auto" w:fill="F5F8FA"/>
          </w:tcPr>
          <w:p>
            <w:pPr>
              <w:spacing w:after="20"/>
            </w:pPr>
            <w:r/>
            <w:r>
              <w:rPr>
                <w:b w:val="0"/>
                <w:sz w:val="17"/>
              </w:rPr>
              <w:t>Test, band, preparer, period</w:t>
            </w:r>
          </w:p>
        </w:tc>
        <w:tc>
          <w:tcPr>
            <w:tcW w:type="dxa" w:w="5329"/>
            <w:shd w:val="clear" w:color="auto" w:fill="F5F8FA"/>
          </w:tcPr>
          <w:p>
            <w:pPr>
              <w:spacing w:after="20"/>
            </w:pPr>
            <w:r/>
            <w:r>
              <w:rPr>
                <w:b w:val="0"/>
                <w:sz w:val="17"/>
              </w:rPr>
              <w:t>Synchronised with pages 1-4</w:t>
            </w:r>
          </w:p>
        </w:tc>
      </w:tr>
      <w:tr>
        <w:tc>
          <w:tcPr>
            <w:tcW w:type="dxa" w:w="1474"/>
          </w:tcPr>
          <w:p>
            <w:pPr>
              <w:spacing w:after="20"/>
            </w:pPr>
            <w:r/>
            <w:r>
              <w:rPr>
                <w:b w:val="0"/>
                <w:sz w:val="17"/>
              </w:rPr>
              <w:t>Card</w:t>
            </w:r>
          </w:p>
        </w:tc>
        <w:tc>
          <w:tcPr>
            <w:tcW w:type="dxa" w:w="2835"/>
          </w:tcPr>
          <w:p>
            <w:pPr>
              <w:spacing w:after="20"/>
            </w:pPr>
            <w:r/>
            <w:r>
              <w:rPr>
                <w:b w:val="0"/>
                <w:sz w:val="17"/>
              </w:rPr>
              <w:t>Register total</w:t>
            </w:r>
          </w:p>
        </w:tc>
        <w:tc>
          <w:tcPr>
            <w:tcW w:type="dxa" w:w="5329"/>
          </w:tcPr>
          <w:p>
            <w:pPr>
              <w:spacing w:after="20"/>
            </w:pPr>
            <w:r/>
            <w:r>
              <w:rPr>
                <w:b w:val="0"/>
                <w:sz w:val="17"/>
              </w:rPr>
              <w:t>171 lines / $1,945,536.55</w:t>
            </w:r>
          </w:p>
        </w:tc>
      </w:tr>
      <w:tr>
        <w:tc>
          <w:tcPr>
            <w:tcW w:type="dxa" w:w="1474"/>
            <w:shd w:val="clear" w:color="auto" w:fill="F5F8FA"/>
          </w:tcPr>
          <w:p>
            <w:pPr>
              <w:spacing w:after="20"/>
            </w:pPr>
            <w:r/>
            <w:r>
              <w:rPr>
                <w:b w:val="0"/>
                <w:sz w:val="17"/>
              </w:rPr>
              <w:t>Export</w:t>
            </w:r>
          </w:p>
        </w:tc>
        <w:tc>
          <w:tcPr>
            <w:tcW w:type="dxa" w:w="2835"/>
            <w:shd w:val="clear" w:color="auto" w:fill="F5F8FA"/>
          </w:tcPr>
          <w:p>
            <w:pPr>
              <w:spacing w:after="20"/>
            </w:pPr>
            <w:r/>
            <w:r>
              <w:rPr>
                <w:b w:val="0"/>
                <w:sz w:val="17"/>
              </w:rPr>
              <w:t>Visual &gt; Export data</w:t>
            </w:r>
          </w:p>
        </w:tc>
        <w:tc>
          <w:tcPr>
            <w:tcW w:type="dxa" w:w="5329"/>
            <w:shd w:val="clear" w:color="auto" w:fill="F5F8FA"/>
          </w:tcPr>
          <w:p>
            <w:pPr>
              <w:spacing w:after="20"/>
            </w:pPr>
            <w:r/>
            <w:r>
              <w:rPr>
                <w:b w:val="0"/>
                <w:sz w:val="17"/>
              </w:rPr>
              <w:t>The Excel appendix in Capstone 1 is this export</w:t>
            </w:r>
          </w:p>
        </w:tc>
      </w:tr>
    </w:tbl>
    <w:p>
      <w:pPr>
        <w:spacing w:after="40"/>
      </w:pPr>
    </w:p>
    <w:p>
      <w:pPr>
        <w:pStyle w:val="Heading2"/>
      </w:pPr>
      <w:r>
        <w:t>Risk scoring model</w:t>
      </w:r>
    </w:p>
    <w:p>
      <w:pPr>
        <w:spacing w:after="120"/>
      </w:pPr>
      <w:r>
        <w:rPr>
          <w:b w:val="0"/>
          <w:i w:val="0"/>
          <w:sz w:val="21"/>
        </w:rPr>
        <w:t>Weights are judgmental and are disclosed as such. Bands: High &gt;= 70, Medium 40-69, Low &lt; 40. Risk-weighted value = amount x score / 100, which is how the register is ranked.</w:t>
      </w:r>
    </w:p>
    <w:tbl>
      <w:tblPr>
        <w:tblStyle w:val="TableGrid"/>
        <w:tblW w:type="auto" w:w="0"/>
        <w:jc w:val="center"/>
        <w:tblLook w:firstColumn="1" w:firstRow="1" w:lastColumn="0" w:lastRow="0" w:noHBand="0" w:noVBand="1" w:val="04A0"/>
      </w:tblPr>
      <w:tblGrid>
        <w:gridCol w:w="4986"/>
        <w:gridCol w:w="4986"/>
      </w:tblGrid>
      <w:tr>
        <w:tc>
          <w:tcPr>
            <w:tcW w:type="dxa" w:w="5102"/>
            <w:shd w:val="clear" w:color="auto" w:fill="0B2E4F"/>
          </w:tcPr>
          <w:p>
            <w:r/>
            <w:r>
              <w:rPr>
                <w:b/>
                <w:color w:val="FFFFFF"/>
                <w:sz w:val="17"/>
              </w:rPr>
              <w:t>Indicator</w:t>
            </w:r>
          </w:p>
        </w:tc>
        <w:tc>
          <w:tcPr>
            <w:tcW w:type="dxa" w:w="1701"/>
            <w:shd w:val="clear" w:color="auto" w:fill="0B2E4F"/>
          </w:tcPr>
          <w:p>
            <w:r/>
            <w:r>
              <w:rPr>
                <w:b/>
                <w:color w:val="FFFFFF"/>
                <w:sz w:val="17"/>
              </w:rPr>
              <w:t>Weight</w:t>
            </w:r>
          </w:p>
        </w:tc>
      </w:tr>
      <w:tr>
        <w:tc>
          <w:tcPr>
            <w:tcW w:type="dxa" w:w="5102"/>
          </w:tcPr>
          <w:p>
            <w:pPr>
              <w:spacing w:after="20"/>
            </w:pPr>
            <w:r/>
            <w:r>
              <w:rPr>
                <w:b w:val="0"/>
                <w:sz w:val="18"/>
              </w:rPr>
              <w:t>Duplicate payment</w:t>
            </w:r>
          </w:p>
        </w:tc>
        <w:tc>
          <w:tcPr>
            <w:tcW w:type="dxa" w:w="1701"/>
          </w:tcPr>
          <w:p>
            <w:pPr>
              <w:spacing w:after="20"/>
            </w:pPr>
            <w:r/>
            <w:r>
              <w:rPr>
                <w:b w:val="0"/>
                <w:sz w:val="18"/>
              </w:rPr>
              <w:t>30</w:t>
            </w:r>
          </w:p>
        </w:tc>
      </w:tr>
      <w:tr>
        <w:tc>
          <w:tcPr>
            <w:tcW w:type="dxa" w:w="5102"/>
            <w:shd w:val="clear" w:color="auto" w:fill="F5F8FA"/>
          </w:tcPr>
          <w:p>
            <w:pPr>
              <w:spacing w:after="20"/>
            </w:pPr>
            <w:r/>
            <w:r>
              <w:rPr>
                <w:b w:val="0"/>
                <w:sz w:val="18"/>
              </w:rPr>
              <w:t>Round number above $5,000</w:t>
            </w:r>
          </w:p>
        </w:tc>
        <w:tc>
          <w:tcPr>
            <w:tcW w:type="dxa" w:w="1701"/>
            <w:shd w:val="clear" w:color="auto" w:fill="F5F8FA"/>
          </w:tcPr>
          <w:p>
            <w:pPr>
              <w:spacing w:after="20"/>
            </w:pPr>
            <w:r/>
            <w:r>
              <w:rPr>
                <w:b w:val="0"/>
                <w:sz w:val="18"/>
              </w:rPr>
              <w:t>15</w:t>
            </w:r>
          </w:p>
        </w:tc>
      </w:tr>
      <w:tr>
        <w:tc>
          <w:tcPr>
            <w:tcW w:type="dxa" w:w="5102"/>
          </w:tcPr>
          <w:p>
            <w:pPr>
              <w:spacing w:after="20"/>
            </w:pPr>
            <w:r/>
            <w:r>
              <w:rPr>
                <w:b w:val="0"/>
                <w:sz w:val="18"/>
              </w:rPr>
              <w:t>Weekend or after-hours</w:t>
            </w:r>
          </w:p>
        </w:tc>
        <w:tc>
          <w:tcPr>
            <w:tcW w:type="dxa" w:w="1701"/>
          </w:tcPr>
          <w:p>
            <w:pPr>
              <w:spacing w:after="20"/>
            </w:pPr>
            <w:r/>
            <w:r>
              <w:rPr>
                <w:b w:val="0"/>
                <w:sz w:val="18"/>
              </w:rPr>
              <w:t>15</w:t>
            </w:r>
          </w:p>
        </w:tc>
      </w:tr>
      <w:tr>
        <w:tc>
          <w:tcPr>
            <w:tcW w:type="dxa" w:w="5102"/>
            <w:shd w:val="clear" w:color="auto" w:fill="F5F8FA"/>
          </w:tcPr>
          <w:p>
            <w:pPr>
              <w:spacing w:after="20"/>
            </w:pPr>
            <w:r/>
            <w:r>
              <w:rPr>
                <w:b w:val="0"/>
                <w:sz w:val="18"/>
              </w:rPr>
              <w:t>No approver recorded</w:t>
            </w:r>
          </w:p>
        </w:tc>
        <w:tc>
          <w:tcPr>
            <w:tcW w:type="dxa" w:w="1701"/>
            <w:shd w:val="clear" w:color="auto" w:fill="F5F8FA"/>
          </w:tcPr>
          <w:p>
            <w:pPr>
              <w:spacing w:after="20"/>
            </w:pPr>
            <w:r/>
            <w:r>
              <w:rPr>
                <w:b w:val="0"/>
                <w:sz w:val="18"/>
              </w:rPr>
              <w:t>20</w:t>
            </w:r>
          </w:p>
        </w:tc>
      </w:tr>
      <w:tr>
        <w:tc>
          <w:tcPr>
            <w:tcW w:type="dxa" w:w="5102"/>
          </w:tcPr>
          <w:p>
            <w:pPr>
              <w:spacing w:after="20"/>
            </w:pPr>
            <w:r/>
            <w:r>
              <w:rPr>
                <w:b w:val="0"/>
                <w:sz w:val="18"/>
              </w:rPr>
              <w:t>Manual journal</w:t>
            </w:r>
          </w:p>
        </w:tc>
        <w:tc>
          <w:tcPr>
            <w:tcW w:type="dxa" w:w="1701"/>
          </w:tcPr>
          <w:p>
            <w:pPr>
              <w:spacing w:after="20"/>
            </w:pPr>
            <w:r/>
            <w:r>
              <w:rPr>
                <w:b w:val="0"/>
                <w:sz w:val="18"/>
              </w:rPr>
              <w:t>10</w:t>
            </w:r>
          </w:p>
        </w:tc>
      </w:tr>
      <w:tr>
        <w:tc>
          <w:tcPr>
            <w:tcW w:type="dxa" w:w="5102"/>
            <w:shd w:val="clear" w:color="auto" w:fill="F5F8FA"/>
          </w:tcPr>
          <w:p>
            <w:pPr>
              <w:spacing w:after="20"/>
            </w:pPr>
            <w:r/>
            <w:r>
              <w:rPr>
                <w:b w:val="0"/>
                <w:sz w:val="18"/>
              </w:rPr>
              <w:t>Vendor created within 180 days</w:t>
            </w:r>
          </w:p>
        </w:tc>
        <w:tc>
          <w:tcPr>
            <w:tcW w:type="dxa" w:w="1701"/>
            <w:shd w:val="clear" w:color="auto" w:fill="F5F8FA"/>
          </w:tcPr>
          <w:p>
            <w:pPr>
              <w:spacing w:after="20"/>
            </w:pPr>
            <w:r/>
            <w:r>
              <w:rPr>
                <w:b w:val="0"/>
                <w:sz w:val="18"/>
              </w:rPr>
              <w:t>20</w:t>
            </w:r>
          </w:p>
        </w:tc>
      </w:tr>
      <w:tr>
        <w:tc>
          <w:tcPr>
            <w:tcW w:type="dxa" w:w="5102"/>
          </w:tcPr>
          <w:p>
            <w:pPr>
              <w:spacing w:after="20"/>
            </w:pPr>
            <w:r/>
            <w:r>
              <w:rPr>
                <w:b w:val="0"/>
                <w:sz w:val="18"/>
              </w:rPr>
              <w:t>Amount above $25,000</w:t>
            </w:r>
          </w:p>
        </w:tc>
        <w:tc>
          <w:tcPr>
            <w:tcW w:type="dxa" w:w="1701"/>
          </w:tcPr>
          <w:p>
            <w:pPr>
              <w:spacing w:after="20"/>
            </w:pPr>
            <w:r/>
            <w:r>
              <w:rPr>
                <w:b w:val="0"/>
                <w:sz w:val="18"/>
              </w:rPr>
              <w:t>10</w:t>
            </w:r>
          </w:p>
        </w:tc>
      </w:tr>
    </w:tbl>
    <w:p>
      <w:pPr>
        <w:spacing w:after="40"/>
      </w:pP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forensic workbench specification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