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Client proposal - continuous monitoring and control remediation</w:t>
      </w:r>
    </w:p>
    <w:p>
      <w:pPr>
        <w:spacing w:after="120"/>
      </w:pPr>
      <w:r>
        <w:rPr>
          <w:b w:val="0"/>
          <w:i/>
          <w:color w:val="595959"/>
          <w:sz w:val="22"/>
        </w:rPr>
        <w:t>Next-phase proposal to Mhondoro Manufacturing (Pvt) Ltd following the forensic investigation</w:t>
      </w:r>
    </w:p>
    <w:p>
      <w:pPr>
        <w:spacing w:before="80"/>
      </w:pPr>
      <w:r>
        <w:rPr>
          <w:color w:val="595959"/>
          <w:sz w:val="17"/>
        </w:rPr>
        <w:t>Client: Mhondoro Manufacturing (Pvt) Ltd    |    Period: 1 January 2024 to 30 September 2025    |    Issued: 08 October 2025    |    Reference: MX-2025-P01    |    Classification: Confidential</w:t>
      </w:r>
    </w:p>
    <w:p>
      <w:pPr>
        <w:spacing w:before="0" w:after="160"/>
        <w:pBdr>
          <w:bottom w:val="single" w:sz="8" w:color="008B8B"/>
        </w:pBdr>
      </w:pPr>
    </w:p>
    <w:p>
      <w:pPr>
        <w:pStyle w:val="Heading2"/>
      </w:pPr>
      <w:r>
        <w:t>1. Your situation, as we understand it</w:t>
      </w:r>
    </w:p>
    <w:p>
      <w:pPr>
        <w:spacing w:after="120"/>
      </w:pPr>
      <w:r>
        <w:rPr>
          <w:b w:val="0"/>
          <w:i/>
          <w:sz w:val="21"/>
        </w:rPr>
        <w:t>"The Audit Committee received a whistle-blower report. Your investigation found 171 exceptions worth $1,945,536.55, including payments to four suppliers connected to employees and 21 supplier invoices that were paid twice. Nothing in the current process would have caught any of it, and next month the same tests would have to be run again by hand. We want the tests to run themselves, and we want the controls fixed so the exceptions stop happening."</w:t>
      </w:r>
    </w:p>
    <w:p>
      <w:pPr>
        <w:pStyle w:val="Heading2"/>
      </w:pPr>
      <w:r>
        <w:t>2. What you asked us to do</w:t>
      </w:r>
    </w:p>
    <w:tbl>
      <w:tblPr>
        <w:tblStyle w:val="TableGrid"/>
        <w:tblW w:type="auto" w:w="0"/>
        <w:jc w:val="center"/>
        <w:tblLook w:firstColumn="1" w:firstRow="1" w:lastColumn="0" w:lastRow="0" w:noHBand="0" w:noVBand="1" w:val="04A0"/>
      </w:tblPr>
      <w:tblGrid>
        <w:gridCol w:w="3324"/>
        <w:gridCol w:w="3324"/>
        <w:gridCol w:w="3324"/>
      </w:tblGrid>
      <w:tr>
        <w:tc>
          <w:tcPr>
            <w:tcW w:type="dxa" w:w="454"/>
            <w:shd w:val="clear" w:color="auto" w:fill="0B2E4F"/>
          </w:tcPr>
          <w:p>
            <w:r/>
            <w:r>
              <w:rPr>
                <w:b/>
                <w:color w:val="FFFFFF"/>
                <w:sz w:val="17"/>
              </w:rPr>
              <w:t>#</w:t>
            </w:r>
          </w:p>
        </w:tc>
        <w:tc>
          <w:tcPr>
            <w:tcW w:type="dxa" w:w="3061"/>
            <w:shd w:val="clear" w:color="auto" w:fill="0B2E4F"/>
          </w:tcPr>
          <w:p>
            <w:r/>
            <w:r>
              <w:rPr>
                <w:b/>
                <w:color w:val="FFFFFF"/>
                <w:sz w:val="17"/>
              </w:rPr>
              <w:t>Requirement</w:t>
            </w:r>
          </w:p>
        </w:tc>
        <w:tc>
          <w:tcPr>
            <w:tcW w:type="dxa" w:w="6123"/>
            <w:shd w:val="clear" w:color="auto" w:fill="0B2E4F"/>
          </w:tcPr>
          <w:p>
            <w:r/>
            <w:r>
              <w:rPr>
                <w:b/>
                <w:color w:val="FFFFFF"/>
                <w:sz w:val="17"/>
              </w:rPr>
              <w:t>Our response</w:t>
            </w:r>
          </w:p>
        </w:tc>
      </w:tr>
      <w:tr>
        <w:tc>
          <w:tcPr>
            <w:tcW w:type="dxa" w:w="454"/>
          </w:tcPr>
          <w:p>
            <w:pPr>
              <w:spacing w:after="20"/>
            </w:pPr>
            <w:r/>
            <w:r>
              <w:rPr>
                <w:b w:val="0"/>
                <w:sz w:val="18"/>
              </w:rPr>
              <w:t>1</w:t>
            </w:r>
          </w:p>
        </w:tc>
        <w:tc>
          <w:tcPr>
            <w:tcW w:type="dxa" w:w="3061"/>
          </w:tcPr>
          <w:p>
            <w:pPr>
              <w:spacing w:after="20"/>
            </w:pPr>
            <w:r/>
            <w:r>
              <w:rPr>
                <w:b w:val="0"/>
                <w:sz w:val="18"/>
              </w:rPr>
              <w:t>Detect this automatically, every month</w:t>
            </w:r>
          </w:p>
        </w:tc>
        <w:tc>
          <w:tcPr>
            <w:tcW w:type="dxa" w:w="6123"/>
          </w:tcPr>
          <w:p>
            <w:pPr>
              <w:spacing w:after="20"/>
            </w:pPr>
            <w:r/>
            <w:r>
              <w:rPr>
                <w:b w:val="0"/>
                <w:sz w:val="18"/>
              </w:rPr>
              <w:t>A twelve-test exception routine running on your own data, delivered as a Power BI dashboard and a monthly report your Financial Controller can use</w:t>
            </w:r>
          </w:p>
        </w:tc>
      </w:tr>
      <w:tr>
        <w:tc>
          <w:tcPr>
            <w:tcW w:type="dxa" w:w="454"/>
            <w:shd w:val="clear" w:color="auto" w:fill="F5F8FA"/>
          </w:tcPr>
          <w:p>
            <w:pPr>
              <w:spacing w:after="20"/>
            </w:pPr>
            <w:r/>
            <w:r>
              <w:rPr>
                <w:b w:val="0"/>
                <w:sz w:val="18"/>
              </w:rPr>
              <w:t>2</w:t>
            </w:r>
          </w:p>
        </w:tc>
        <w:tc>
          <w:tcPr>
            <w:tcW w:type="dxa" w:w="3061"/>
            <w:shd w:val="clear" w:color="auto" w:fill="F5F8FA"/>
          </w:tcPr>
          <w:p>
            <w:pPr>
              <w:spacing w:after="20"/>
            </w:pPr>
            <w:r/>
            <w:r>
              <w:rPr>
                <w:b w:val="0"/>
                <w:sz w:val="18"/>
              </w:rPr>
              <w:t>Fix the controls that failed</w:t>
            </w:r>
          </w:p>
        </w:tc>
        <w:tc>
          <w:tcPr>
            <w:tcW w:type="dxa" w:w="6123"/>
            <w:shd w:val="clear" w:color="auto" w:fill="F5F8FA"/>
          </w:tcPr>
          <w:p>
            <w:pPr>
              <w:spacing w:after="20"/>
            </w:pPr>
            <w:r/>
            <w:r>
              <w:rPr>
                <w:b w:val="0"/>
                <w:sz w:val="18"/>
              </w:rPr>
              <w:t>Redesigned vendor onboarding and payment approval, a segregation-of-duties matrix and a system access review</w:t>
            </w:r>
          </w:p>
        </w:tc>
      </w:tr>
      <w:tr>
        <w:tc>
          <w:tcPr>
            <w:tcW w:type="dxa" w:w="454"/>
          </w:tcPr>
          <w:p>
            <w:pPr>
              <w:spacing w:after="20"/>
            </w:pPr>
            <w:r/>
            <w:r>
              <w:rPr>
                <w:b w:val="0"/>
                <w:sz w:val="18"/>
              </w:rPr>
              <w:t>3</w:t>
            </w:r>
          </w:p>
        </w:tc>
        <w:tc>
          <w:tcPr>
            <w:tcW w:type="dxa" w:w="3061"/>
          </w:tcPr>
          <w:p>
            <w:pPr>
              <w:spacing w:after="20"/>
            </w:pPr>
            <w:r/>
            <w:r>
              <w:rPr>
                <w:b w:val="0"/>
                <w:sz w:val="18"/>
              </w:rPr>
              <w:t>Get the money back</w:t>
            </w:r>
          </w:p>
        </w:tc>
        <w:tc>
          <w:tcPr>
            <w:tcW w:type="dxa" w:w="6123"/>
          </w:tcPr>
          <w:p>
            <w:pPr>
              <w:spacing w:after="20"/>
            </w:pPr>
            <w:r/>
            <w:r>
              <w:rPr>
                <w:b w:val="0"/>
                <w:sz w:val="18"/>
              </w:rPr>
              <w:t>A recovery pack for the $184,011.74 of duplicate payments: supplier letters with the evidence attached</w:t>
            </w:r>
          </w:p>
        </w:tc>
      </w:tr>
      <w:tr>
        <w:tc>
          <w:tcPr>
            <w:tcW w:type="dxa" w:w="454"/>
            <w:shd w:val="clear" w:color="auto" w:fill="F5F8FA"/>
          </w:tcPr>
          <w:p>
            <w:pPr>
              <w:spacing w:after="20"/>
            </w:pPr>
            <w:r/>
            <w:r>
              <w:rPr>
                <w:b w:val="0"/>
                <w:sz w:val="18"/>
              </w:rPr>
              <w:t>4</w:t>
            </w:r>
          </w:p>
        </w:tc>
        <w:tc>
          <w:tcPr>
            <w:tcW w:type="dxa" w:w="3061"/>
            <w:shd w:val="clear" w:color="auto" w:fill="F5F8FA"/>
          </w:tcPr>
          <w:p>
            <w:pPr>
              <w:spacing w:after="20"/>
            </w:pPr>
            <w:r/>
            <w:r>
              <w:rPr>
                <w:b w:val="0"/>
                <w:sz w:val="18"/>
              </w:rPr>
              <w:t>Show the board it is working</w:t>
            </w:r>
          </w:p>
        </w:tc>
        <w:tc>
          <w:tcPr>
            <w:tcW w:type="dxa" w:w="6123"/>
            <w:shd w:val="clear" w:color="auto" w:fill="F5F8FA"/>
          </w:tcPr>
          <w:p>
            <w:pPr>
              <w:spacing w:after="20"/>
            </w:pPr>
            <w:r/>
            <w:r>
              <w:rPr>
                <w:b w:val="0"/>
                <w:sz w:val="18"/>
              </w:rPr>
              <w:t>A quarterly trend pack proving the exception rate is falling</w:t>
            </w:r>
          </w:p>
        </w:tc>
      </w:tr>
    </w:tbl>
    <w:p>
      <w:pPr>
        <w:spacing w:after="40"/>
      </w:pPr>
    </w:p>
    <w:p>
      <w:pPr>
        <w:pStyle w:val="Heading2"/>
      </w:pPr>
      <w:r>
        <w:t>3. Our approach</w:t>
      </w:r>
    </w:p>
    <w:p>
      <w:pPr>
        <w:spacing w:after="120"/>
      </w:pPr>
      <w:r>
        <w:rPr>
          <w:b/>
          <w:i w:val="0"/>
          <w:sz w:val="21"/>
        </w:rPr>
        <w:t xml:space="preserve">Phase 1 - Mobilise (week 1). </w:t>
      </w:r>
      <w:r>
        <w:rPr>
          <w:b w:val="0"/>
          <w:i w:val="0"/>
          <w:sz w:val="21"/>
        </w:rPr>
        <w:t>Kick-off, data request list, read-only access, independence and conflict checks, agreement of the exception definitions.</w:t>
      </w:r>
    </w:p>
    <w:p>
      <w:pPr>
        <w:spacing w:after="120"/>
      </w:pPr>
      <w:r>
        <w:rPr>
          <w:b/>
          <w:i w:val="0"/>
          <w:sz w:val="21"/>
        </w:rPr>
        <w:t xml:space="preserve">Phase 2 - Data and model (weeks 1-2). </w:t>
      </w:r>
      <w:r>
        <w:rPr>
          <w:b w:val="0"/>
          <w:i w:val="0"/>
          <w:sz w:val="21"/>
        </w:rPr>
        <w:t>Refreshable data layer, star schema, control checks. Nothing is reported until the model reconciles to your trial balance.</w:t>
      </w:r>
    </w:p>
    <w:p>
      <w:pPr>
        <w:spacing w:after="120"/>
      </w:pPr>
      <w:r>
        <w:rPr>
          <w:b/>
          <w:i w:val="0"/>
          <w:sz w:val="21"/>
        </w:rPr>
        <w:t xml:space="preserve">Phase 3 - Monitoring build (weeks 2-5). </w:t>
      </w:r>
      <w:r>
        <w:rPr>
          <w:b w:val="0"/>
          <w:i w:val="0"/>
          <w:sz w:val="21"/>
        </w:rPr>
        <w:t>The twelve tests as a scheduled routine; the exception dashboard with drillthrough to the ledger line; the monthly report template.</w:t>
      </w:r>
    </w:p>
    <w:p>
      <w:pPr>
        <w:spacing w:after="120"/>
      </w:pPr>
      <w:r>
        <w:rPr>
          <w:b/>
          <w:i w:val="0"/>
          <w:sz w:val="21"/>
        </w:rPr>
        <w:t xml:space="preserve">Phase 4 - Control remediation (weeks 3-6). </w:t>
      </w:r>
      <w:r>
        <w:rPr>
          <w:b w:val="0"/>
          <w:i w:val="0"/>
          <w:sz w:val="21"/>
        </w:rPr>
        <w:t>Process redesign with control points marked, segregation-of-duties matrix, access review, and the system configuration changes your IT team needs to make.</w:t>
      </w:r>
    </w:p>
    <w:p>
      <w:pPr>
        <w:spacing w:after="120"/>
      </w:pPr>
      <w:r>
        <w:rPr>
          <w:b/>
          <w:i w:val="0"/>
          <w:sz w:val="21"/>
        </w:rPr>
        <w:t xml:space="preserve">Phase 5 - Recovery and handover (week 6). </w:t>
      </w:r>
      <w:r>
        <w:rPr>
          <w:b w:val="0"/>
          <w:i w:val="0"/>
          <w:sz w:val="21"/>
        </w:rPr>
        <w:t>Recovery pack, board presentation, training for your finance team, handover of every file.</w:t>
      </w:r>
    </w:p>
    <w:p>
      <w:pPr>
        <w:spacing w:after="120"/>
      </w:pPr>
      <w:r>
        <w:rPr>
          <w:b/>
          <w:i w:val="0"/>
          <w:sz w:val="21"/>
        </w:rPr>
        <w:t xml:space="preserve">Quality control (week 6). </w:t>
      </w:r>
      <w:r>
        <w:rPr>
          <w:b w:val="0"/>
          <w:i w:val="0"/>
          <w:sz w:val="21"/>
        </w:rPr>
        <w:t>Independent review by a Maxhub partner who did not build the work: re-performance of a calculation, reconciliation of every headline number, language review.</w:t>
      </w:r>
    </w:p>
    <w:p>
      <w:pPr>
        <w:pStyle w:val="Heading2"/>
      </w:pPr>
      <w:r>
        <w:t>4. Deliverables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54"/>
            <w:shd w:val="clear" w:color="auto" w:fill="0B2E4F"/>
          </w:tcPr>
          <w:p>
            <w:r/>
            <w:r>
              <w:rPr>
                <w:b/>
                <w:color w:val="FFFFFF"/>
                <w:sz w:val="17"/>
              </w:rPr>
              <w:t>#</w:t>
            </w:r>
          </w:p>
        </w:tc>
        <w:tc>
          <w:tcPr>
            <w:tcW w:type="dxa" w:w="4762"/>
            <w:shd w:val="clear" w:color="auto" w:fill="0B2E4F"/>
          </w:tcPr>
          <w:p>
            <w:r/>
            <w:r>
              <w:rPr>
                <w:b/>
                <w:color w:val="FFFFFF"/>
                <w:sz w:val="17"/>
              </w:rPr>
              <w:t>Deliverable</w:t>
            </w:r>
          </w:p>
        </w:tc>
        <w:tc>
          <w:tcPr>
            <w:tcW w:type="dxa" w:w="2608"/>
            <w:shd w:val="clear" w:color="auto" w:fill="0B2E4F"/>
          </w:tcPr>
          <w:p>
            <w:r/>
            <w:r>
              <w:rPr>
                <w:b/>
                <w:color w:val="FFFFFF"/>
                <w:sz w:val="17"/>
              </w:rPr>
              <w:t>Format</w:t>
            </w:r>
          </w:p>
        </w:tc>
        <w:tc>
          <w:tcPr>
            <w:tcW w:type="dxa" w:w="794"/>
            <w:shd w:val="clear" w:color="auto" w:fill="0B2E4F"/>
          </w:tcPr>
          <w:p>
            <w:r/>
            <w:r>
              <w:rPr>
                <w:b/>
                <w:color w:val="FFFFFF"/>
                <w:sz w:val="17"/>
              </w:rPr>
              <w:t>Week</w:t>
            </w:r>
          </w:p>
        </w:tc>
      </w:tr>
      <w:tr>
        <w:tc>
          <w:tcPr>
            <w:tcW w:type="dxa" w:w="454"/>
          </w:tcPr>
          <w:p>
            <w:pPr>
              <w:spacing w:after="20"/>
            </w:pPr>
            <w:r/>
            <w:r>
              <w:rPr>
                <w:b w:val="0"/>
                <w:sz w:val="18"/>
              </w:rPr>
              <w:t>1</w:t>
            </w:r>
          </w:p>
        </w:tc>
        <w:tc>
          <w:tcPr>
            <w:tcW w:type="dxa" w:w="4762"/>
          </w:tcPr>
          <w:p>
            <w:pPr>
              <w:spacing w:after="20"/>
            </w:pPr>
            <w:r/>
            <w:r>
              <w:rPr>
                <w:b w:val="0"/>
                <w:sz w:val="18"/>
              </w:rPr>
              <w:t>Continuous monitoring model and exception dashboard</w:t>
            </w:r>
          </w:p>
        </w:tc>
        <w:tc>
          <w:tcPr>
            <w:tcW w:type="dxa" w:w="2608"/>
          </w:tcPr>
          <w:p>
            <w:pPr>
              <w:spacing w:after="20"/>
            </w:pPr>
            <w:r/>
            <w:r>
              <w:rPr>
                <w:b w:val="0"/>
                <w:sz w:val="18"/>
              </w:rPr>
              <w:t>.pbix + published app</w:t>
            </w:r>
          </w:p>
        </w:tc>
        <w:tc>
          <w:tcPr>
            <w:tcW w:type="dxa" w:w="794"/>
          </w:tcPr>
          <w:p>
            <w:pPr>
              <w:spacing w:after="20"/>
            </w:pPr>
            <w:r/>
            <w:r>
              <w:rPr>
                <w:b w:val="0"/>
                <w:sz w:val="18"/>
              </w:rPr>
              <w:t>5</w:t>
            </w:r>
          </w:p>
        </w:tc>
      </w:tr>
      <w:tr>
        <w:tc>
          <w:tcPr>
            <w:tcW w:type="dxa" w:w="454"/>
            <w:shd w:val="clear" w:color="auto" w:fill="F5F8FA"/>
          </w:tcPr>
          <w:p>
            <w:pPr>
              <w:spacing w:after="20"/>
            </w:pPr>
            <w:r/>
            <w:r>
              <w:rPr>
                <w:b w:val="0"/>
                <w:sz w:val="18"/>
              </w:rPr>
              <w:t>2</w:t>
            </w:r>
          </w:p>
        </w:tc>
        <w:tc>
          <w:tcPr>
            <w:tcW w:type="dxa" w:w="4762"/>
            <w:shd w:val="clear" w:color="auto" w:fill="F5F8FA"/>
          </w:tcPr>
          <w:p>
            <w:pPr>
              <w:spacing w:after="20"/>
            </w:pPr>
            <w:r/>
            <w:r>
              <w:rPr>
                <w:b w:val="0"/>
                <w:sz w:val="18"/>
              </w:rPr>
              <w:t>Monthly exception report template (populated with your data)</w:t>
            </w:r>
          </w:p>
        </w:tc>
        <w:tc>
          <w:tcPr>
            <w:tcW w:type="dxa" w:w="2608"/>
            <w:shd w:val="clear" w:color="auto" w:fill="F5F8FA"/>
          </w:tcPr>
          <w:p>
            <w:pPr>
              <w:spacing w:after="20"/>
            </w:pPr>
            <w:r/>
            <w:r>
              <w:rPr>
                <w:b w:val="0"/>
                <w:sz w:val="18"/>
              </w:rPr>
              <w:t>Excel + PDF</w:t>
            </w:r>
          </w:p>
        </w:tc>
        <w:tc>
          <w:tcPr>
            <w:tcW w:type="dxa" w:w="794"/>
            <w:shd w:val="clear" w:color="auto" w:fill="F5F8FA"/>
          </w:tcPr>
          <w:p>
            <w:pPr>
              <w:spacing w:after="20"/>
            </w:pPr>
            <w:r/>
            <w:r>
              <w:rPr>
                <w:b w:val="0"/>
                <w:sz w:val="18"/>
              </w:rPr>
              <w:t>5</w:t>
            </w:r>
          </w:p>
        </w:tc>
      </w:tr>
      <w:tr>
        <w:tc>
          <w:tcPr>
            <w:tcW w:type="dxa" w:w="454"/>
          </w:tcPr>
          <w:p>
            <w:pPr>
              <w:spacing w:after="20"/>
            </w:pPr>
            <w:r/>
            <w:r>
              <w:rPr>
                <w:b w:val="0"/>
                <w:sz w:val="18"/>
              </w:rPr>
              <w:t>3</w:t>
            </w:r>
          </w:p>
        </w:tc>
        <w:tc>
          <w:tcPr>
            <w:tcW w:type="dxa" w:w="4762"/>
          </w:tcPr>
          <w:p>
            <w:pPr>
              <w:spacing w:after="20"/>
            </w:pPr>
            <w:r/>
            <w:r>
              <w:rPr>
                <w:b w:val="0"/>
                <w:sz w:val="18"/>
              </w:rPr>
              <w:t>Redesigned vendor onboarding and payment approval process</w:t>
            </w:r>
          </w:p>
        </w:tc>
        <w:tc>
          <w:tcPr>
            <w:tcW w:type="dxa" w:w="2608"/>
          </w:tcPr>
          <w:p>
            <w:pPr>
              <w:spacing w:after="20"/>
            </w:pPr>
            <w:r/>
            <w:r>
              <w:rPr>
                <w:b w:val="0"/>
                <w:sz w:val="18"/>
              </w:rPr>
              <w:t>One-page flow + SOP</w:t>
            </w:r>
          </w:p>
        </w:tc>
        <w:tc>
          <w:tcPr>
            <w:tcW w:type="dxa" w:w="794"/>
          </w:tcPr>
          <w:p>
            <w:pPr>
              <w:spacing w:after="20"/>
            </w:pPr>
            <w:r/>
            <w:r>
              <w:rPr>
                <w:b w:val="0"/>
                <w:sz w:val="18"/>
              </w:rPr>
              <w:t>6</w:t>
            </w:r>
          </w:p>
        </w:tc>
      </w:tr>
      <w:tr>
        <w:tc>
          <w:tcPr>
            <w:tcW w:type="dxa" w:w="454"/>
            <w:shd w:val="clear" w:color="auto" w:fill="F5F8FA"/>
          </w:tcPr>
          <w:p>
            <w:pPr>
              <w:spacing w:after="20"/>
            </w:pPr>
            <w:r/>
            <w:r>
              <w:rPr>
                <w:b w:val="0"/>
                <w:sz w:val="18"/>
              </w:rPr>
              <w:t>4</w:t>
            </w:r>
          </w:p>
        </w:tc>
        <w:tc>
          <w:tcPr>
            <w:tcW w:type="dxa" w:w="4762"/>
            <w:shd w:val="clear" w:color="auto" w:fill="F5F8FA"/>
          </w:tcPr>
          <w:p>
            <w:pPr>
              <w:spacing w:after="20"/>
            </w:pPr>
            <w:r/>
            <w:r>
              <w:rPr>
                <w:b w:val="0"/>
                <w:sz w:val="18"/>
              </w:rPr>
              <w:t>Segregation-of-duties matrix and system access review</w:t>
            </w:r>
          </w:p>
        </w:tc>
        <w:tc>
          <w:tcPr>
            <w:tcW w:type="dxa" w:w="2608"/>
            <w:shd w:val="clear" w:color="auto" w:fill="F5F8FA"/>
          </w:tcPr>
          <w:p>
            <w:pPr>
              <w:spacing w:after="20"/>
            </w:pPr>
            <w:r/>
            <w:r>
              <w:rPr>
                <w:b w:val="0"/>
                <w:sz w:val="18"/>
              </w:rPr>
              <w:t>Excel + report</w:t>
            </w:r>
          </w:p>
        </w:tc>
        <w:tc>
          <w:tcPr>
            <w:tcW w:type="dxa" w:w="794"/>
            <w:shd w:val="clear" w:color="auto" w:fill="F5F8FA"/>
          </w:tcPr>
          <w:p>
            <w:pPr>
              <w:spacing w:after="20"/>
            </w:pPr>
            <w:r/>
            <w:r>
              <w:rPr>
                <w:b w:val="0"/>
                <w:sz w:val="18"/>
              </w:rPr>
              <w:t>6</w:t>
            </w:r>
          </w:p>
        </w:tc>
      </w:tr>
      <w:tr>
        <w:tc>
          <w:tcPr>
            <w:tcW w:type="dxa" w:w="454"/>
          </w:tcPr>
          <w:p>
            <w:pPr>
              <w:spacing w:after="20"/>
            </w:pPr>
            <w:r/>
            <w:r>
              <w:rPr>
                <w:b w:val="0"/>
                <w:sz w:val="18"/>
              </w:rPr>
              <w:t>5</w:t>
            </w:r>
          </w:p>
        </w:tc>
        <w:tc>
          <w:tcPr>
            <w:tcW w:type="dxa" w:w="4762"/>
          </w:tcPr>
          <w:p>
            <w:pPr>
              <w:spacing w:after="20"/>
            </w:pPr>
            <w:r/>
            <w:r>
              <w:rPr>
                <w:b w:val="0"/>
                <w:sz w:val="18"/>
              </w:rPr>
              <w:t>Duplicate-payment recovery pack ($184,011.74)</w:t>
            </w:r>
          </w:p>
        </w:tc>
        <w:tc>
          <w:tcPr>
            <w:tcW w:type="dxa" w:w="2608"/>
          </w:tcPr>
          <w:p>
            <w:pPr>
              <w:spacing w:after="20"/>
            </w:pPr>
            <w:r/>
            <w:r>
              <w:rPr>
                <w:b w:val="0"/>
                <w:sz w:val="18"/>
              </w:rPr>
              <w:t>Letters + evidence schedules</w:t>
            </w:r>
          </w:p>
        </w:tc>
        <w:tc>
          <w:tcPr>
            <w:tcW w:type="dxa" w:w="794"/>
          </w:tcPr>
          <w:p>
            <w:pPr>
              <w:spacing w:after="20"/>
            </w:pPr>
            <w:r/>
            <w:r>
              <w:rPr>
                <w:b w:val="0"/>
                <w:sz w:val="18"/>
              </w:rPr>
              <w:t>6</w:t>
            </w:r>
          </w:p>
        </w:tc>
      </w:tr>
      <w:tr>
        <w:tc>
          <w:tcPr>
            <w:tcW w:type="dxa" w:w="454"/>
            <w:shd w:val="clear" w:color="auto" w:fill="F5F8FA"/>
          </w:tcPr>
          <w:p>
            <w:pPr>
              <w:spacing w:after="20"/>
            </w:pPr>
            <w:r/>
            <w:r>
              <w:rPr>
                <w:b w:val="0"/>
                <w:sz w:val="18"/>
              </w:rPr>
              <w:t>6</w:t>
            </w:r>
          </w:p>
        </w:tc>
        <w:tc>
          <w:tcPr>
            <w:tcW w:type="dxa" w:w="4762"/>
            <w:shd w:val="clear" w:color="auto" w:fill="F5F8FA"/>
          </w:tcPr>
          <w:p>
            <w:pPr>
              <w:spacing w:after="20"/>
            </w:pPr>
            <w:r/>
            <w:r>
              <w:rPr>
                <w:b w:val="0"/>
                <w:sz w:val="18"/>
              </w:rPr>
              <w:t>Board presentation and management training</w:t>
            </w:r>
          </w:p>
        </w:tc>
        <w:tc>
          <w:tcPr>
            <w:tcW w:type="dxa" w:w="2608"/>
            <w:shd w:val="clear" w:color="auto" w:fill="F5F8FA"/>
          </w:tcPr>
          <w:p>
            <w:pPr>
              <w:spacing w:after="20"/>
            </w:pPr>
            <w:r/>
            <w:r>
              <w:rPr>
                <w:b w:val="0"/>
                <w:sz w:val="18"/>
              </w:rPr>
              <w:t>Slides + session</w:t>
            </w:r>
          </w:p>
        </w:tc>
        <w:tc>
          <w:tcPr>
            <w:tcW w:type="dxa" w:w="794"/>
            <w:shd w:val="clear" w:color="auto" w:fill="F5F8FA"/>
          </w:tcPr>
          <w:p>
            <w:pPr>
              <w:spacing w:after="20"/>
            </w:pPr>
            <w:r/>
            <w:r>
              <w:rPr>
                <w:b w:val="0"/>
                <w:sz w:val="18"/>
              </w:rPr>
              <w:t>6</w:t>
            </w:r>
          </w:p>
        </w:tc>
      </w:tr>
      <w:tr>
        <w:tc>
          <w:tcPr>
            <w:tcW w:type="dxa" w:w="454"/>
          </w:tcPr>
          <w:p>
            <w:pPr>
              <w:spacing w:after="20"/>
            </w:pPr>
            <w:r/>
            <w:r>
              <w:rPr>
                <w:b w:val="0"/>
                <w:sz w:val="18"/>
              </w:rPr>
              <w:t>7</w:t>
            </w:r>
          </w:p>
        </w:tc>
        <w:tc>
          <w:tcPr>
            <w:tcW w:type="dxa" w:w="4762"/>
          </w:tcPr>
          <w:p>
            <w:pPr>
              <w:spacing w:after="20"/>
            </w:pPr>
            <w:r/>
            <w:r>
              <w:rPr>
                <w:b w:val="0"/>
                <w:sz w:val="18"/>
              </w:rPr>
              <w:t>Model documentation and user guide</w:t>
            </w:r>
          </w:p>
        </w:tc>
        <w:tc>
          <w:tcPr>
            <w:tcW w:type="dxa" w:w="2608"/>
          </w:tcPr>
          <w:p>
            <w:pPr>
              <w:spacing w:after="20"/>
            </w:pPr>
            <w:r/>
            <w:r>
              <w:rPr>
                <w:b w:val="0"/>
                <w:sz w:val="18"/>
              </w:rPr>
              <w:t>PDF</w:t>
            </w:r>
          </w:p>
        </w:tc>
        <w:tc>
          <w:tcPr>
            <w:tcW w:type="dxa" w:w="794"/>
          </w:tcPr>
          <w:p>
            <w:pPr>
              <w:spacing w:after="20"/>
            </w:pPr>
            <w:r/>
            <w:r>
              <w:rPr>
                <w:b w:val="0"/>
                <w:sz w:val="18"/>
              </w:rPr>
              <w:t>6</w:t>
            </w:r>
          </w:p>
        </w:tc>
      </w:tr>
    </w:tbl>
    <w:p>
      <w:pPr>
        <w:spacing w:after="40"/>
      </w:pPr>
    </w:p>
    <w:p>
      <w:pPr>
        <w:pStyle w:val="Heading2"/>
      </w:pPr>
      <w:r>
        <w:t>5. Team</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0B2E4F"/>
          </w:tcPr>
          <w:p>
            <w:r/>
            <w:r>
              <w:rPr>
                <w:b/>
                <w:color w:val="FFFFFF"/>
                <w:sz w:val="17"/>
              </w:rPr>
              <w:t>Name</w:t>
            </w:r>
          </w:p>
        </w:tc>
        <w:tc>
          <w:tcPr>
            <w:tcW w:type="dxa" w:w="1701"/>
            <w:shd w:val="clear" w:color="auto" w:fill="0B2E4F"/>
          </w:tcPr>
          <w:p>
            <w:r/>
            <w:r>
              <w:rPr>
                <w:b/>
                <w:color w:val="FFFFFF"/>
                <w:sz w:val="17"/>
              </w:rPr>
              <w:t>Role</w:t>
            </w:r>
          </w:p>
        </w:tc>
        <w:tc>
          <w:tcPr>
            <w:tcW w:type="dxa" w:w="5669"/>
            <w:shd w:val="clear" w:color="auto" w:fill="0B2E4F"/>
          </w:tcPr>
          <w:p>
            <w:r/>
            <w:r>
              <w:rPr>
                <w:b/>
                <w:color w:val="FFFFFF"/>
                <w:sz w:val="17"/>
              </w:rPr>
              <w:t>Responsibility</w:t>
            </w:r>
          </w:p>
        </w:tc>
      </w:tr>
      <w:tr>
        <w:tc>
          <w:tcPr>
            <w:tcW w:type="dxa" w:w="2268"/>
          </w:tcPr>
          <w:p>
            <w:pPr>
              <w:spacing w:after="20"/>
            </w:pPr>
            <w:r/>
            <w:r>
              <w:rPr>
                <w:b w:val="0"/>
                <w:sz w:val="18"/>
              </w:rPr>
              <w:t>Engagement partner</w:t>
            </w:r>
          </w:p>
        </w:tc>
        <w:tc>
          <w:tcPr>
            <w:tcW w:type="dxa" w:w="1701"/>
          </w:tcPr>
          <w:p>
            <w:pPr>
              <w:spacing w:after="20"/>
            </w:pPr>
            <w:r/>
            <w:r>
              <w:rPr>
                <w:b w:val="0"/>
                <w:sz w:val="18"/>
              </w:rPr>
              <w:t>Partner</w:t>
            </w:r>
          </w:p>
        </w:tc>
        <w:tc>
          <w:tcPr>
            <w:tcW w:type="dxa" w:w="5669"/>
          </w:tcPr>
          <w:p>
            <w:pPr>
              <w:spacing w:after="20"/>
            </w:pPr>
            <w:r/>
            <w:r>
              <w:rPr>
                <w:b w:val="0"/>
                <w:sz w:val="18"/>
              </w:rPr>
              <w:t>Quality control, client relationship, reporting to the Committee</w:t>
            </w:r>
          </w:p>
        </w:tc>
      </w:tr>
      <w:tr>
        <w:tc>
          <w:tcPr>
            <w:tcW w:type="dxa" w:w="2268"/>
            <w:shd w:val="clear" w:color="auto" w:fill="F5F8FA"/>
          </w:tcPr>
          <w:p>
            <w:pPr>
              <w:spacing w:after="20"/>
            </w:pPr>
            <w:r/>
            <w:r>
              <w:rPr>
                <w:b w:val="0"/>
                <w:sz w:val="18"/>
              </w:rPr>
              <w:t>T. Makuvaza</w:t>
            </w:r>
          </w:p>
        </w:tc>
        <w:tc>
          <w:tcPr>
            <w:tcW w:type="dxa" w:w="1701"/>
            <w:shd w:val="clear" w:color="auto" w:fill="F5F8FA"/>
          </w:tcPr>
          <w:p>
            <w:pPr>
              <w:spacing w:after="20"/>
            </w:pPr>
            <w:r/>
            <w:r>
              <w:rPr>
                <w:b w:val="0"/>
                <w:sz w:val="18"/>
              </w:rPr>
              <w:t>Manager</w:t>
            </w:r>
          </w:p>
        </w:tc>
        <w:tc>
          <w:tcPr>
            <w:tcW w:type="dxa" w:w="5669"/>
            <w:shd w:val="clear" w:color="auto" w:fill="F5F8FA"/>
          </w:tcPr>
          <w:p>
            <w:pPr>
              <w:spacing w:after="20"/>
            </w:pPr>
            <w:r/>
            <w:r>
              <w:rPr>
                <w:b w:val="0"/>
                <w:sz w:val="18"/>
              </w:rPr>
              <w:t>Delivery, model, analysis, board presentation</w:t>
            </w:r>
          </w:p>
        </w:tc>
      </w:tr>
      <w:tr>
        <w:tc>
          <w:tcPr>
            <w:tcW w:type="dxa" w:w="2268"/>
          </w:tcPr>
          <w:p>
            <w:pPr>
              <w:spacing w:after="20"/>
            </w:pPr>
            <w:r/>
            <w:r>
              <w:rPr>
                <w:b w:val="0"/>
                <w:sz w:val="18"/>
              </w:rPr>
              <w:t>Senior analyst</w:t>
            </w:r>
          </w:p>
        </w:tc>
        <w:tc>
          <w:tcPr>
            <w:tcW w:type="dxa" w:w="1701"/>
          </w:tcPr>
          <w:p>
            <w:pPr>
              <w:spacing w:after="20"/>
            </w:pPr>
            <w:r/>
            <w:r>
              <w:rPr>
                <w:b w:val="0"/>
                <w:sz w:val="18"/>
              </w:rPr>
              <w:t>Senior</w:t>
            </w:r>
          </w:p>
        </w:tc>
        <w:tc>
          <w:tcPr>
            <w:tcW w:type="dxa" w:w="5669"/>
          </w:tcPr>
          <w:p>
            <w:pPr>
              <w:spacing w:after="20"/>
            </w:pPr>
            <w:r/>
            <w:r>
              <w:rPr>
                <w:b w:val="0"/>
                <w:sz w:val="18"/>
              </w:rPr>
              <w:t>Test routine, remediation design</w:t>
            </w:r>
          </w:p>
        </w:tc>
      </w:tr>
      <w:tr>
        <w:tc>
          <w:tcPr>
            <w:tcW w:type="dxa" w:w="2268"/>
            <w:shd w:val="clear" w:color="auto" w:fill="F5F8FA"/>
          </w:tcPr>
          <w:p>
            <w:pPr>
              <w:spacing w:after="20"/>
            </w:pPr>
            <w:r/>
            <w:r>
              <w:rPr>
                <w:b w:val="0"/>
                <w:sz w:val="18"/>
              </w:rPr>
              <w:t>Analyst</w:t>
            </w:r>
          </w:p>
        </w:tc>
        <w:tc>
          <w:tcPr>
            <w:tcW w:type="dxa" w:w="1701"/>
            <w:shd w:val="clear" w:color="auto" w:fill="F5F8FA"/>
          </w:tcPr>
          <w:p>
            <w:pPr>
              <w:spacing w:after="20"/>
            </w:pPr>
            <w:r/>
            <w:r>
              <w:rPr>
                <w:b w:val="0"/>
                <w:sz w:val="18"/>
              </w:rPr>
              <w:t>Analyst</w:t>
            </w:r>
          </w:p>
        </w:tc>
        <w:tc>
          <w:tcPr>
            <w:tcW w:type="dxa" w:w="5669"/>
            <w:shd w:val="clear" w:color="auto" w:fill="F5F8FA"/>
          </w:tcPr>
          <w:p>
            <w:pPr>
              <w:spacing w:after="20"/>
            </w:pPr>
            <w:r/>
            <w:r>
              <w:rPr>
                <w:b w:val="0"/>
                <w:sz w:val="18"/>
              </w:rPr>
              <w:t>Data preparation, working papers, monthly report</w:t>
            </w:r>
          </w:p>
        </w:tc>
      </w:tr>
    </w:tbl>
    <w:p>
      <w:pPr>
        <w:spacing w:after="40"/>
      </w:pPr>
    </w:p>
    <w:p>
      <w:pPr>
        <w:pStyle w:val="Heading2"/>
      </w:pPr>
      <w:r>
        <w:t>6. Fees</w:t>
      </w:r>
    </w:p>
    <w:tbl>
      <w:tblPr>
        <w:tblStyle w:val="TableGrid"/>
        <w:tblW w:type="auto" w:w="0"/>
        <w:jc w:val="center"/>
        <w:tblLook w:firstColumn="1" w:firstRow="1" w:lastColumn="0" w:lastRow="0" w:noHBand="0" w:noVBand="1" w:val="04A0"/>
      </w:tblPr>
      <w:tblGrid>
        <w:gridCol w:w="3324"/>
        <w:gridCol w:w="3324"/>
        <w:gridCol w:w="3324"/>
      </w:tblGrid>
      <w:tr>
        <w:tc>
          <w:tcPr>
            <w:tcW w:type="dxa" w:w="3742"/>
            <w:shd w:val="clear" w:color="auto" w:fill="0B2E4F"/>
          </w:tcPr>
          <w:p>
            <w:r/>
            <w:r>
              <w:rPr>
                <w:b/>
                <w:color w:val="FFFFFF"/>
                <w:sz w:val="17"/>
              </w:rPr>
              <w:t>Item</w:t>
            </w:r>
          </w:p>
        </w:tc>
        <w:tc>
          <w:tcPr>
            <w:tcW w:type="dxa" w:w="3402"/>
            <w:shd w:val="clear" w:color="auto" w:fill="0B2E4F"/>
          </w:tcPr>
          <w:p>
            <w:r/>
            <w:r>
              <w:rPr>
                <w:b/>
                <w:color w:val="FFFFFF"/>
                <w:sz w:val="17"/>
              </w:rPr>
              <w:t>Basis</w:t>
            </w:r>
          </w:p>
        </w:tc>
        <w:tc>
          <w:tcPr>
            <w:tcW w:type="dxa" w:w="2494"/>
            <w:shd w:val="clear" w:color="auto" w:fill="0B2E4F"/>
          </w:tcPr>
          <w:p>
            <w:r/>
            <w:r>
              <w:rPr>
                <w:b/>
                <w:color w:val="FFFFFF"/>
                <w:sz w:val="17"/>
              </w:rPr>
              <w:t>Amount (USD)</w:t>
            </w:r>
          </w:p>
        </w:tc>
      </w:tr>
      <w:tr>
        <w:tc>
          <w:tcPr>
            <w:tcW w:type="dxa" w:w="3742"/>
          </w:tcPr>
          <w:p>
            <w:pPr>
              <w:spacing w:after="20"/>
            </w:pPr>
            <w:r/>
            <w:r>
              <w:rPr>
                <w:b w:val="0"/>
                <w:sz w:val="18"/>
              </w:rPr>
              <w:t>Project work, phases 1-6</w:t>
            </w:r>
          </w:p>
        </w:tc>
        <w:tc>
          <w:tcPr>
            <w:tcW w:type="dxa" w:w="3402"/>
          </w:tcPr>
          <w:p>
            <w:pPr>
              <w:spacing w:after="20"/>
            </w:pPr>
            <w:r/>
            <w:r>
              <w:rPr>
                <w:b w:val="0"/>
                <w:sz w:val="18"/>
              </w:rPr>
              <w:t>117 hours at Maxhub day rates</w:t>
            </w:r>
          </w:p>
        </w:tc>
        <w:tc>
          <w:tcPr>
            <w:tcW w:type="dxa" w:w="2494"/>
          </w:tcPr>
          <w:p>
            <w:pPr>
              <w:spacing w:after="20"/>
              <w:jc w:val="right"/>
            </w:pPr>
            <w:r/>
            <w:r>
              <w:rPr>
                <w:b w:val="0"/>
                <w:sz w:val="18"/>
              </w:rPr>
              <w:t>24,760</w:t>
            </w:r>
          </w:p>
        </w:tc>
      </w:tr>
      <w:tr>
        <w:tc>
          <w:tcPr>
            <w:tcW w:type="dxa" w:w="3742"/>
            <w:shd w:val="clear" w:color="auto" w:fill="F5F8FA"/>
          </w:tcPr>
          <w:p>
            <w:pPr>
              <w:spacing w:after="20"/>
            </w:pPr>
            <w:r/>
            <w:r>
              <w:rPr>
                <w:b w:val="0"/>
                <w:sz w:val="18"/>
              </w:rPr>
              <w:t>Continuous monitoring retainer</w:t>
            </w:r>
          </w:p>
        </w:tc>
        <w:tc>
          <w:tcPr>
            <w:tcW w:type="dxa" w:w="3402"/>
            <w:shd w:val="clear" w:color="auto" w:fill="F5F8FA"/>
          </w:tcPr>
          <w:p>
            <w:pPr>
              <w:spacing w:after="20"/>
            </w:pPr>
            <w:r/>
            <w:r>
              <w:rPr>
                <w:b w:val="0"/>
                <w:sz w:val="18"/>
              </w:rPr>
              <w:t>Monthly, from month 2</w:t>
            </w:r>
          </w:p>
        </w:tc>
        <w:tc>
          <w:tcPr>
            <w:tcW w:type="dxa" w:w="2494"/>
            <w:shd w:val="clear" w:color="auto" w:fill="F5F8FA"/>
          </w:tcPr>
          <w:p>
            <w:pPr>
              <w:spacing w:after="20"/>
              <w:jc w:val="right"/>
            </w:pPr>
            <w:r/>
            <w:r>
              <w:rPr>
                <w:b w:val="0"/>
                <w:sz w:val="18"/>
              </w:rPr>
              <w:t>2,380 / month</w:t>
            </w:r>
          </w:p>
        </w:tc>
      </w:tr>
      <w:tr>
        <w:tc>
          <w:tcPr>
            <w:tcW w:type="dxa" w:w="3742"/>
          </w:tcPr>
          <w:p>
            <w:pPr>
              <w:spacing w:after="20"/>
            </w:pPr>
            <w:r/>
            <w:r>
              <w:rPr>
                <w:b w:val="0"/>
                <w:sz w:val="18"/>
              </w:rPr>
              <w:t>Training for the finance team</w:t>
            </w:r>
          </w:p>
        </w:tc>
        <w:tc>
          <w:tcPr>
            <w:tcW w:type="dxa" w:w="3402"/>
          </w:tcPr>
          <w:p>
            <w:pPr>
              <w:spacing w:after="20"/>
            </w:pPr>
            <w:r/>
            <w:r>
              <w:rPr>
                <w:b w:val="0"/>
                <w:sz w:val="18"/>
              </w:rPr>
              <w:t>Half day</w:t>
            </w:r>
          </w:p>
        </w:tc>
        <w:tc>
          <w:tcPr>
            <w:tcW w:type="dxa" w:w="2494"/>
          </w:tcPr>
          <w:p>
            <w:pPr>
              <w:spacing w:after="20"/>
              <w:jc w:val="right"/>
            </w:pPr>
            <w:r/>
            <w:r>
              <w:rPr>
                <w:b w:val="0"/>
                <w:sz w:val="18"/>
              </w:rPr>
              <w:t>1,800</w:t>
            </w:r>
          </w:p>
        </w:tc>
      </w:tr>
      <w:tr>
        <w:tc>
          <w:tcPr>
            <w:tcW w:type="dxa" w:w="3742"/>
            <w:shd w:val="clear" w:color="auto" w:fill="F5F8FA"/>
          </w:tcPr>
          <w:p>
            <w:pPr>
              <w:spacing w:after="20"/>
            </w:pPr>
            <w:r/>
            <w:r>
              <w:rPr>
                <w:b w:val="0"/>
                <w:sz w:val="18"/>
              </w:rPr>
              <w:t>Disbursements</w:t>
            </w:r>
          </w:p>
        </w:tc>
        <w:tc>
          <w:tcPr>
            <w:tcW w:type="dxa" w:w="3402"/>
            <w:shd w:val="clear" w:color="auto" w:fill="F5F8FA"/>
          </w:tcPr>
          <w:p>
            <w:pPr>
              <w:spacing w:after="20"/>
            </w:pPr>
            <w:r/>
            <w:r>
              <w:rPr>
                <w:b w:val="0"/>
                <w:sz w:val="18"/>
              </w:rPr>
              <w:t>At cost</w:t>
            </w:r>
          </w:p>
        </w:tc>
        <w:tc>
          <w:tcPr>
            <w:tcW w:type="dxa" w:w="2494"/>
            <w:shd w:val="clear" w:color="auto" w:fill="F5F8FA"/>
          </w:tcPr>
          <w:p>
            <w:pPr>
              <w:spacing w:after="20"/>
              <w:jc w:val="right"/>
            </w:pPr>
            <w:r/>
            <w:r>
              <w:rPr>
                <w:b w:val="0"/>
                <w:sz w:val="18"/>
              </w:rPr>
              <w:t>-</w:t>
            </w:r>
          </w:p>
        </w:tc>
      </w:tr>
    </w:tbl>
    <w:p>
      <w:pPr>
        <w:spacing w:after="40"/>
      </w:pPr>
    </w:p>
    <w:p>
      <w:pPr>
        <w:spacing w:after="120"/>
      </w:pPr>
      <w:r>
        <w:rPr>
          <w:b w:val="0"/>
          <w:i w:val="0"/>
          <w:sz w:val="18"/>
        </w:rPr>
        <w:t>Billing: 50% on engagement acceptance, 50% on delivery. Fees are exclusive of VAT. Out-of-scope work is quoted before it is performed.</w:t>
      </w:r>
    </w:p>
    <w:p>
      <w:pPr>
        <w:spacing w:after="120"/>
      </w:pPr>
      <w:r>
        <w:rPr>
          <w:b w:val="0"/>
          <w:i/>
          <w:sz w:val="18"/>
        </w:rPr>
        <w:t>Benchmark: the Service Catalogue prices a Fraud Risk Assessment at $6,000-$18,000 and a Continuous Monitoring retainer at $900-$2,500 per month. This proposal sits inside both ranges: $24,760.00 for the project and $2,380.00 per month.</w:t>
      </w:r>
    </w:p>
    <w:p>
      <w:pPr>
        <w:pStyle w:val="Heading2"/>
      </w:pPr>
      <w:r>
        <w:t>7. Assumptions</w:t>
      </w:r>
    </w:p>
    <w:p>
      <w:pPr>
        <w:pStyle w:val="ListNumber"/>
        <w:spacing w:after="40"/>
      </w:pPr>
      <w:r>
        <w:rPr>
          <w:sz w:val="21"/>
        </w:rPr>
        <w:t>You provide the data listed in the data request list in machine-readable form within five working days of kick-off, including the complete creditor sub-ledger (the extract supplied for the investigation was a 520-invoice sample).</w:t>
      </w:r>
    </w:p>
    <w:p>
      <w:pPr>
        <w:pStyle w:val="ListNumber"/>
        <w:spacing w:after="40"/>
      </w:pPr>
      <w:r>
        <w:rPr>
          <w:sz w:val="21"/>
        </w:rPr>
        <w:t>One named client contact answers queries within one working day.</w:t>
      </w:r>
    </w:p>
    <w:p>
      <w:pPr>
        <w:pStyle w:val="ListNumber"/>
        <w:spacing w:after="40"/>
      </w:pPr>
      <w:r>
        <w:rPr>
          <w:sz w:val="21"/>
        </w:rPr>
        <w:t>The data provided is complete and accurate; we report any indication that it is not.</w:t>
      </w:r>
    </w:p>
    <w:p>
      <w:pPr>
        <w:pStyle w:val="ListNumber"/>
        <w:spacing w:after="40"/>
      </w:pPr>
      <w:r>
        <w:rPr>
          <w:sz w:val="21"/>
        </w:rPr>
        <w:t>Your IT team makes the system configuration changes we specify; we do not change your ERP.</w:t>
      </w:r>
    </w:p>
    <w:p>
      <w:pPr>
        <w:pStyle w:val="ListNumber"/>
        <w:spacing w:after="40"/>
      </w:pPr>
      <w:r>
        <w:rPr>
          <w:sz w:val="21"/>
        </w:rPr>
        <w:t>Sign-off on drafts within five working days; further revision rounds are chargeable.</w:t>
      </w:r>
    </w:p>
    <w:p>
      <w:pPr>
        <w:pStyle w:val="ListNumber"/>
        <w:spacing w:after="40"/>
      </w:pPr>
      <w:r>
        <w:rPr>
          <w:sz w:val="21"/>
        </w:rPr>
        <w:t>Up to six staff interviews of one hour each.</w:t>
      </w:r>
    </w:p>
    <w:p>
      <w:pPr>
        <w:pStyle w:val="Heading2"/>
      </w:pPr>
      <w:r>
        <w:t>8. What is not included</w:t>
      </w:r>
    </w:p>
    <w:p>
      <w:pPr>
        <w:pStyle w:val="ListBullet"/>
        <w:spacing w:after="40"/>
      </w:pPr>
      <w:r>
        <w:rPr>
          <w:sz w:val="21"/>
        </w:rPr>
        <w:t>Legal advice, or expert evidence in proceedings (available under a separate engagement).</w:t>
      </w:r>
    </w:p>
    <w:p>
      <w:pPr>
        <w:pStyle w:val="ListBullet"/>
        <w:spacing w:after="40"/>
      </w:pPr>
      <w:r>
        <w:rPr>
          <w:sz w:val="21"/>
        </w:rPr>
        <w:t>Tax computations, returns or ZIMRA representation.</w:t>
      </w:r>
    </w:p>
    <w:p>
      <w:pPr>
        <w:pStyle w:val="ListBullet"/>
        <w:spacing w:after="40"/>
      </w:pPr>
      <w:r>
        <w:rPr>
          <w:sz w:val="21"/>
        </w:rPr>
        <w:t>Recovering funds on your behalf: we identify, quantify and draft; you or your lawyers pursue.</w:t>
      </w:r>
    </w:p>
    <w:p>
      <w:pPr>
        <w:pStyle w:val="ListBullet"/>
        <w:spacing w:after="40"/>
      </w:pPr>
      <w:r>
        <w:rPr>
          <w:sz w:val="21"/>
        </w:rPr>
        <w:t>Changes to your ERP or accounting system.</w:t>
      </w:r>
    </w:p>
    <w:p>
      <w:pPr>
        <w:pStyle w:val="ListBullet"/>
        <w:spacing w:after="40"/>
      </w:pPr>
      <w:r>
        <w:rPr>
          <w:sz w:val="21"/>
        </w:rPr>
        <w:t>Data extraction from systems to which you do not give us read-only access.</w:t>
      </w:r>
    </w:p>
    <w:p>
      <w:pPr>
        <w:pStyle w:val="ListBullet"/>
        <w:spacing w:after="40"/>
      </w:pPr>
      <w:r>
        <w:rPr>
          <w:sz w:val="21"/>
        </w:rPr>
        <w:t>Audit or assurance opinions. This is advisory work, not an audit.</w:t>
      </w:r>
    </w:p>
    <w:p>
      <w:pPr>
        <w:pStyle w:val="Heading2"/>
      </w:pPr>
      <w:r>
        <w:t>9. Confidentiality and data handling</w:t>
      </w:r>
    </w:p>
    <w:p>
      <w:pPr>
        <w:spacing w:after="120"/>
      </w:pPr>
      <w:r>
        <w:rPr>
          <w:b w:val="0"/>
          <w:i w:val="0"/>
          <w:sz w:val="21"/>
        </w:rPr>
        <w:t>All client data is confidential, stored only in Maxhub-controlled encrypted locations for the engagement, accessed only by the named engagement team, and returned or destroyed at the end of the retention period (seven years for working papers, 90 days for source data) or earlier on request. Personal data is processed lawfully and minimally in line with Zimbabwe's Cyber and Data Protection Act (2021). Aggregated, de-identified examples may be used for training only with your written permission.</w:t>
      </w:r>
    </w:p>
    <w:p>
      <w:pPr>
        <w:pStyle w:val="Heading2"/>
      </w:pPr>
      <w:r>
        <w:t>10. Why Maxhub</w:t>
      </w:r>
    </w:p>
    <w:p>
      <w:pPr>
        <w:spacing w:after="120"/>
      </w:pPr>
      <w:r>
        <w:rPr>
          <w:b w:val="0"/>
          <w:i w:val="0"/>
          <w:sz w:val="21"/>
        </w:rPr>
        <w:t>We built the investigation you have just read, so the monitoring is the same work running on a schedule rather than a new team learning your ledger. Every deliverable reconciles to your trial balance before it is issued, and we hand over the model and the documentation - you are never locked in to us.</w:t>
      </w:r>
    </w:p>
    <w:p>
      <w:pPr>
        <w:pStyle w:val="Heading2"/>
      </w:pPr>
      <w:r>
        <w:t>11. Acceptance</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0B2E4F"/>
          </w:tcPr>
          <w:p>
            <w:r/>
            <w:r>
              <w:rPr>
                <w:b/>
                <w:color w:val="FFFFFF"/>
                <w:sz w:val="17"/>
              </w:rPr>
            </w:r>
          </w:p>
        </w:tc>
        <w:tc>
          <w:tcPr>
            <w:tcW w:type="dxa" w:w="6236"/>
            <w:shd w:val="clear" w:color="auto" w:fill="0B2E4F"/>
          </w:tcPr>
          <w:p>
            <w:r/>
            <w:r>
              <w:rPr>
                <w:b/>
                <w:color w:val="FFFFFF"/>
                <w:sz w:val="17"/>
              </w:rPr>
            </w:r>
          </w:p>
        </w:tc>
      </w:tr>
      <w:tr>
        <w:tc>
          <w:tcPr>
            <w:tcW w:type="dxa" w:w="3402"/>
          </w:tcPr>
          <w:p>
            <w:pPr>
              <w:spacing w:after="20"/>
            </w:pPr>
            <w:r/>
            <w:r>
              <w:rPr>
                <w:b w:val="0"/>
                <w:sz w:val="18"/>
              </w:rPr>
              <w:t>Signed for the client</w:t>
            </w:r>
          </w:p>
        </w:tc>
        <w:tc>
          <w:tcPr>
            <w:tcW w:type="dxa" w:w="6236"/>
          </w:tcPr>
          <w:p>
            <w:pPr>
              <w:spacing w:after="20"/>
            </w:pPr>
            <w:r/>
            <w:r>
              <w:rPr>
                <w:b w:val="0"/>
                <w:sz w:val="18"/>
              </w:rPr>
              <w:t>______________________  Name / Title / Date</w:t>
            </w:r>
          </w:p>
        </w:tc>
      </w:tr>
      <w:tr>
        <w:tc>
          <w:tcPr>
            <w:tcW w:type="dxa" w:w="3402"/>
            <w:shd w:val="clear" w:color="auto" w:fill="F5F8FA"/>
          </w:tcPr>
          <w:p>
            <w:pPr>
              <w:spacing w:after="20"/>
            </w:pPr>
            <w:r/>
            <w:r>
              <w:rPr>
                <w:b w:val="0"/>
                <w:sz w:val="18"/>
              </w:rPr>
              <w:t>Signed for Maxhub Pvt Ltd</w:t>
            </w:r>
          </w:p>
        </w:tc>
        <w:tc>
          <w:tcPr>
            <w:tcW w:type="dxa" w:w="6236"/>
            <w:shd w:val="clear" w:color="auto" w:fill="F5F8FA"/>
          </w:tcPr>
          <w:p>
            <w:pPr>
              <w:spacing w:after="20"/>
            </w:pPr>
            <w:r/>
            <w:r>
              <w:rPr>
                <w:b w:val="0"/>
                <w:sz w:val="18"/>
              </w:rPr>
              <w:t>______________________  Name / Title / Date</w:t>
            </w:r>
          </w:p>
        </w:tc>
      </w:tr>
    </w:tbl>
    <w:p>
      <w:pPr>
        <w:spacing w:after="40"/>
      </w:pP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client proposal MX-2025-P01 - Valid for 30 days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