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8B8B"/>
          <w:sz w:val="18"/>
        </w:rPr>
        <w:t>MAXHUB PVT LTD</w:t>
      </w:r>
    </w:p>
    <w:p>
      <w:pPr>
        <w:pStyle w:val="Heading1"/>
        <w:spacing w:after="40"/>
      </w:pPr>
      <w:r>
        <w:t>Engagement letter - continuous monitoring and control remediation</w:t>
      </w:r>
    </w:p>
    <w:p>
      <w:pPr>
        <w:spacing w:after="120"/>
      </w:pPr>
      <w:r>
        <w:rPr>
          <w:b w:val="0"/>
          <w:i/>
          <w:color w:val="595959"/>
          <w:sz w:val="22"/>
        </w:rPr>
        <w:t>Terms of business covering data handling, confidentiality, retention and independence</w:t>
      </w:r>
    </w:p>
    <w:p>
      <w:pPr>
        <w:spacing w:before="80"/>
      </w:pPr>
      <w:r>
        <w:rPr>
          <w:color w:val="595959"/>
          <w:sz w:val="17"/>
        </w:rPr>
        <w:t>Client: Mhondoro Manufacturing (Pvt) Ltd    |    Period: 1 January 2024 to 30 September 2025    |    Issued: 08 October 2025    |    Reference: MX-2025-EL01    |    Classification: Confidential</w:t>
      </w:r>
    </w:p>
    <w:p>
      <w:pPr>
        <w:spacing w:before="0" w:after="160"/>
        <w:pBdr>
          <w:bottom w:val="single" w:sz="8" w:color="008B8B"/>
        </w:pBdr>
      </w:pPr>
    </w:p>
    <w:p>
      <w:pPr>
        <w:spacing w:after="120"/>
      </w:pPr>
      <w:r>
        <w:rPr>
          <w:b w:val="0"/>
          <w:i w:val="0"/>
          <w:sz w:val="21"/>
        </w:rPr>
        <w:t>To: The Audit Committee and the Financial Controller, Mhondoro Manufacturing (Pvt) Ltd</w:t>
      </w:r>
    </w:p>
    <w:p>
      <w:pPr>
        <w:spacing w:after="120"/>
      </w:pPr>
      <w:r>
        <w:rPr>
          <w:b w:val="0"/>
          <w:i w:val="0"/>
          <w:sz w:val="21"/>
        </w:rPr>
        <w:t>Date: 08 October 2025</w:t>
      </w:r>
    </w:p>
    <w:p>
      <w:pPr>
        <w:pStyle w:val="Heading2"/>
      </w:pPr>
      <w:r>
        <w:t>1. Background and objective</w:t>
      </w:r>
    </w:p>
    <w:p>
      <w:pPr>
        <w:spacing w:after="120"/>
      </w:pPr>
      <w:r>
        <w:rPr>
          <w:b w:val="0"/>
          <w:i w:val="0"/>
          <w:sz w:val="21"/>
        </w:rPr>
        <w:t>You have asked Maxhub to implement continuous monitoring of the procure-to-pay and journal-entry cycles, to remediate the control weaknesses identified in our forensic investigation of 1 January 2024 to 30 September 2025, and to support the recovery of $184,011.74 of duplicate payments.</w:t>
      </w:r>
    </w:p>
    <w:p>
      <w:pPr>
        <w:pStyle w:val="Heading2"/>
      </w:pPr>
      <w:r>
        <w:t>2. Scope of work</w:t>
      </w:r>
    </w:p>
    <w:p>
      <w:pPr>
        <w:pStyle w:val="ListNumber"/>
        <w:spacing w:after="40"/>
      </w:pPr>
      <w:r>
        <w:rPr>
          <w:sz w:val="21"/>
        </w:rPr>
        <w:t>Obtain and document the data received, including source, extraction date and integrity checks.</w:t>
      </w:r>
    </w:p>
    <w:p>
      <w:pPr>
        <w:pStyle w:val="ListNumber"/>
        <w:spacing w:after="40"/>
      </w:pPr>
      <w:r>
        <w:rPr>
          <w:sz w:val="21"/>
        </w:rPr>
        <w:t>Reconcile the data to your trial balance before any analysis is reported.</w:t>
      </w:r>
    </w:p>
    <w:p>
      <w:pPr>
        <w:pStyle w:val="ListNumber"/>
        <w:spacing w:after="40"/>
      </w:pPr>
      <w:r>
        <w:rPr>
          <w:sz w:val="21"/>
        </w:rPr>
        <w:t>Build and document the twelve-test exception routine and the exception dashboard.</w:t>
      </w:r>
    </w:p>
    <w:p>
      <w:pPr>
        <w:pStyle w:val="ListNumber"/>
        <w:spacing w:after="40"/>
      </w:pPr>
      <w:r>
        <w:rPr>
          <w:sz w:val="21"/>
        </w:rPr>
        <w:t>Redesign vendor onboarding and payment approval; document the control points.</w:t>
      </w:r>
    </w:p>
    <w:p>
      <w:pPr>
        <w:pStyle w:val="ListNumber"/>
        <w:spacing w:after="40"/>
      </w:pPr>
      <w:r>
        <w:rPr>
          <w:sz w:val="21"/>
        </w:rPr>
        <w:t>Perform a system access and segregation-of-duties review and recommend the configuration changes.</w:t>
      </w:r>
    </w:p>
    <w:p>
      <w:pPr>
        <w:pStyle w:val="ListNumber"/>
        <w:spacing w:after="40"/>
      </w:pPr>
      <w:r>
        <w:rPr>
          <w:sz w:val="21"/>
        </w:rPr>
        <w:t>Prepare the duplicate-payment recovery pack.</w:t>
      </w:r>
    </w:p>
    <w:p>
      <w:pPr>
        <w:pStyle w:val="ListNumber"/>
        <w:spacing w:after="40"/>
      </w:pPr>
      <w:r>
        <w:rPr>
          <w:sz w:val="21"/>
        </w:rPr>
        <w:t>Report to management and present to the Audit Committee.</w:t>
      </w:r>
    </w:p>
    <w:p>
      <w:pPr>
        <w:pStyle w:val="ListNumber"/>
        <w:spacing w:after="40"/>
      </w:pPr>
      <w:r>
        <w:rPr>
          <w:sz w:val="21"/>
        </w:rPr>
        <w:t>Hand over the models, working files and documentation.</w:t>
      </w:r>
    </w:p>
    <w:p>
      <w:pPr>
        <w:pStyle w:val="Heading2"/>
      </w:pPr>
      <w:r>
        <w:t>3. Matters not included in scope</w:t>
      </w:r>
    </w:p>
    <w:p>
      <w:pPr>
        <w:pStyle w:val="ListBullet"/>
        <w:spacing w:after="40"/>
      </w:pPr>
      <w:r>
        <w:rPr>
          <w:sz w:val="21"/>
        </w:rPr>
        <w:t>Legal advice, and expert evidence in proceedings unless separately agreed in writing.</w:t>
      </w:r>
    </w:p>
    <w:p>
      <w:pPr>
        <w:pStyle w:val="ListBullet"/>
        <w:spacing w:after="40"/>
      </w:pPr>
      <w:r>
        <w:rPr>
          <w:sz w:val="21"/>
        </w:rPr>
        <w:t>Tax advice and filings, and any communication with ZIMRA.</w:t>
      </w:r>
    </w:p>
    <w:p>
      <w:pPr>
        <w:pStyle w:val="ListBullet"/>
        <w:spacing w:after="40"/>
      </w:pPr>
      <w:r>
        <w:rPr>
          <w:sz w:val="21"/>
        </w:rPr>
        <w:t>Recovery of funds or pursuing third parties.</w:t>
      </w:r>
    </w:p>
    <w:p>
      <w:pPr>
        <w:pStyle w:val="ListBullet"/>
        <w:spacing w:after="40"/>
      </w:pPr>
      <w:r>
        <w:rPr>
          <w:sz w:val="21"/>
        </w:rPr>
        <w:t>Work on data or periods outside this letter.</w:t>
      </w:r>
    </w:p>
    <w:p>
      <w:pPr>
        <w:pStyle w:val="ListBullet"/>
        <w:spacing w:after="40"/>
      </w:pPr>
      <w:r>
        <w:rPr>
          <w:sz w:val="21"/>
        </w:rPr>
        <w:t>Assurance over the completeness or accuracy of systems we can only observe through extracts.</w:t>
      </w:r>
    </w:p>
    <w:p>
      <w:pPr>
        <w:pStyle w:val="ListBullet"/>
        <w:spacing w:after="40"/>
      </w:pPr>
      <w:r>
        <w:rPr>
          <w:sz w:val="21"/>
        </w:rPr>
        <w:t>Changes to your ERP or accounting system.</w:t>
      </w:r>
    </w:p>
    <w:p>
      <w:pPr>
        <w:pStyle w:val="Heading2"/>
      </w:pPr>
      <w:r>
        <w:t>4. Our responsibilities</w:t>
      </w:r>
    </w:p>
    <w:p>
      <w:pPr>
        <w:spacing w:after="120"/>
      </w:pPr>
      <w:r>
        <w:rPr>
          <w:b w:val="0"/>
          <w:i w:val="0"/>
          <w:sz w:val="21"/>
        </w:rPr>
        <w:t>We will perform the work with professional skill and care, in accordance with the engagement standards of the Institute of Chartered Accountants of Zimbabwe and the IESBA Code of Ethics. We will report significant findings as they arise rather than only at the end, and we will raise any indication that the data provided is incomplete or inconsistent.</w:t>
      </w:r>
    </w:p>
    <w:p>
      <w:pPr>
        <w:pStyle w:val="Heading2"/>
      </w:pPr>
      <w:r>
        <w:t>5. Your responsibilities</w:t>
      </w:r>
    </w:p>
    <w:p>
      <w:pPr>
        <w:pStyle w:val="ListNumber"/>
        <w:spacing w:after="40"/>
      </w:pPr>
      <w:r>
        <w:rPr>
          <w:sz w:val="21"/>
        </w:rPr>
        <w:t>Provide complete and accurate data and, where relevant, written confirmation of its completeness.</w:t>
      </w:r>
    </w:p>
    <w:p>
      <w:pPr>
        <w:pStyle w:val="ListNumber"/>
        <w:spacing w:after="40"/>
      </w:pPr>
      <w:r>
        <w:rPr>
          <w:sz w:val="21"/>
        </w:rPr>
        <w:t>Provide the data in machine-readable form within five working days of the start date.</w:t>
      </w:r>
    </w:p>
    <w:p>
      <w:pPr>
        <w:pStyle w:val="ListNumber"/>
        <w:spacing w:after="40"/>
      </w:pPr>
      <w:r>
        <w:rPr>
          <w:sz w:val="21"/>
        </w:rPr>
        <w:t>Nominate a single point of contact authorised to answer queries and provide documents.</w:t>
      </w:r>
    </w:p>
    <w:p>
      <w:pPr>
        <w:pStyle w:val="ListNumber"/>
        <w:spacing w:after="40"/>
      </w:pPr>
      <w:r>
        <w:rPr>
          <w:sz w:val="21"/>
        </w:rPr>
        <w:t>Make staff available for interviews where required.</w:t>
      </w:r>
    </w:p>
    <w:p>
      <w:pPr>
        <w:pStyle w:val="ListNumber"/>
        <w:spacing w:after="40"/>
      </w:pPr>
      <w:r>
        <w:rPr>
          <w:sz w:val="21"/>
        </w:rPr>
        <w:t>Appoint a decision-maker for every matter we raise.</w:t>
      </w:r>
    </w:p>
    <w:p>
      <w:pPr>
        <w:pStyle w:val="ListNumber"/>
        <w:spacing w:after="40"/>
      </w:pPr>
      <w:r>
        <w:rPr>
          <w:sz w:val="21"/>
        </w:rPr>
        <w:t>Notify us of any matter that may affect the engagement, including legal process touching the data.</w:t>
      </w:r>
    </w:p>
    <w:p>
      <w:pPr>
        <w:pStyle w:val="Heading2"/>
      </w:pPr>
      <w:r>
        <w:t>6. Basis of reporting and limitations</w:t>
      </w:r>
    </w:p>
    <w:p>
      <w:pPr>
        <w:spacing w:after="120"/>
      </w:pPr>
      <w:r>
        <w:rPr>
          <w:b w:val="0"/>
          <w:i w:val="0"/>
          <w:sz w:val="21"/>
        </w:rPr>
        <w:t>Our conclusions are based on the data and documents provided. Data analytics identifies exceptions and patterns; it does not by itself establish intent, and it is not a substitute for document-level corroboration. Where we cannot corroborate a matter, we will say so. Our report is prepared for the Audit Committee and management for the purpose set out in section 1; we accept no responsibility to any other party, and no third party may rely on it without our written consent.</w:t>
      </w:r>
    </w:p>
    <w:p>
      <w:pPr>
        <w:pStyle w:val="Heading2"/>
      </w:pPr>
      <w:r>
        <w:t>7. Confidentiality and data handling</w:t>
      </w:r>
    </w:p>
    <w:p>
      <w:pPr>
        <w:pStyle w:val="ListNumber"/>
        <w:spacing w:after="40"/>
      </w:pPr>
      <w:r>
        <w:rPr>
          <w:sz w:val="21"/>
        </w:rPr>
        <w:t>We keep all information confidential and use it only for this engagement.</w:t>
      </w:r>
    </w:p>
    <w:p>
      <w:pPr>
        <w:pStyle w:val="ListNumber"/>
        <w:spacing w:after="40"/>
      </w:pPr>
      <w:r>
        <w:rPr>
          <w:sz w:val="21"/>
        </w:rPr>
        <w:t>Access is restricted to the named engagement team.</w:t>
      </w:r>
    </w:p>
    <w:p>
      <w:pPr>
        <w:pStyle w:val="ListNumber"/>
        <w:spacing w:after="40"/>
      </w:pPr>
      <w:r>
        <w:rPr>
          <w:sz w:val="21"/>
        </w:rPr>
        <w:t>Data is stored in Maxhub-controlled, encrypted, access-controlled locations; mobile copies are minimised and deleted after use.</w:t>
      </w:r>
    </w:p>
    <w:p>
      <w:pPr>
        <w:pStyle w:val="ListNumber"/>
        <w:spacing w:after="40"/>
      </w:pPr>
      <w:r>
        <w:rPr>
          <w:sz w:val="21"/>
        </w:rPr>
        <w:t>Personal data is processed lawfully and minimally, in line with Zimbabwe's Cyber and Data Protection Act (2021), and we will assist with any data-subject request or breach notification concerning data we hold.</w:t>
      </w:r>
    </w:p>
    <w:p>
      <w:pPr>
        <w:pStyle w:val="ListNumber"/>
        <w:spacing w:after="40"/>
      </w:pPr>
      <w:r>
        <w:rPr>
          <w:sz w:val="21"/>
        </w:rPr>
        <w:t>On completion and after the retention period we will delete or return the engagement data, unless required by law or professional standards.</w:t>
      </w:r>
    </w:p>
    <w:p>
      <w:pPr>
        <w:pStyle w:val="ListNumber"/>
        <w:spacing w:after="40"/>
      </w:pPr>
      <w:r>
        <w:rPr>
          <w:sz w:val="21"/>
        </w:rPr>
        <w:t>Retention: seven years for working papers required by professional standards; 90 days for source data, unless the matter becomes subject to legal proceedings, in which case we hold it under legal-hold instructions.</w:t>
      </w:r>
    </w:p>
    <w:p>
      <w:pPr>
        <w:pStyle w:val="ListNumber"/>
        <w:spacing w:after="40"/>
      </w:pPr>
      <w:r>
        <w:rPr>
          <w:sz w:val="21"/>
        </w:rPr>
        <w:t>If a matter may become subject to proceedings, we will where possible work under the direction of your legal advisers so that privilege is preserved.</w:t>
      </w:r>
    </w:p>
    <w:p>
      <w:pPr>
        <w:pStyle w:val="Heading2"/>
      </w:pPr>
      <w:r>
        <w:t>8. Independence and conflicts</w:t>
      </w:r>
    </w:p>
    <w:p>
      <w:pPr>
        <w:spacing w:after="120"/>
      </w:pPr>
      <w:r>
        <w:rPr>
          <w:b w:val="0"/>
          <w:i w:val="0"/>
          <w:sz w:val="21"/>
        </w:rPr>
        <w:t>We have considered our independence and any conflicts in accepting this engagement. Maxhub does not keep your books, does not audit your financial statements and has no financial interest in your business; we therefore do not create the segregation-of-duties failure that this engagement is designed to detect. We will notify you immediately if a conflict arises.</w:t>
      </w:r>
    </w:p>
    <w:p>
      <w:pPr>
        <w:pStyle w:val="Heading2"/>
      </w:pPr>
      <w:r>
        <w:t>9. Fees and billing</w:t>
      </w:r>
    </w:p>
    <w:tbl>
      <w:tblPr>
        <w:tblStyle w:val="TableGrid"/>
        <w:tblW w:type="auto" w:w="0"/>
        <w:jc w:val="center"/>
        <w:tblLook w:firstColumn="1" w:firstRow="1" w:lastColumn="0" w:lastRow="0" w:noHBand="0" w:noVBand="1" w:val="04A0"/>
      </w:tblPr>
      <w:tblGrid>
        <w:gridCol w:w="4986"/>
        <w:gridCol w:w="4986"/>
      </w:tblGrid>
      <w:tr>
        <w:tc>
          <w:tcPr>
            <w:tcW w:type="dxa" w:w="6236"/>
            <w:shd w:val="clear" w:color="auto" w:fill="0B2E4F"/>
          </w:tcPr>
          <w:p>
            <w:r/>
            <w:r>
              <w:rPr>
                <w:b/>
                <w:color w:val="FFFFFF"/>
                <w:sz w:val="17"/>
              </w:rPr>
              <w:t>Item</w:t>
            </w:r>
          </w:p>
        </w:tc>
        <w:tc>
          <w:tcPr>
            <w:tcW w:type="dxa" w:w="3402"/>
            <w:shd w:val="clear" w:color="auto" w:fill="0B2E4F"/>
          </w:tcPr>
          <w:p>
            <w:r/>
            <w:r>
              <w:rPr>
                <w:b/>
                <w:color w:val="FFFFFF"/>
                <w:sz w:val="17"/>
              </w:rPr>
              <w:t>Amount (USD)</w:t>
            </w:r>
          </w:p>
        </w:tc>
      </w:tr>
      <w:tr>
        <w:tc>
          <w:tcPr>
            <w:tcW w:type="dxa" w:w="6236"/>
          </w:tcPr>
          <w:p>
            <w:pPr>
              <w:spacing w:after="20"/>
            </w:pPr>
            <w:r/>
            <w:r>
              <w:rPr>
                <w:b w:val="0"/>
                <w:sz w:val="18"/>
              </w:rPr>
              <w:t>Project fee - phases 1 to 6 (fixed)</w:t>
            </w:r>
          </w:p>
        </w:tc>
        <w:tc>
          <w:tcPr>
            <w:tcW w:type="dxa" w:w="3402"/>
          </w:tcPr>
          <w:p>
            <w:pPr>
              <w:spacing w:after="20"/>
              <w:jc w:val="right"/>
            </w:pPr>
            <w:r/>
            <w:r>
              <w:rPr>
                <w:b w:val="0"/>
                <w:sz w:val="18"/>
              </w:rPr>
              <w:t>24,760</w:t>
            </w:r>
          </w:p>
        </w:tc>
      </w:tr>
      <w:tr>
        <w:tc>
          <w:tcPr>
            <w:tcW w:type="dxa" w:w="6236"/>
            <w:shd w:val="clear" w:color="auto" w:fill="F5F8FA"/>
          </w:tcPr>
          <w:p>
            <w:pPr>
              <w:spacing w:after="20"/>
            </w:pPr>
            <w:r/>
            <w:r>
              <w:rPr>
                <w:b w:val="0"/>
                <w:sz w:val="18"/>
              </w:rPr>
              <w:t>Continuous monitoring retainer (monthly from month 2)</w:t>
            </w:r>
          </w:p>
        </w:tc>
        <w:tc>
          <w:tcPr>
            <w:tcW w:type="dxa" w:w="3402"/>
            <w:shd w:val="clear" w:color="auto" w:fill="F5F8FA"/>
          </w:tcPr>
          <w:p>
            <w:pPr>
              <w:spacing w:after="20"/>
              <w:jc w:val="right"/>
            </w:pPr>
            <w:r/>
            <w:r>
              <w:rPr>
                <w:b w:val="0"/>
                <w:sz w:val="18"/>
              </w:rPr>
              <w:t>2,380</w:t>
            </w:r>
          </w:p>
        </w:tc>
      </w:tr>
      <w:tr>
        <w:tc>
          <w:tcPr>
            <w:tcW w:type="dxa" w:w="6236"/>
          </w:tcPr>
          <w:p>
            <w:pPr>
              <w:spacing w:after="20"/>
            </w:pPr>
            <w:r/>
            <w:r>
              <w:rPr>
                <w:b w:val="0"/>
                <w:sz w:val="18"/>
              </w:rPr>
              <w:t>Training (half day)</w:t>
            </w:r>
          </w:p>
        </w:tc>
        <w:tc>
          <w:tcPr>
            <w:tcW w:type="dxa" w:w="3402"/>
          </w:tcPr>
          <w:p>
            <w:pPr>
              <w:spacing w:after="20"/>
              <w:jc w:val="right"/>
            </w:pPr>
            <w:r/>
            <w:r>
              <w:rPr>
                <w:b w:val="0"/>
                <w:sz w:val="18"/>
              </w:rPr>
              <w:t>1,800</w:t>
            </w:r>
          </w:p>
        </w:tc>
      </w:tr>
      <w:tr>
        <w:tc>
          <w:tcPr>
            <w:tcW w:type="dxa" w:w="6236"/>
            <w:shd w:val="clear" w:color="auto" w:fill="F5F8FA"/>
          </w:tcPr>
          <w:p>
            <w:pPr>
              <w:spacing w:after="20"/>
            </w:pPr>
            <w:r/>
            <w:r>
              <w:rPr>
                <w:b w:val="0"/>
                <w:sz w:val="18"/>
              </w:rPr>
              <w:t>Estimated disbursements</w:t>
            </w:r>
          </w:p>
        </w:tc>
        <w:tc>
          <w:tcPr>
            <w:tcW w:type="dxa" w:w="3402"/>
            <w:shd w:val="clear" w:color="auto" w:fill="F5F8FA"/>
          </w:tcPr>
          <w:p>
            <w:pPr>
              <w:spacing w:after="20"/>
              <w:jc w:val="right"/>
            </w:pPr>
            <w:r/>
            <w:r>
              <w:rPr>
                <w:b w:val="0"/>
                <w:sz w:val="18"/>
              </w:rPr>
              <w:t>-</w:t>
            </w:r>
          </w:p>
        </w:tc>
      </w:tr>
      <w:tr>
        <w:tc>
          <w:tcPr>
            <w:tcW w:type="dxa" w:w="6236"/>
          </w:tcPr>
          <w:p>
            <w:pPr>
              <w:spacing w:after="20"/>
            </w:pPr>
            <w:r/>
            <w:r>
              <w:rPr>
                <w:b/>
                <w:sz w:val="18"/>
              </w:rPr>
              <w:t>Amounts are exclusive of VAT where applicable</w:t>
            </w:r>
          </w:p>
        </w:tc>
        <w:tc>
          <w:tcPr>
            <w:tcW w:type="dxa" w:w="3402"/>
          </w:tcPr>
          <w:p>
            <w:pPr>
              <w:spacing w:after="20"/>
              <w:jc w:val="right"/>
            </w:pPr>
            <w:r/>
            <w:r>
              <w:rPr>
                <w:b w:val="0"/>
                <w:sz w:val="18"/>
              </w:rPr>
            </w:r>
          </w:p>
        </w:tc>
      </w:tr>
    </w:tbl>
    <w:p>
      <w:pPr>
        <w:spacing w:after="40"/>
      </w:pPr>
    </w:p>
    <w:p>
      <w:pPr>
        <w:spacing w:after="120"/>
      </w:pPr>
      <w:r>
        <w:rPr>
          <w:b w:val="0"/>
          <w:i w:val="0"/>
          <w:sz w:val="18"/>
        </w:rPr>
        <w:t>Billing: 50% on acceptance, 50% on delivery of the final report. Amounts unpaid 30 days after invoice attract interest at 2% per month. We will notify you before incurring any amount above 10% of the agreed fee, or where scope changes affect the fee.</w:t>
      </w:r>
    </w:p>
    <w:p>
      <w:pPr>
        <w:pStyle w:val="Heading2"/>
      </w:pPr>
      <w:r>
        <w:t>10. Team</w:t>
      </w:r>
    </w:p>
    <w:tbl>
      <w:tblPr>
        <w:tblStyle w:val="TableGrid"/>
        <w:tblW w:type="auto" w:w="0"/>
        <w:jc w:val="center"/>
        <w:tblLook w:firstColumn="1" w:firstRow="1" w:lastColumn="0" w:lastRow="0" w:noHBand="0" w:noVBand="1" w:val="04A0"/>
      </w:tblPr>
      <w:tblGrid>
        <w:gridCol w:w="4986"/>
        <w:gridCol w:w="4986"/>
      </w:tblGrid>
      <w:tr>
        <w:tc>
          <w:tcPr>
            <w:tcW w:type="dxa" w:w="4535"/>
            <w:shd w:val="clear" w:color="auto" w:fill="0B2E4F"/>
          </w:tcPr>
          <w:p>
            <w:r/>
            <w:r>
              <w:rPr>
                <w:b/>
                <w:color w:val="FFFFFF"/>
                <w:sz w:val="17"/>
              </w:rPr>
              <w:t>Name</w:t>
            </w:r>
          </w:p>
        </w:tc>
        <w:tc>
          <w:tcPr>
            <w:tcW w:type="dxa" w:w="2835"/>
            <w:shd w:val="clear" w:color="auto" w:fill="0B2E4F"/>
          </w:tcPr>
          <w:p>
            <w:r/>
            <w:r>
              <w:rPr>
                <w:b/>
                <w:color w:val="FFFFFF"/>
                <w:sz w:val="17"/>
              </w:rPr>
              <w:t>Role</w:t>
            </w:r>
          </w:p>
        </w:tc>
      </w:tr>
      <w:tr>
        <w:tc>
          <w:tcPr>
            <w:tcW w:type="dxa" w:w="4535"/>
          </w:tcPr>
          <w:p>
            <w:pPr>
              <w:spacing w:after="20"/>
            </w:pPr>
            <w:r/>
            <w:r>
              <w:rPr>
                <w:b w:val="0"/>
                <w:sz w:val="18"/>
              </w:rPr>
              <w:t>Engagement partner</w:t>
            </w:r>
          </w:p>
        </w:tc>
        <w:tc>
          <w:tcPr>
            <w:tcW w:type="dxa" w:w="2835"/>
          </w:tcPr>
          <w:p>
            <w:pPr>
              <w:spacing w:after="20"/>
            </w:pPr>
            <w:r/>
            <w:r>
              <w:rPr>
                <w:b w:val="0"/>
                <w:sz w:val="18"/>
              </w:rPr>
              <w:t>Partner</w:t>
            </w:r>
          </w:p>
        </w:tc>
      </w:tr>
      <w:tr>
        <w:tc>
          <w:tcPr>
            <w:tcW w:type="dxa" w:w="4535"/>
            <w:shd w:val="clear" w:color="auto" w:fill="F5F8FA"/>
          </w:tcPr>
          <w:p>
            <w:pPr>
              <w:spacing w:after="20"/>
            </w:pPr>
            <w:r/>
            <w:r>
              <w:rPr>
                <w:b w:val="0"/>
                <w:sz w:val="18"/>
              </w:rPr>
              <w:t>T. Makuvaza</w:t>
            </w:r>
          </w:p>
        </w:tc>
        <w:tc>
          <w:tcPr>
            <w:tcW w:type="dxa" w:w="2835"/>
            <w:shd w:val="clear" w:color="auto" w:fill="F5F8FA"/>
          </w:tcPr>
          <w:p>
            <w:pPr>
              <w:spacing w:after="20"/>
            </w:pPr>
            <w:r/>
            <w:r>
              <w:rPr>
                <w:b w:val="0"/>
                <w:sz w:val="18"/>
              </w:rPr>
              <w:t>Manager</w:t>
            </w:r>
          </w:p>
        </w:tc>
      </w:tr>
      <w:tr>
        <w:tc>
          <w:tcPr>
            <w:tcW w:type="dxa" w:w="4535"/>
          </w:tcPr>
          <w:p>
            <w:pPr>
              <w:spacing w:after="20"/>
            </w:pPr>
            <w:r/>
            <w:r>
              <w:rPr>
                <w:b w:val="0"/>
                <w:sz w:val="18"/>
              </w:rPr>
              <w:t>Senior analyst</w:t>
            </w:r>
          </w:p>
        </w:tc>
        <w:tc>
          <w:tcPr>
            <w:tcW w:type="dxa" w:w="2835"/>
          </w:tcPr>
          <w:p>
            <w:pPr>
              <w:spacing w:after="20"/>
            </w:pPr>
            <w:r/>
            <w:r>
              <w:rPr>
                <w:b w:val="0"/>
                <w:sz w:val="18"/>
              </w:rPr>
              <w:t>Senior</w:t>
            </w:r>
          </w:p>
        </w:tc>
      </w:tr>
      <w:tr>
        <w:tc>
          <w:tcPr>
            <w:tcW w:type="dxa" w:w="4535"/>
            <w:shd w:val="clear" w:color="auto" w:fill="F5F8FA"/>
          </w:tcPr>
          <w:p>
            <w:pPr>
              <w:spacing w:after="20"/>
            </w:pPr>
            <w:r/>
            <w:r>
              <w:rPr>
                <w:b w:val="0"/>
                <w:sz w:val="18"/>
              </w:rPr>
              <w:t>Analyst</w:t>
            </w:r>
          </w:p>
        </w:tc>
        <w:tc>
          <w:tcPr>
            <w:tcW w:type="dxa" w:w="2835"/>
            <w:shd w:val="clear" w:color="auto" w:fill="F5F8FA"/>
          </w:tcPr>
          <w:p>
            <w:pPr>
              <w:spacing w:after="20"/>
            </w:pPr>
            <w:r/>
            <w:r>
              <w:rPr>
                <w:b w:val="0"/>
                <w:sz w:val="18"/>
              </w:rPr>
              <w:t>Analyst</w:t>
            </w:r>
          </w:p>
        </w:tc>
      </w:tr>
    </w:tbl>
    <w:p>
      <w:pPr>
        <w:spacing w:after="40"/>
      </w:pPr>
    </w:p>
    <w:p>
      <w:pPr>
        <w:pStyle w:val="Heading2"/>
      </w:pPr>
      <w:r>
        <w:t>11. Variation, termination and complaints</w:t>
      </w:r>
    </w:p>
    <w:p>
      <w:pPr>
        <w:spacing w:after="120"/>
      </w:pPr>
      <w:r>
        <w:rPr>
          <w:b w:val="0"/>
          <w:i w:val="0"/>
          <w:sz w:val="21"/>
        </w:rPr>
        <w:t>Any variation must be agreed in writing. Either party may terminate on 14 days' written notice; work performed and costs committed to that date remain payable. If you are dissatisfied, raise it with the engagement partner first; unresolved matters are escalated to Maxhub's managing partner and thereafter to the professional body.</w:t>
      </w:r>
    </w:p>
    <w:p>
      <w:pPr>
        <w:pStyle w:val="Heading2"/>
      </w:pPr>
      <w:r>
        <w:t>12. Acceptance</w:t>
      </w:r>
    </w:p>
    <w:tbl>
      <w:tblPr>
        <w:tblStyle w:val="TableGrid"/>
        <w:tblW w:type="auto" w:w="0"/>
        <w:jc w:val="center"/>
        <w:tblLook w:firstColumn="1" w:firstRow="1" w:lastColumn="0" w:lastRow="0" w:noHBand="0" w:noVBand="1" w:val="04A0"/>
      </w:tblPr>
      <w:tblGrid>
        <w:gridCol w:w="4986"/>
        <w:gridCol w:w="4986"/>
      </w:tblGrid>
      <w:tr>
        <w:tc>
          <w:tcPr>
            <w:tcW w:type="dxa" w:w="3969"/>
            <w:shd w:val="clear" w:color="auto" w:fill="0B2E4F"/>
          </w:tcPr>
          <w:p>
            <w:r/>
            <w:r>
              <w:rPr>
                <w:b/>
                <w:color w:val="FFFFFF"/>
                <w:sz w:val="17"/>
              </w:rPr>
            </w:r>
          </w:p>
        </w:tc>
        <w:tc>
          <w:tcPr>
            <w:tcW w:type="dxa" w:w="5669"/>
            <w:shd w:val="clear" w:color="auto" w:fill="0B2E4F"/>
          </w:tcPr>
          <w:p>
            <w:r/>
            <w:r>
              <w:rPr>
                <w:b/>
                <w:color w:val="FFFFFF"/>
                <w:sz w:val="17"/>
              </w:rPr>
            </w:r>
          </w:p>
        </w:tc>
      </w:tr>
      <w:tr>
        <w:tc>
          <w:tcPr>
            <w:tcW w:type="dxa" w:w="3969"/>
          </w:tcPr>
          <w:p>
            <w:pPr>
              <w:spacing w:after="20"/>
            </w:pPr>
            <w:r/>
            <w:r>
              <w:rPr>
                <w:b w:val="0"/>
                <w:sz w:val="18"/>
              </w:rPr>
              <w:t>Signed for Mhondoro Manufacturing (Pvt) Ltd</w:t>
            </w:r>
          </w:p>
        </w:tc>
        <w:tc>
          <w:tcPr>
            <w:tcW w:type="dxa" w:w="5669"/>
          </w:tcPr>
          <w:p>
            <w:pPr>
              <w:spacing w:after="20"/>
            </w:pPr>
            <w:r/>
            <w:r>
              <w:rPr>
                <w:b w:val="0"/>
                <w:sz w:val="18"/>
              </w:rPr>
              <w:t>______________________  Name / Title / Date</w:t>
            </w:r>
          </w:p>
        </w:tc>
      </w:tr>
      <w:tr>
        <w:tc>
          <w:tcPr>
            <w:tcW w:type="dxa" w:w="3969"/>
            <w:shd w:val="clear" w:color="auto" w:fill="F5F8FA"/>
          </w:tcPr>
          <w:p>
            <w:pPr>
              <w:spacing w:after="20"/>
            </w:pPr>
            <w:r/>
            <w:r>
              <w:rPr>
                <w:b w:val="0"/>
                <w:sz w:val="18"/>
              </w:rPr>
              <w:t>Signed for Maxhub Pvt Ltd</w:t>
            </w:r>
          </w:p>
        </w:tc>
        <w:tc>
          <w:tcPr>
            <w:tcW w:type="dxa" w:w="5669"/>
            <w:shd w:val="clear" w:color="auto" w:fill="F5F8FA"/>
          </w:tcPr>
          <w:p>
            <w:pPr>
              <w:spacing w:after="20"/>
            </w:pPr>
            <w:r/>
            <w:r>
              <w:rPr>
                <w:b w:val="0"/>
                <w:sz w:val="18"/>
              </w:rPr>
              <w:t>______________________  Name / Title / Date</w:t>
            </w:r>
          </w:p>
        </w:tc>
      </w:tr>
    </w:tbl>
    <w:p>
      <w:pPr>
        <w:spacing w:after="40"/>
      </w:pPr>
    </w:p>
    <w:p/>
    <w:p>
      <w:pPr>
        <w:spacing w:before="0" w:after="160"/>
        <w:pBdr>
          <w:bottom w:val="single" w:sz="8" w:color="008B8B"/>
        </w:pBdr>
      </w:pPr>
    </w:p>
    <w:p>
      <w:pPr>
        <w:spacing w:after="120"/>
      </w:pPr>
      <w:r>
        <w:rPr>
          <w:b w:val="0"/>
          <w:i w:val="0"/>
          <w:sz w:val="18"/>
        </w:rPr>
        <w:t>Prepared by: T. Makuvaza, Engagement Manager    |    Date: 08 October 2025</w:t>
      </w:r>
    </w:p>
    <w:p>
      <w:pPr>
        <w:spacing w:after="120"/>
      </w:pPr>
      <w:r>
        <w:rPr>
          <w:b w:val="0"/>
          <w:i w:val="0"/>
          <w:sz w:val="18"/>
        </w:rPr>
        <w:t>Reviewed by (independent QC): Independent QC partner (Maxhub)    |    Date: 08 October 2025</w:t>
      </w:r>
    </w:p>
    <w:p>
      <w:pPr>
        <w:spacing w:after="120"/>
      </w:pPr>
      <w:r>
        <w:rPr>
          <w:b w:val="0"/>
          <w:i/>
          <w:color w:val="595959"/>
          <w:sz w:val="16"/>
        </w:rPr>
        <w:t>This report is confidential and prepared solely for the addressee for the purpose set out in section 1. It may not be relied upon by any other party without Maxhub's written consent. All data analysed is simulated engagement data generated for training purposes.</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95959"/>
        <w:sz w:val="16"/>
      </w:rPr>
      <w:t>Maxhub Pvt Ltd - engagement letter MX-2025-EL01 -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2E4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2E4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8B8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B2E4F"/>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