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B8B"/>
          <w:sz w:val="18"/>
        </w:rPr>
        <w:t>MAXHUB PVT LTD</w:t>
      </w:r>
    </w:p>
    <w:p>
      <w:pPr>
        <w:pStyle w:val="Heading1"/>
        <w:spacing w:after="40"/>
      </w:pPr>
      <w:r>
        <w:t>Ten-minute pitch outline</w:t>
      </w:r>
    </w:p>
    <w:p>
      <w:pPr>
        <w:spacing w:after="120"/>
      </w:pPr>
      <w:r>
        <w:rPr>
          <w:b w:val="0"/>
          <w:i/>
          <w:color w:val="595959"/>
          <w:sz w:val="22"/>
        </w:rPr>
        <w:t>Practical Exam 3 (10 points) - leads with the finding and the money, not the tool</w:t>
      </w:r>
    </w:p>
    <w:p>
      <w:pPr>
        <w:spacing w:before="80"/>
      </w:pPr>
      <w:r>
        <w:rPr>
          <w:color w:val="595959"/>
          <w:sz w:val="17"/>
        </w:rPr>
        <w:t>Client: Mhondoro Manufacturing (Pvt) Ltd    |    Period: 1 January 2024 to 30 September 2025    |    Issued: 08 October 2025    |    Reference: MX-2025-PIT    |    Classification: Confidential</w:t>
      </w:r>
    </w:p>
    <w:p>
      <w:pPr>
        <w:spacing w:before="0" w:after="160"/>
        <w:pBdr>
          <w:bottom w:val="single" w:sz="8" w:color="008B8B"/>
        </w:pBdr>
      </w:pPr>
    </w:p>
    <w:tbl>
      <w:tblPr>
        <w:tblStyle w:val="TableGrid"/>
        <w:tblW w:type="auto" w:w="0"/>
        <w:jc w:val="center"/>
        <w:tblLook w:firstColumn="1" w:firstRow="1" w:lastColumn="0" w:lastRow="0" w:noHBand="0" w:noVBand="1" w:val="04A0"/>
      </w:tblPr>
      <w:tblGrid>
        <w:gridCol w:w="3324"/>
        <w:gridCol w:w="3324"/>
        <w:gridCol w:w="3324"/>
      </w:tblGrid>
      <w:tr>
        <w:tc>
          <w:tcPr>
            <w:tcW w:type="dxa" w:w="1134"/>
            <w:shd w:val="clear" w:color="auto" w:fill="0B2E4F"/>
          </w:tcPr>
          <w:p>
            <w:r/>
            <w:r>
              <w:rPr>
                <w:b/>
                <w:color w:val="FFFFFF"/>
                <w:sz w:val="17"/>
              </w:rPr>
              <w:t>Minute</w:t>
            </w:r>
          </w:p>
        </w:tc>
        <w:tc>
          <w:tcPr>
            <w:tcW w:type="dxa" w:w="5102"/>
            <w:shd w:val="clear" w:color="auto" w:fill="0B2E4F"/>
          </w:tcPr>
          <w:p>
            <w:r/>
            <w:r>
              <w:rPr>
                <w:b/>
                <w:color w:val="FFFFFF"/>
                <w:sz w:val="17"/>
              </w:rPr>
              <w:t>What is said</w:t>
            </w:r>
          </w:p>
        </w:tc>
        <w:tc>
          <w:tcPr>
            <w:tcW w:type="dxa" w:w="3402"/>
            <w:shd w:val="clear" w:color="auto" w:fill="0B2E4F"/>
          </w:tcPr>
          <w:p>
            <w:r/>
            <w:r>
              <w:rPr>
                <w:b/>
                <w:color w:val="FFFFFF"/>
                <w:sz w:val="17"/>
              </w:rPr>
              <w:t>Why it works</w:t>
            </w:r>
          </w:p>
        </w:tc>
      </w:tr>
      <w:tr>
        <w:tc>
          <w:tcPr>
            <w:tcW w:type="dxa" w:w="1134"/>
          </w:tcPr>
          <w:p>
            <w:pPr>
              <w:spacing w:after="20"/>
            </w:pPr>
            <w:r/>
            <w:r>
              <w:rPr>
                <w:b w:val="0"/>
                <w:sz w:val="17"/>
              </w:rPr>
              <w:t>0:00-1:30</w:t>
            </w:r>
          </w:p>
        </w:tc>
        <w:tc>
          <w:tcPr>
            <w:tcW w:type="dxa" w:w="5102"/>
          </w:tcPr>
          <w:p>
            <w:pPr>
              <w:spacing w:after="20"/>
            </w:pPr>
            <w:r/>
            <w:r>
              <w:rPr>
                <w:b w:val="0"/>
                <w:sz w:val="17"/>
              </w:rPr>
              <w:t>"We found 171 transactions worth $1,945,536.55 that your controls did not catch. $184,011.74 of it is money you can ask for back this month."</w:t>
            </w:r>
          </w:p>
        </w:tc>
        <w:tc>
          <w:tcPr>
            <w:tcW w:type="dxa" w:w="3402"/>
          </w:tcPr>
          <w:p>
            <w:pPr>
              <w:spacing w:after="20"/>
            </w:pPr>
            <w:r/>
            <w:r>
              <w:rPr>
                <w:b w:val="0"/>
                <w:sz w:val="17"/>
              </w:rPr>
              <w:t>Leads with the finding and the money. No mention of Power BI.</w:t>
            </w:r>
          </w:p>
        </w:tc>
      </w:tr>
      <w:tr>
        <w:tc>
          <w:tcPr>
            <w:tcW w:type="dxa" w:w="1134"/>
            <w:shd w:val="clear" w:color="auto" w:fill="F5F8FA"/>
          </w:tcPr>
          <w:p>
            <w:pPr>
              <w:spacing w:after="20"/>
            </w:pPr>
            <w:r/>
            <w:r>
              <w:rPr>
                <w:b w:val="0"/>
                <w:sz w:val="17"/>
              </w:rPr>
              <w:t>1:30-3:00</w:t>
            </w:r>
          </w:p>
        </w:tc>
        <w:tc>
          <w:tcPr>
            <w:tcW w:type="dxa" w:w="5102"/>
            <w:shd w:val="clear" w:color="auto" w:fill="F5F8FA"/>
          </w:tcPr>
          <w:p>
            <w:pPr>
              <w:spacing w:after="20"/>
            </w:pPr>
            <w:r/>
            <w:r>
              <w:rPr>
                <w:b w:val="0"/>
                <w:sz w:val="17"/>
              </w:rPr>
              <w:t>"Three patterns: the same invoice paid twice, $445,568.39 paid to four suppliers connected to employees, and thirty payments sitting just under your approval limit."</w:t>
            </w:r>
          </w:p>
        </w:tc>
        <w:tc>
          <w:tcPr>
            <w:tcW w:type="dxa" w:w="3402"/>
            <w:shd w:val="clear" w:color="auto" w:fill="F5F8FA"/>
          </w:tcPr>
          <w:p>
            <w:pPr>
              <w:spacing w:after="20"/>
            </w:pPr>
            <w:r/>
            <w:r>
              <w:rPr>
                <w:b w:val="0"/>
                <w:sz w:val="17"/>
              </w:rPr>
              <w:t>Concrete, memorable, and each one is a control failure the board owns.</w:t>
            </w:r>
          </w:p>
        </w:tc>
      </w:tr>
      <w:tr>
        <w:tc>
          <w:tcPr>
            <w:tcW w:type="dxa" w:w="1134"/>
          </w:tcPr>
          <w:p>
            <w:pPr>
              <w:spacing w:after="20"/>
            </w:pPr>
            <w:r/>
            <w:r>
              <w:rPr>
                <w:b w:val="0"/>
                <w:sz w:val="17"/>
              </w:rPr>
              <w:t>3:00-5:00</w:t>
            </w:r>
          </w:p>
        </w:tc>
        <w:tc>
          <w:tcPr>
            <w:tcW w:type="dxa" w:w="5102"/>
          </w:tcPr>
          <w:p>
            <w:pPr>
              <w:spacing w:after="20"/>
            </w:pPr>
            <w:r/>
            <w:r>
              <w:rPr>
                <w:b w:val="0"/>
                <w:sz w:val="17"/>
              </w:rPr>
              <w:t>"None of this needed a special system. It needed twelve tests run over every transaction instead of a sample of forty. Your auditors test samples; we test the population, monthly, and we leave the model with you."</w:t>
            </w:r>
          </w:p>
        </w:tc>
        <w:tc>
          <w:tcPr>
            <w:tcW w:type="dxa" w:w="3402"/>
          </w:tcPr>
          <w:p>
            <w:pPr>
              <w:spacing w:after="20"/>
            </w:pPr>
            <w:r/>
            <w:r>
              <w:rPr>
                <w:b w:val="0"/>
                <w:sz w:val="17"/>
              </w:rPr>
              <w:t>Answers the objection 'we already get this from our auditors' before it is asked.</w:t>
            </w:r>
          </w:p>
        </w:tc>
      </w:tr>
      <w:tr>
        <w:tc>
          <w:tcPr>
            <w:tcW w:type="dxa" w:w="1134"/>
            <w:shd w:val="clear" w:color="auto" w:fill="F5F8FA"/>
          </w:tcPr>
          <w:p>
            <w:pPr>
              <w:spacing w:after="20"/>
            </w:pPr>
            <w:r/>
            <w:r>
              <w:rPr>
                <w:b w:val="0"/>
                <w:sz w:val="17"/>
              </w:rPr>
              <w:t>5:00-7:00</w:t>
            </w:r>
          </w:p>
        </w:tc>
        <w:tc>
          <w:tcPr>
            <w:tcW w:type="dxa" w:w="5102"/>
            <w:shd w:val="clear" w:color="auto" w:fill="F5F8FA"/>
          </w:tcPr>
          <w:p>
            <w:pPr>
              <w:spacing w:after="20"/>
            </w:pPr>
            <w:r/>
            <w:r>
              <w:rPr>
                <w:b w:val="0"/>
                <w:sz w:val="17"/>
              </w:rPr>
              <w:t>"We will run those twelve tests every month on your own data, give your Financial Controller a dashboard he can drill into, and fix the three controls that let this happen."</w:t>
            </w:r>
          </w:p>
        </w:tc>
        <w:tc>
          <w:tcPr>
            <w:tcW w:type="dxa" w:w="3402"/>
            <w:shd w:val="clear" w:color="auto" w:fill="F5F8FA"/>
          </w:tcPr>
          <w:p>
            <w:pPr>
              <w:spacing w:after="20"/>
            </w:pPr>
            <w:r/>
            <w:r>
              <w:rPr>
                <w:b w:val="0"/>
                <w:sz w:val="17"/>
              </w:rPr>
              <w:t>The deliverable is a monthly thing the client's own team uses - the rubric's 'client value' test.</w:t>
            </w:r>
          </w:p>
        </w:tc>
      </w:tr>
      <w:tr>
        <w:tc>
          <w:tcPr>
            <w:tcW w:type="dxa" w:w="1134"/>
          </w:tcPr>
          <w:p>
            <w:pPr>
              <w:spacing w:after="20"/>
            </w:pPr>
            <w:r/>
            <w:r>
              <w:rPr>
                <w:b w:val="0"/>
                <w:sz w:val="17"/>
              </w:rPr>
              <w:t>7:00-8:30</w:t>
            </w:r>
          </w:p>
        </w:tc>
        <w:tc>
          <w:tcPr>
            <w:tcW w:type="dxa" w:w="5102"/>
          </w:tcPr>
          <w:p>
            <w:pPr>
              <w:spacing w:after="20"/>
            </w:pPr>
            <w:r/>
            <w:r>
              <w:rPr>
                <w:b w:val="0"/>
                <w:sz w:val="17"/>
              </w:rPr>
              <w:t>"$24,760.00 for the build, $2,380.00 a month after that. Built from 117 hours at published rates - here is the sheet."</w:t>
            </w:r>
          </w:p>
        </w:tc>
        <w:tc>
          <w:tcPr>
            <w:tcW w:type="dxa" w:w="3402"/>
          </w:tcPr>
          <w:p>
            <w:pPr>
              <w:spacing w:after="20"/>
            </w:pPr>
            <w:r/>
            <w:r>
              <w:rPr>
                <w:b w:val="0"/>
                <w:sz w:val="17"/>
              </w:rPr>
              <w:t>Price is built from hours and roles and benchmarked, not guessed.</w:t>
            </w:r>
          </w:p>
        </w:tc>
      </w:tr>
      <w:tr>
        <w:tc>
          <w:tcPr>
            <w:tcW w:type="dxa" w:w="1134"/>
            <w:shd w:val="clear" w:color="auto" w:fill="F5F8FA"/>
          </w:tcPr>
          <w:p>
            <w:pPr>
              <w:spacing w:after="20"/>
            </w:pPr>
            <w:r/>
            <w:r>
              <w:rPr>
                <w:b w:val="0"/>
                <w:sz w:val="17"/>
              </w:rPr>
              <w:t>8:30-10:00</w:t>
            </w:r>
          </w:p>
        </w:tc>
        <w:tc>
          <w:tcPr>
            <w:tcW w:type="dxa" w:w="5102"/>
            <w:shd w:val="clear" w:color="auto" w:fill="F5F8FA"/>
          </w:tcPr>
          <w:p>
            <w:pPr>
              <w:spacing w:after="20"/>
            </w:pPr>
            <w:r/>
            <w:r>
              <w:rPr>
                <w:b w:val="0"/>
                <w:sz w:val="17"/>
              </w:rPr>
              <w:t>"Three questions you will ask: how long - six weeks. How much - the numbers on the table. How do I know it is right - every figure reconciles to your trial balance and a partner who did not build it re-performs a number on every page."</w:t>
            </w:r>
          </w:p>
        </w:tc>
        <w:tc>
          <w:tcPr>
            <w:tcW w:type="dxa" w:w="3402"/>
            <w:shd w:val="clear" w:color="auto" w:fill="F5F8FA"/>
          </w:tcPr>
          <w:p>
            <w:pPr>
              <w:spacing w:after="20"/>
            </w:pPr>
            <w:r/>
            <w:r>
              <w:rPr>
                <w:b w:val="0"/>
                <w:sz w:val="17"/>
              </w:rPr>
              <w:t>Answers the three client questions in writing, which is what the brief requires.</w:t>
            </w:r>
          </w:p>
        </w:tc>
      </w:tr>
    </w:tbl>
    <w:p>
      <w:pPr>
        <w:spacing w:after="40"/>
      </w:pPr>
    </w:p>
    <w:p>
      <w:pPr>
        <w:pStyle w:val="Heading2"/>
      </w:pPr>
      <w:r>
        <w:t>The three client questions, answered in writing</w:t>
      </w:r>
    </w:p>
    <w:tbl>
      <w:tblPr>
        <w:tblStyle w:val="TableGrid"/>
        <w:tblW w:type="auto" w:w="0"/>
        <w:tblLook w:firstColumn="1" w:firstRow="1" w:lastColumn="0" w:lastRow="0" w:noHBand="0" w:noVBand="1" w:val="04A0"/>
      </w:tblPr>
      <w:tblGrid>
        <w:gridCol w:w="4986"/>
        <w:gridCol w:w="4986"/>
      </w:tblGrid>
      <w:tr>
        <w:tc>
          <w:tcPr>
            <w:tcW w:type="dxa" w:w="2608"/>
            <w:shd w:val="clear" w:color="auto" w:fill="EAF1F6"/>
          </w:tcPr>
          <w:p>
            <w:r/>
            <w:r>
              <w:rPr>
                <w:b/>
                <w:sz w:val="19"/>
              </w:rPr>
              <w:t>How long?</w:t>
            </w:r>
          </w:p>
        </w:tc>
        <w:tc>
          <w:tcPr>
            <w:tcW w:type="dxa" w:w="6803"/>
          </w:tcPr>
          <w:p>
            <w:r/>
            <w:r>
              <w:rPr>
                <w:sz w:val="19"/>
              </w:rPr>
              <w:t>Six weeks to the first monthly report; the retainer starts in month two.</w:t>
            </w:r>
          </w:p>
        </w:tc>
      </w:tr>
      <w:tr>
        <w:tc>
          <w:tcPr>
            <w:tcW w:type="dxa" w:w="2608"/>
            <w:shd w:val="clear" w:color="auto" w:fill="EAF1F6"/>
          </w:tcPr>
          <w:p>
            <w:r/>
            <w:r>
              <w:rPr>
                <w:b/>
                <w:sz w:val="19"/>
              </w:rPr>
              <w:t>How much?</w:t>
            </w:r>
          </w:p>
        </w:tc>
        <w:tc>
          <w:tcPr>
            <w:tcW w:type="dxa" w:w="6803"/>
          </w:tcPr>
          <w:p>
            <w:r/>
            <w:r>
              <w:rPr>
                <w:sz w:val="19"/>
              </w:rPr>
              <w:t>$24,760.00 fixed for the build, then $2,380.00 per month. Built from 117 project hours plus 13 retainer hours a month at the published rate card.</w:t>
            </w:r>
          </w:p>
        </w:tc>
      </w:tr>
      <w:tr>
        <w:tc>
          <w:tcPr>
            <w:tcW w:type="dxa" w:w="2608"/>
            <w:shd w:val="clear" w:color="auto" w:fill="EAF1F6"/>
          </w:tcPr>
          <w:p>
            <w:r/>
            <w:r>
              <w:rPr>
                <w:b/>
                <w:sz w:val="19"/>
              </w:rPr>
              <w:t>How do I know it is right?</w:t>
            </w:r>
          </w:p>
        </w:tc>
        <w:tc>
          <w:tcPr>
            <w:tcW w:type="dxa" w:w="6803"/>
          </w:tcPr>
          <w:p>
            <w:r/>
            <w:r>
              <w:rPr>
                <w:sz w:val="19"/>
              </w:rPr>
              <w:t>Every figure reconciles to your trial balance before it is issued; a partner who did not build the work re-performs a calculation on every page; the methodology note lets your own team reproduce everything independently.</w:t>
            </w:r>
          </w:p>
        </w:tc>
      </w:tr>
    </w:tbl>
    <w:p>
      <w:pPr>
        <w:spacing w:after="40"/>
      </w:pPr>
    </w:p>
    <w:p>
      <w:pPr>
        <w:pStyle w:val="Heading2"/>
      </w:pPr>
      <w:r>
        <w:t>The 90-second retainer pitch (extension)</w:t>
      </w:r>
    </w:p>
    <w:p>
      <w:pPr>
        <w:spacing w:after="120"/>
      </w:pPr>
      <w:r>
        <w:rPr>
          <w:b w:val="0"/>
          <w:i/>
          <w:sz w:val="21"/>
        </w:rPr>
        <w:t>"The report is a photograph. The retainer is a smoke alarm. For $2,380.00 a month we run the twelve tests on your own data every month and send you the exceptions with the evidence attached - so the next $1,945,536.55 is found in month one, not in year two by a whistle-blower. And when you are tired of us, you keep the model."</w:t>
      </w:r>
    </w:p>
    <w:p/>
    <w:p>
      <w:pPr>
        <w:spacing w:before="0" w:after="160"/>
        <w:pBdr>
          <w:bottom w:val="single" w:sz="8" w:color="008B8B"/>
        </w:pBdr>
      </w:pPr>
    </w:p>
    <w:p>
      <w:pPr>
        <w:spacing w:after="120"/>
      </w:pPr>
      <w:r>
        <w:rPr>
          <w:b w:val="0"/>
          <w:i w:val="0"/>
          <w:sz w:val="18"/>
        </w:rPr>
        <w:t>Prepared by: T. Makuvaza, Engagement Manager    |    Date: 08 October 2025</w:t>
      </w:r>
    </w:p>
    <w:p>
      <w:pPr>
        <w:spacing w:after="120"/>
      </w:pPr>
      <w:r>
        <w:rPr>
          <w:b w:val="0"/>
          <w:i w:val="0"/>
          <w:sz w:val="18"/>
        </w:rPr>
        <w:t>Reviewed by (independent QC): Independent QC partner (Maxhub)    |    Date: 08 October 2025</w:t>
      </w:r>
    </w:p>
    <w:p>
      <w:pPr>
        <w:spacing w:after="120"/>
      </w:pPr>
      <w:r>
        <w:rPr>
          <w:b w:val="0"/>
          <w:i/>
          <w:color w:val="595959"/>
          <w:sz w:val="16"/>
        </w:rPr>
        <w:t>This report is confidential and prepared solely for the addressee for the purpose set out in section 1. It may not be relied upon by any other party without Maxhub's written consent. All data analysed is simulated engagement data generated for training purposes.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Maxhub Pvt Ltd - pitch outline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2E4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