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Engagement and methodology memo</w:t>
      </w:r>
    </w:p>
    <w:p>
      <w:pPr>
        <w:spacing w:after="120"/>
      </w:pPr>
      <w:r>
        <w:rPr>
          <w:b w:val="0"/>
          <w:i/>
          <w:color w:val="595959"/>
          <w:sz w:val="22"/>
        </w:rPr>
        <w:t>Capstone 1 deliverable 1 - scope, data lineage and method</w:t>
      </w:r>
    </w:p>
    <w:p>
      <w:pPr>
        <w:spacing w:before="80"/>
      </w:pPr>
      <w:r>
        <w:rPr>
          <w:color w:val="595959"/>
          <w:sz w:val="17"/>
        </w:rPr>
        <w:t>Client: Mhondoro Manufacturing (Pvt) Ltd    |    Period: 1 January 2024 to 30 September 2025    |    Issued: 08 October 2025    |    Reference: MX-2025-FI01    |    Classification: Confidential</w:t>
      </w:r>
    </w:p>
    <w:p>
      <w:pPr>
        <w:spacing w:before="0" w:after="160"/>
        <w:pBdr>
          <w:bottom w:val="single" w:sz="8" w:color="008B8B"/>
        </w:pBdr>
      </w:pPr>
    </w:p>
    <w:p>
      <w:pPr>
        <w:pStyle w:val="Heading2"/>
      </w:pPr>
      <w:r>
        <w:t>1. Engagement</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Client</w:t>
            </w:r>
          </w:p>
        </w:tc>
        <w:tc>
          <w:tcPr>
            <w:tcW w:type="dxa" w:w="6803"/>
          </w:tcPr>
          <w:p>
            <w:r/>
            <w:r>
              <w:rPr>
                <w:sz w:val="19"/>
              </w:rPr>
              <w:t>Mhondoro Manufacturing (Pvt) Ltd</w:t>
            </w:r>
          </w:p>
        </w:tc>
      </w:tr>
      <w:tr>
        <w:tc>
          <w:tcPr>
            <w:tcW w:type="dxa" w:w="2608"/>
            <w:shd w:val="clear" w:color="auto" w:fill="EAF1F6"/>
          </w:tcPr>
          <w:p>
            <w:r/>
            <w:r>
              <w:rPr>
                <w:b/>
                <w:sz w:val="19"/>
              </w:rPr>
              <w:t>Engagement</w:t>
            </w:r>
          </w:p>
        </w:tc>
        <w:tc>
          <w:tcPr>
            <w:tcW w:type="dxa" w:w="6803"/>
          </w:tcPr>
          <w:p>
            <w:r/>
            <w:r>
              <w:rPr>
                <w:sz w:val="19"/>
              </w:rPr>
              <w:t>Forensic investigation - suspected misappropriation, procure-to-pay and journal-entry cycles</w:t>
            </w:r>
          </w:p>
        </w:tc>
      </w:tr>
      <w:tr>
        <w:tc>
          <w:tcPr>
            <w:tcW w:type="dxa" w:w="2608"/>
            <w:shd w:val="clear" w:color="auto" w:fill="EAF1F6"/>
          </w:tcPr>
          <w:p>
            <w:r/>
            <w:r>
              <w:rPr>
                <w:b/>
                <w:sz w:val="19"/>
              </w:rPr>
              <w:t>Instructed by</w:t>
            </w:r>
          </w:p>
        </w:tc>
        <w:tc>
          <w:tcPr>
            <w:tcW w:type="dxa" w:w="6803"/>
          </w:tcPr>
          <w:p>
            <w:r/>
            <w:r>
              <w:rPr>
                <w:sz w:val="19"/>
              </w:rPr>
              <w:t>The Audit Committee, following a whistle-blower report</w:t>
            </w:r>
          </w:p>
        </w:tc>
      </w:tr>
      <w:tr>
        <w:tc>
          <w:tcPr>
            <w:tcW w:type="dxa" w:w="2608"/>
            <w:shd w:val="clear" w:color="auto" w:fill="EAF1F6"/>
          </w:tcPr>
          <w:p>
            <w:r/>
            <w:r>
              <w:rPr>
                <w:b/>
                <w:sz w:val="19"/>
              </w:rPr>
              <w:t>Period under review</w:t>
            </w:r>
          </w:p>
        </w:tc>
        <w:tc>
          <w:tcPr>
            <w:tcW w:type="dxa" w:w="6803"/>
          </w:tcPr>
          <w:p>
            <w:r/>
            <w:r>
              <w:rPr>
                <w:sz w:val="19"/>
              </w:rPr>
              <w:t>1 January 2024 to 30 September 2025</w:t>
            </w:r>
          </w:p>
        </w:tc>
      </w:tr>
      <w:tr>
        <w:tc>
          <w:tcPr>
            <w:tcW w:type="dxa" w:w="2608"/>
            <w:shd w:val="clear" w:color="auto" w:fill="EAF1F6"/>
          </w:tcPr>
          <w:p>
            <w:r/>
            <w:r>
              <w:rPr>
                <w:b/>
                <w:sz w:val="19"/>
              </w:rPr>
              <w:t>Standard of work</w:t>
            </w:r>
          </w:p>
        </w:tc>
        <w:tc>
          <w:tcPr>
            <w:tcW w:type="dxa" w:w="6803"/>
          </w:tcPr>
          <w:p>
            <w:r/>
            <w:r>
              <w:rPr>
                <w:sz w:val="19"/>
              </w:rPr>
              <w:t>IESBA Code of Ethics; Maxhub quality-control standards; not an audit</w:t>
            </w:r>
          </w:p>
        </w:tc>
      </w:tr>
      <w:tr>
        <w:tc>
          <w:tcPr>
            <w:tcW w:type="dxa" w:w="2608"/>
            <w:shd w:val="clear" w:color="auto" w:fill="EAF1F6"/>
          </w:tcPr>
          <w:p>
            <w:r/>
            <w:r>
              <w:rPr>
                <w:b/>
                <w:sz w:val="19"/>
              </w:rPr>
              <w:t>Engagement team</w:t>
            </w:r>
          </w:p>
        </w:tc>
        <w:tc>
          <w:tcPr>
            <w:tcW w:type="dxa" w:w="6803"/>
          </w:tcPr>
          <w:p>
            <w:r/>
            <w:r>
              <w:rPr>
                <w:sz w:val="19"/>
              </w:rPr>
              <w:t>Partner (QC), Manager (delivery), Senior analyst, Analyst</w:t>
            </w:r>
          </w:p>
        </w:tc>
      </w:tr>
      <w:tr>
        <w:tc>
          <w:tcPr>
            <w:tcW w:type="dxa" w:w="2608"/>
            <w:shd w:val="clear" w:color="auto" w:fill="EAF1F6"/>
          </w:tcPr>
          <w:p>
            <w:r/>
            <w:r>
              <w:rPr>
                <w:b/>
                <w:sz w:val="19"/>
              </w:rPr>
              <w:t>Report reference</w:t>
            </w:r>
          </w:p>
        </w:tc>
        <w:tc>
          <w:tcPr>
            <w:tcW w:type="dxa" w:w="6803"/>
          </w:tcPr>
          <w:p>
            <w:r/>
            <w:r>
              <w:rPr>
                <w:sz w:val="19"/>
              </w:rPr>
              <w:t>MX-2025-FI01</w:t>
            </w:r>
          </w:p>
        </w:tc>
      </w:tr>
      <w:tr>
        <w:tc>
          <w:tcPr>
            <w:tcW w:type="dxa" w:w="2608"/>
            <w:shd w:val="clear" w:color="auto" w:fill="EAF1F6"/>
          </w:tcPr>
          <w:p>
            <w:r/>
            <w:r>
              <w:rPr>
                <w:b/>
                <w:sz w:val="19"/>
              </w:rPr>
              <w:t>Classification</w:t>
            </w:r>
          </w:p>
        </w:tc>
        <w:tc>
          <w:tcPr>
            <w:tcW w:type="dxa" w:w="6803"/>
          </w:tcPr>
          <w:p>
            <w:r/>
            <w:r>
              <w:rPr>
                <w:sz w:val="19"/>
              </w:rPr>
              <w:t>Confidential and legally privileged; distribution limited to named recipients</w:t>
            </w:r>
          </w:p>
        </w:tc>
      </w:tr>
    </w:tbl>
    <w:p>
      <w:pPr>
        <w:spacing w:after="40"/>
      </w:pPr>
    </w:p>
    <w:p>
      <w:pPr>
        <w:pStyle w:val="Heading2"/>
      </w:pPr>
      <w:r>
        <w:t>2. Scope</w:t>
      </w:r>
    </w:p>
    <w:p>
      <w:pPr>
        <w:spacing w:after="120"/>
      </w:pPr>
      <w:r>
        <w:rPr>
          <w:b w:val="0"/>
          <w:i w:val="0"/>
          <w:sz w:val="21"/>
        </w:rPr>
        <w:t>In scope: 100% of the general ledger for the period; the vendor, customer and employee masters; the creditor and debtor sub-ledgers as provided; bank statement lines; expense claims; and the fixed asset register. Out of scope: periods outside the review window, tax computations, legal advice, recovery of funds, and any assurance opinion.</w:t>
      </w:r>
    </w:p>
    <w:p>
      <w:pPr>
        <w:pStyle w:val="Heading2"/>
      </w:pPr>
      <w:r>
        <w:t>3. Data lineage</w:t>
      </w:r>
    </w:p>
    <w:tbl>
      <w:tblPr>
        <w:tblStyle w:val="TableGrid"/>
        <w:tblW w:type="auto" w:w="0"/>
        <w:jc w:val="center"/>
        <w:tblLook w:firstColumn="1" w:firstRow="1" w:lastColumn="0" w:lastRow="0" w:noHBand="0" w:noVBand="1" w:val="04A0"/>
      </w:tblPr>
      <w:tblGrid>
        <w:gridCol w:w="4986"/>
        <w:gridCol w:w="4986"/>
      </w:tblGrid>
      <w:tr>
        <w:tc>
          <w:tcPr>
            <w:tcW w:type="dxa" w:w="1814"/>
            <w:shd w:val="clear" w:color="auto" w:fill="0B2E4F"/>
          </w:tcPr>
          <w:p>
            <w:r/>
            <w:r>
              <w:rPr>
                <w:b/>
                <w:color w:val="FFFFFF"/>
                <w:sz w:val="17"/>
              </w:rPr>
              <w:t>Step</w:t>
            </w:r>
          </w:p>
        </w:tc>
        <w:tc>
          <w:tcPr>
            <w:tcW w:type="dxa" w:w="7824"/>
            <w:shd w:val="clear" w:color="auto" w:fill="0B2E4F"/>
          </w:tcPr>
          <w:p>
            <w:r/>
            <w:r>
              <w:rPr>
                <w:b/>
                <w:color w:val="FFFFFF"/>
                <w:sz w:val="17"/>
              </w:rPr>
              <w:t>Detail</w:t>
            </w:r>
          </w:p>
        </w:tc>
      </w:tr>
      <w:tr>
        <w:tc>
          <w:tcPr>
            <w:tcW w:type="dxa" w:w="1814"/>
          </w:tcPr>
          <w:p>
            <w:pPr>
              <w:spacing w:after="20"/>
            </w:pPr>
            <w:r/>
            <w:r>
              <w:rPr>
                <w:b w:val="0"/>
                <w:sz w:val="18"/>
              </w:rPr>
              <w:t>Received</w:t>
            </w:r>
          </w:p>
        </w:tc>
        <w:tc>
          <w:tcPr>
            <w:tcW w:type="dxa" w:w="7824"/>
          </w:tcPr>
          <w:p>
            <w:pPr>
              <w:spacing w:after="20"/>
            </w:pPr>
            <w:r/>
            <w:r>
              <w:rPr>
                <w:b w:val="0"/>
                <w:sz w:val="18"/>
              </w:rPr>
              <w:t>17 CSV extracts and 3 Excel workbooks, 1 October 2025, from the Financial Controller</w:t>
            </w:r>
          </w:p>
        </w:tc>
      </w:tr>
      <w:tr>
        <w:tc>
          <w:tcPr>
            <w:tcW w:type="dxa" w:w="1814"/>
            <w:shd w:val="clear" w:color="auto" w:fill="F5F8FA"/>
          </w:tcPr>
          <w:p>
            <w:pPr>
              <w:spacing w:after="20"/>
            </w:pPr>
            <w:r/>
            <w:r>
              <w:rPr>
                <w:b w:val="0"/>
                <w:sz w:val="18"/>
              </w:rPr>
              <w:t>Integrity</w:t>
            </w:r>
          </w:p>
        </w:tc>
        <w:tc>
          <w:tcPr>
            <w:tcW w:type="dxa" w:w="7824"/>
            <w:shd w:val="clear" w:color="auto" w:fill="F5F8FA"/>
          </w:tcPr>
          <w:p>
            <w:pPr>
              <w:spacing w:after="20"/>
            </w:pPr>
            <w:r/>
            <w:r>
              <w:rPr>
                <w:b w:val="0"/>
                <w:sz w:val="18"/>
              </w:rPr>
              <w:t>SHA-256 recorded for every file on receipt; originals stored unaltered; analysis performed on copies</w:t>
            </w:r>
          </w:p>
        </w:tc>
      </w:tr>
      <w:tr>
        <w:tc>
          <w:tcPr>
            <w:tcW w:type="dxa" w:w="1814"/>
          </w:tcPr>
          <w:p>
            <w:pPr>
              <w:spacing w:after="20"/>
            </w:pPr>
            <w:r/>
            <w:r>
              <w:rPr>
                <w:b w:val="0"/>
                <w:sz w:val="18"/>
              </w:rPr>
              <w:t>Reconciliation</w:t>
            </w:r>
          </w:p>
        </w:tc>
        <w:tc>
          <w:tcPr>
            <w:tcW w:type="dxa" w:w="7824"/>
          </w:tcPr>
          <w:p>
            <w:pPr>
              <w:spacing w:after="20"/>
            </w:pPr>
            <w:r/>
            <w:r>
              <w:rPr>
                <w:b w:val="0"/>
                <w:sz w:val="18"/>
              </w:rPr>
              <w:t>Debits $122,878,886.54 = credits $122,878,886.54; 5,504 journals, all balanced; 0 orphan account keys; 0 orphan vendor keys</w:t>
            </w:r>
          </w:p>
        </w:tc>
      </w:tr>
      <w:tr>
        <w:tc>
          <w:tcPr>
            <w:tcW w:type="dxa" w:w="1814"/>
            <w:shd w:val="clear" w:color="auto" w:fill="F5F8FA"/>
          </w:tcPr>
          <w:p>
            <w:pPr>
              <w:spacing w:after="20"/>
            </w:pPr>
            <w:r/>
            <w:r>
              <w:rPr>
                <w:b w:val="0"/>
                <w:sz w:val="18"/>
              </w:rPr>
              <w:t>Trial balance</w:t>
            </w:r>
          </w:p>
        </w:tc>
        <w:tc>
          <w:tcPr>
            <w:tcW w:type="dxa" w:w="7824"/>
            <w:shd w:val="clear" w:color="auto" w:fill="F5F8FA"/>
          </w:tcPr>
          <w:p>
            <w:pPr>
              <w:spacing w:after="20"/>
            </w:pPr>
            <w:r/>
            <w:r>
              <w:rPr>
                <w:b w:val="0"/>
                <w:sz w:val="18"/>
              </w:rPr>
              <w:t>GL-derived trial balance agrees to the delivered FactTrialBalance on all 64 accounts used (0 differences)</w:t>
            </w:r>
          </w:p>
        </w:tc>
      </w:tr>
      <w:tr>
        <w:tc>
          <w:tcPr>
            <w:tcW w:type="dxa" w:w="1814"/>
          </w:tcPr>
          <w:p>
            <w:pPr>
              <w:spacing w:after="20"/>
            </w:pPr>
            <w:r/>
            <w:r>
              <w:rPr>
                <w:b w:val="0"/>
                <w:sz w:val="18"/>
              </w:rPr>
              <w:t>Population</w:t>
            </w:r>
          </w:p>
        </w:tc>
        <w:tc>
          <w:tcPr>
            <w:tcW w:type="dxa" w:w="7824"/>
          </w:tcPr>
          <w:p>
            <w:pPr>
              <w:spacing w:after="20"/>
            </w:pPr>
            <w:r/>
            <w:r>
              <w:rPr>
                <w:b w:val="0"/>
                <w:sz w:val="18"/>
              </w:rPr>
              <w:t>13,929 ledger lines, 2024-01-01 to 2025-09-30, 21 periods with no gaps</w:t>
            </w:r>
          </w:p>
        </w:tc>
      </w:tr>
      <w:tr>
        <w:tc>
          <w:tcPr>
            <w:tcW w:type="dxa" w:w="1814"/>
            <w:shd w:val="clear" w:color="auto" w:fill="F5F8FA"/>
          </w:tcPr>
          <w:p>
            <w:pPr>
              <w:spacing w:after="20"/>
            </w:pPr>
            <w:r/>
            <w:r>
              <w:rPr>
                <w:b w:val="0"/>
                <w:sz w:val="18"/>
              </w:rPr>
              <w:t>Sub-ledgers</w:t>
            </w:r>
          </w:p>
        </w:tc>
        <w:tc>
          <w:tcPr>
            <w:tcW w:type="dxa" w:w="7824"/>
            <w:shd w:val="clear" w:color="auto" w:fill="F5F8FA"/>
          </w:tcPr>
          <w:p>
            <w:pPr>
              <w:spacing w:after="20"/>
            </w:pPr>
            <w:r/>
            <w:r>
              <w:rPr>
                <w:b w:val="0"/>
                <w:sz w:val="18"/>
              </w:rPr>
              <w:t>Creditor extract 520 invoices ($6,188,968.40) - a sample; GL spend to vendors $30,505,968.04. The difference is disclosed and a complete extract has been requested.</w:t>
            </w:r>
          </w:p>
        </w:tc>
      </w:tr>
      <w:tr>
        <w:tc>
          <w:tcPr>
            <w:tcW w:type="dxa" w:w="1814"/>
          </w:tcPr>
          <w:p>
            <w:pPr>
              <w:spacing w:after="20"/>
            </w:pPr>
            <w:r/>
            <w:r>
              <w:rPr>
                <w:b w:val="0"/>
                <w:sz w:val="18"/>
              </w:rPr>
              <w:t>Reproducibility</w:t>
            </w:r>
          </w:p>
        </w:tc>
        <w:tc>
          <w:tcPr>
            <w:tcW w:type="dxa" w:w="7824"/>
          </w:tcPr>
          <w:p>
            <w:pPr>
              <w:spacing w:after="20"/>
            </w:pPr>
            <w:r/>
            <w:r>
              <w:rPr>
                <w:b w:val="0"/>
                <w:sz w:val="18"/>
              </w:rPr>
              <w:t>Every figure is produced by scripts/build_submission.py from data/raw; the same extract always produces the same numbers</w:t>
            </w:r>
          </w:p>
        </w:tc>
      </w:tr>
    </w:tbl>
    <w:p>
      <w:pPr>
        <w:spacing w:after="40"/>
      </w:pPr>
    </w:p>
    <w:p>
      <w:pPr>
        <w:pStyle w:val="Heading2"/>
      </w:pPr>
      <w:r>
        <w:t>4. Method</w:t>
      </w:r>
    </w:p>
    <w:p>
      <w:pPr>
        <w:pStyle w:val="ListNumber"/>
        <w:spacing w:after="40"/>
      </w:pPr>
      <w:r>
        <w:rPr>
          <w:sz w:val="21"/>
        </w:rPr>
        <w:t>Prove the population before testing it: control totals, journal balance, orphan keys, trial balance agreement.</w:t>
      </w:r>
    </w:p>
    <w:p>
      <w:pPr>
        <w:pStyle w:val="ListNumber"/>
        <w:spacing w:after="40"/>
      </w:pPr>
      <w:r>
        <w:rPr>
          <w:sz w:val="21"/>
        </w:rPr>
        <w:t>Run twelve analytics tests over 100% of the population. No sampling. Each test has a stated population, assertion, expectation, exception rule and follow-up (appendix A).</w:t>
      </w:r>
    </w:p>
    <w:p>
      <w:pPr>
        <w:pStyle w:val="ListNumber"/>
        <w:spacing w:after="40"/>
      </w:pPr>
      <w:r>
        <w:rPr>
          <w:sz w:val="21"/>
        </w:rPr>
        <w:t>Score every exception on a disclosed, judgmental weighting model and rank by risk-weighted value.</w:t>
      </w:r>
    </w:p>
    <w:p>
      <w:pPr>
        <w:pStyle w:val="ListNumber"/>
        <w:spacing w:after="40"/>
      </w:pPr>
      <w:r>
        <w:rPr>
          <w:sz w:val="21"/>
        </w:rPr>
        <w:t>Investigate the top exceptions: read the journal, the vendor master, the timing and the approval trail; write a finding note for each scheme.</w:t>
      </w:r>
    </w:p>
    <w:p>
      <w:pPr>
        <w:pStyle w:val="ListNumber"/>
        <w:spacing w:after="40"/>
      </w:pPr>
      <w:r>
        <w:rPr>
          <w:sz w:val="21"/>
        </w:rPr>
        <w:t>Quantify three amounts separately - total value, amount at risk, quantified loss - and state the basis of each.</w:t>
      </w:r>
    </w:p>
    <w:p>
      <w:pPr>
        <w:pStyle w:val="ListNumber"/>
        <w:spacing w:after="40"/>
      </w:pPr>
      <w:r>
        <w:rPr>
          <w:sz w:val="21"/>
        </w:rPr>
        <w:t>Reconcile the register to the client's records and record what was excluded and why.</w:t>
      </w:r>
    </w:p>
    <w:p>
      <w:pPr>
        <w:pStyle w:val="ListNumber"/>
        <w:spacing w:after="40"/>
      </w:pPr>
      <w:r>
        <w:rPr>
          <w:sz w:val="21"/>
        </w:rPr>
        <w:t>Report facts and exceptions, not accusations; recommend specific, owned, dated remediation.</w:t>
      </w:r>
    </w:p>
    <w:p>
      <w:pPr>
        <w:pStyle w:val="Heading2"/>
      </w:pPr>
      <w:r>
        <w:t>5. Scoring model</w:t>
      </w:r>
    </w:p>
    <w:tbl>
      <w:tblPr>
        <w:tblStyle w:val="TableGrid"/>
        <w:tblW w:type="auto" w:w="0"/>
        <w:jc w:val="center"/>
        <w:tblLook w:firstColumn="1" w:firstRow="1" w:lastColumn="0" w:lastRow="0" w:noHBand="0" w:noVBand="1" w:val="04A0"/>
      </w:tblPr>
      <w:tblGrid>
        <w:gridCol w:w="3324"/>
        <w:gridCol w:w="3324"/>
        <w:gridCol w:w="3324"/>
      </w:tblGrid>
      <w:tr>
        <w:tc>
          <w:tcPr>
            <w:tcW w:type="dxa" w:w="3061"/>
            <w:shd w:val="clear" w:color="auto" w:fill="0B2E4F"/>
          </w:tcPr>
          <w:p>
            <w:r/>
            <w:r>
              <w:rPr>
                <w:b/>
                <w:color w:val="FFFFFF"/>
                <w:sz w:val="17"/>
              </w:rPr>
              <w:t>Indicator</w:t>
            </w:r>
          </w:p>
        </w:tc>
        <w:tc>
          <w:tcPr>
            <w:tcW w:type="dxa" w:w="1134"/>
            <w:shd w:val="clear" w:color="auto" w:fill="0B2E4F"/>
          </w:tcPr>
          <w:p>
            <w:r/>
            <w:r>
              <w:rPr>
                <w:b/>
                <w:color w:val="FFFFFF"/>
                <w:sz w:val="17"/>
              </w:rPr>
              <w:t>Weight</w:t>
            </w:r>
          </w:p>
        </w:tc>
        <w:tc>
          <w:tcPr>
            <w:tcW w:type="dxa" w:w="5443"/>
            <w:shd w:val="clear" w:color="auto" w:fill="0B2E4F"/>
          </w:tcPr>
          <w:p>
            <w:r/>
            <w:r>
              <w:rPr>
                <w:b/>
                <w:color w:val="FFFFFF"/>
                <w:sz w:val="17"/>
              </w:rPr>
              <w:t>Why</w:t>
            </w:r>
          </w:p>
        </w:tc>
      </w:tr>
      <w:tr>
        <w:tc>
          <w:tcPr>
            <w:tcW w:type="dxa" w:w="3061"/>
          </w:tcPr>
          <w:p>
            <w:pPr>
              <w:spacing w:after="20"/>
            </w:pPr>
            <w:r/>
            <w:r>
              <w:rPr>
                <w:b w:val="0"/>
                <w:sz w:val="18"/>
              </w:rPr>
              <w:t>Duplicate payment</w:t>
            </w:r>
          </w:p>
        </w:tc>
        <w:tc>
          <w:tcPr>
            <w:tcW w:type="dxa" w:w="1134"/>
          </w:tcPr>
          <w:p>
            <w:pPr>
              <w:spacing w:after="20"/>
            </w:pPr>
            <w:r/>
            <w:r>
              <w:rPr>
                <w:b w:val="0"/>
                <w:sz w:val="18"/>
              </w:rPr>
              <w:t>30</w:t>
            </w:r>
          </w:p>
        </w:tc>
        <w:tc>
          <w:tcPr>
            <w:tcW w:type="dxa" w:w="5443"/>
          </w:tcPr>
          <w:p>
            <w:pPr>
              <w:spacing w:after="20"/>
            </w:pPr>
            <w:r/>
            <w:r>
              <w:rPr>
                <w:b w:val="0"/>
                <w:sz w:val="18"/>
              </w:rPr>
              <w:t>A duplicate payment is a near-certain error once confirmed</w:t>
            </w:r>
          </w:p>
        </w:tc>
      </w:tr>
      <w:tr>
        <w:tc>
          <w:tcPr>
            <w:tcW w:type="dxa" w:w="3061"/>
            <w:shd w:val="clear" w:color="auto" w:fill="F5F8FA"/>
          </w:tcPr>
          <w:p>
            <w:pPr>
              <w:spacing w:after="20"/>
            </w:pPr>
            <w:r/>
            <w:r>
              <w:rPr>
                <w:b w:val="0"/>
                <w:sz w:val="18"/>
              </w:rPr>
              <w:t>Round number above $5,000</w:t>
            </w:r>
          </w:p>
        </w:tc>
        <w:tc>
          <w:tcPr>
            <w:tcW w:type="dxa" w:w="1134"/>
            <w:shd w:val="clear" w:color="auto" w:fill="F5F8FA"/>
          </w:tcPr>
          <w:p>
            <w:pPr>
              <w:spacing w:after="20"/>
            </w:pPr>
            <w:r/>
            <w:r>
              <w:rPr>
                <w:b w:val="0"/>
                <w:sz w:val="18"/>
              </w:rPr>
              <w:t>15</w:t>
            </w:r>
          </w:p>
        </w:tc>
        <w:tc>
          <w:tcPr>
            <w:tcW w:type="dxa" w:w="5443"/>
            <w:shd w:val="clear" w:color="auto" w:fill="F5F8FA"/>
          </w:tcPr>
          <w:p>
            <w:pPr>
              <w:spacing w:after="20"/>
            </w:pPr>
            <w:r/>
            <w:r>
              <w:rPr>
                <w:b w:val="0"/>
                <w:sz w:val="18"/>
              </w:rPr>
              <w:t>Round amounts above the threshold are a structuring signal</w:t>
            </w:r>
          </w:p>
        </w:tc>
      </w:tr>
      <w:tr>
        <w:tc>
          <w:tcPr>
            <w:tcW w:type="dxa" w:w="3061"/>
          </w:tcPr>
          <w:p>
            <w:pPr>
              <w:spacing w:after="20"/>
            </w:pPr>
            <w:r/>
            <w:r>
              <w:rPr>
                <w:b w:val="0"/>
                <w:sz w:val="18"/>
              </w:rPr>
              <w:t>Weekend or after-hours</w:t>
            </w:r>
          </w:p>
        </w:tc>
        <w:tc>
          <w:tcPr>
            <w:tcW w:type="dxa" w:w="1134"/>
          </w:tcPr>
          <w:p>
            <w:pPr>
              <w:spacing w:after="20"/>
            </w:pPr>
            <w:r/>
            <w:r>
              <w:rPr>
                <w:b w:val="0"/>
                <w:sz w:val="18"/>
              </w:rPr>
              <w:t>15</w:t>
            </w:r>
          </w:p>
        </w:tc>
        <w:tc>
          <w:tcPr>
            <w:tcW w:type="dxa" w:w="5443"/>
          </w:tcPr>
          <w:p>
            <w:pPr>
              <w:spacing w:after="20"/>
            </w:pPr>
            <w:r/>
            <w:r>
              <w:rPr>
                <w:b w:val="0"/>
                <w:sz w:val="18"/>
              </w:rPr>
              <w:t>Timing outside business hours defeats supervisory review</w:t>
            </w:r>
          </w:p>
        </w:tc>
      </w:tr>
      <w:tr>
        <w:tc>
          <w:tcPr>
            <w:tcW w:type="dxa" w:w="3061"/>
            <w:shd w:val="clear" w:color="auto" w:fill="F5F8FA"/>
          </w:tcPr>
          <w:p>
            <w:pPr>
              <w:spacing w:after="20"/>
            </w:pPr>
            <w:r/>
            <w:r>
              <w:rPr>
                <w:b w:val="0"/>
                <w:sz w:val="18"/>
              </w:rPr>
              <w:t>No approver recorded</w:t>
            </w:r>
          </w:p>
        </w:tc>
        <w:tc>
          <w:tcPr>
            <w:tcW w:type="dxa" w:w="1134"/>
            <w:shd w:val="clear" w:color="auto" w:fill="F5F8FA"/>
          </w:tcPr>
          <w:p>
            <w:pPr>
              <w:spacing w:after="20"/>
            </w:pPr>
            <w:r/>
            <w:r>
              <w:rPr>
                <w:b w:val="0"/>
                <w:sz w:val="18"/>
              </w:rPr>
              <w:t>20</w:t>
            </w:r>
          </w:p>
        </w:tc>
        <w:tc>
          <w:tcPr>
            <w:tcW w:type="dxa" w:w="5443"/>
            <w:shd w:val="clear" w:color="auto" w:fill="F5F8FA"/>
          </w:tcPr>
          <w:p>
            <w:pPr>
              <w:spacing w:after="20"/>
            </w:pPr>
            <w:r/>
            <w:r>
              <w:rPr>
                <w:b w:val="0"/>
                <w:sz w:val="18"/>
              </w:rPr>
              <w:t>No approver means the maker-checker control did not operate</w:t>
            </w:r>
          </w:p>
        </w:tc>
      </w:tr>
      <w:tr>
        <w:tc>
          <w:tcPr>
            <w:tcW w:type="dxa" w:w="3061"/>
          </w:tcPr>
          <w:p>
            <w:pPr>
              <w:spacing w:after="20"/>
            </w:pPr>
            <w:r/>
            <w:r>
              <w:rPr>
                <w:b w:val="0"/>
                <w:sz w:val="18"/>
              </w:rPr>
              <w:t>Manual journal</w:t>
            </w:r>
          </w:p>
        </w:tc>
        <w:tc>
          <w:tcPr>
            <w:tcW w:type="dxa" w:w="1134"/>
          </w:tcPr>
          <w:p>
            <w:pPr>
              <w:spacing w:after="20"/>
            </w:pPr>
            <w:r/>
            <w:r>
              <w:rPr>
                <w:b w:val="0"/>
                <w:sz w:val="18"/>
              </w:rPr>
              <w:t>10</w:t>
            </w:r>
          </w:p>
        </w:tc>
        <w:tc>
          <w:tcPr>
            <w:tcW w:type="dxa" w:w="5443"/>
          </w:tcPr>
          <w:p>
            <w:pPr>
              <w:spacing w:after="20"/>
            </w:pPr>
            <w:r/>
            <w:r>
              <w:rPr>
                <w:b w:val="0"/>
                <w:sz w:val="18"/>
              </w:rPr>
              <w:t>Manual entries bypass system-enforced controls</w:t>
            </w:r>
          </w:p>
        </w:tc>
      </w:tr>
      <w:tr>
        <w:tc>
          <w:tcPr>
            <w:tcW w:type="dxa" w:w="3061"/>
            <w:shd w:val="clear" w:color="auto" w:fill="F5F8FA"/>
          </w:tcPr>
          <w:p>
            <w:pPr>
              <w:spacing w:after="20"/>
            </w:pPr>
            <w:r/>
            <w:r>
              <w:rPr>
                <w:b w:val="0"/>
                <w:sz w:val="18"/>
              </w:rPr>
              <w:t>Vendor created within 180 days</w:t>
            </w:r>
          </w:p>
        </w:tc>
        <w:tc>
          <w:tcPr>
            <w:tcW w:type="dxa" w:w="1134"/>
            <w:shd w:val="clear" w:color="auto" w:fill="F5F8FA"/>
          </w:tcPr>
          <w:p>
            <w:pPr>
              <w:spacing w:after="20"/>
            </w:pPr>
            <w:r/>
            <w:r>
              <w:rPr>
                <w:b w:val="0"/>
                <w:sz w:val="18"/>
              </w:rPr>
              <w:t>20</w:t>
            </w:r>
          </w:p>
        </w:tc>
        <w:tc>
          <w:tcPr>
            <w:tcW w:type="dxa" w:w="5443"/>
            <w:shd w:val="clear" w:color="auto" w:fill="F5F8FA"/>
          </w:tcPr>
          <w:p>
            <w:pPr>
              <w:spacing w:after="20"/>
            </w:pPr>
            <w:r/>
            <w:r>
              <w:rPr>
                <w:b w:val="0"/>
                <w:sz w:val="18"/>
              </w:rPr>
              <w:t>A recently created vendor has no trading history to corroborate it</w:t>
            </w:r>
          </w:p>
        </w:tc>
      </w:tr>
      <w:tr>
        <w:tc>
          <w:tcPr>
            <w:tcW w:type="dxa" w:w="3061"/>
          </w:tcPr>
          <w:p>
            <w:pPr>
              <w:spacing w:after="20"/>
            </w:pPr>
            <w:r/>
            <w:r>
              <w:rPr>
                <w:b w:val="0"/>
                <w:sz w:val="18"/>
              </w:rPr>
              <w:t>Amount above $25,000</w:t>
            </w:r>
          </w:p>
        </w:tc>
        <w:tc>
          <w:tcPr>
            <w:tcW w:type="dxa" w:w="1134"/>
          </w:tcPr>
          <w:p>
            <w:pPr>
              <w:spacing w:after="20"/>
            </w:pPr>
            <w:r/>
            <w:r>
              <w:rPr>
                <w:b w:val="0"/>
                <w:sz w:val="18"/>
              </w:rPr>
              <w:t>10</w:t>
            </w:r>
          </w:p>
        </w:tc>
        <w:tc>
          <w:tcPr>
            <w:tcW w:type="dxa" w:w="5443"/>
          </w:tcPr>
          <w:p>
            <w:pPr>
              <w:spacing w:after="20"/>
            </w:pPr>
            <w:r/>
            <w:r>
              <w:rPr>
                <w:b w:val="0"/>
                <w:sz w:val="18"/>
              </w:rPr>
              <w:t>Size determines materiality to the investigation</w:t>
            </w:r>
          </w:p>
        </w:tc>
      </w:tr>
      <w:tr>
        <w:tc>
          <w:tcPr>
            <w:tcW w:type="dxa" w:w="3061"/>
            <w:shd w:val="clear" w:color="auto" w:fill="F5F8FA"/>
          </w:tcPr>
          <w:p>
            <w:pPr>
              <w:spacing w:after="20"/>
            </w:pPr>
            <w:r/>
            <w:r>
              <w:rPr>
                <w:b/>
                <w:sz w:val="18"/>
              </w:rPr>
              <w:t>Bands</w:t>
            </w:r>
          </w:p>
        </w:tc>
        <w:tc>
          <w:tcPr>
            <w:tcW w:type="dxa" w:w="1134"/>
            <w:shd w:val="clear" w:color="auto" w:fill="F5F8FA"/>
          </w:tcPr>
          <w:p>
            <w:pPr>
              <w:spacing w:after="20"/>
            </w:pPr>
            <w:r/>
            <w:r>
              <w:rPr>
                <w:b w:val="0"/>
                <w:sz w:val="18"/>
              </w:rPr>
            </w:r>
          </w:p>
        </w:tc>
        <w:tc>
          <w:tcPr>
            <w:tcW w:type="dxa" w:w="5443"/>
            <w:shd w:val="clear" w:color="auto" w:fill="F5F8FA"/>
          </w:tcPr>
          <w:p>
            <w:pPr>
              <w:spacing w:after="20"/>
            </w:pPr>
            <w:r/>
            <w:r>
              <w:rPr>
                <w:b w:val="0"/>
                <w:sz w:val="18"/>
              </w:rPr>
              <w:t>High &gt;= 70, Medium 40-69, Low &lt; 40; rank by amount x score / 100</w:t>
            </w:r>
          </w:p>
        </w:tc>
      </w:tr>
    </w:tbl>
    <w:p>
      <w:pPr>
        <w:spacing w:after="40"/>
      </w:pPr>
    </w:p>
    <w:p>
      <w:pPr>
        <w:spacing w:after="120"/>
      </w:pPr>
      <w:r>
        <w:rPr>
          <w:b w:val="0"/>
          <w:i/>
          <w:sz w:val="18"/>
        </w:rPr>
        <w:t>The weights are judgmental. That is normal and acceptable provided it is disclosed: the scoring decides the order in which exceptions are investigated, not whether they are exceptions.</w:t>
      </w:r>
    </w:p>
    <w:p>
      <w:pPr>
        <w:pStyle w:val="Heading2"/>
      </w:pPr>
      <w:r>
        <w:t>6. Limitations</w:t>
      </w:r>
    </w:p>
    <w:p>
      <w:pPr>
        <w:pStyle w:val="ListBullet"/>
        <w:spacing w:after="40"/>
      </w:pPr>
      <w:r>
        <w:rPr>
          <w:sz w:val="21"/>
        </w:rPr>
        <w:t>Data analytics identifies exceptions; it does not establish intent or illegality.</w:t>
      </w:r>
    </w:p>
    <w:p>
      <w:pPr>
        <w:pStyle w:val="ListBullet"/>
        <w:spacing w:after="40"/>
      </w:pPr>
      <w:r>
        <w:rPr>
          <w:sz w:val="21"/>
        </w:rPr>
        <w:t>We have not verified the completeness of the systems that produced the extracts.</w:t>
      </w:r>
    </w:p>
    <w:p>
      <w:pPr>
        <w:pStyle w:val="ListBullet"/>
        <w:spacing w:after="40"/>
      </w:pPr>
      <w:r>
        <w:rPr>
          <w:sz w:val="21"/>
        </w:rPr>
        <w:t>The creditor extract is a sample, so three-way-match statistics are stated on that basis.</w:t>
      </w:r>
    </w:p>
    <w:p>
      <w:pPr>
        <w:pStyle w:val="ListBullet"/>
        <w:spacing w:after="40"/>
      </w:pPr>
      <w:r>
        <w:rPr>
          <w:sz w:val="21"/>
        </w:rPr>
        <w:t>No document-level corroboration has been performed; nothing is reported as a quantified loss.</w:t>
      </w:r>
    </w:p>
    <w:p>
      <w:pPr>
        <w:pStyle w:val="ListBullet"/>
        <w:spacing w:after="40"/>
      </w:pPr>
      <w:r>
        <w:rPr>
          <w:sz w:val="21"/>
        </w:rPr>
        <w:t>No procedures were performed to identify events after the date of this memo.</w:t>
      </w:r>
    </w:p>
    <w:p>
      <w:pPr>
        <w:pStyle w:val="ListBullet"/>
        <w:spacing w:after="40"/>
      </w:pPr>
      <w:r>
        <w:rPr>
          <w:sz w:val="21"/>
        </w:rPr>
        <w:t>The data analysed is simulated engagement data generated for training purposes.</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engagement and methodology memo - Confidential and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