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Findings report - forensic investigation</w:t>
      </w:r>
    </w:p>
    <w:p>
      <w:pPr>
        <w:spacing w:after="120"/>
      </w:pPr>
      <w:r>
        <w:rPr>
          <w:b w:val="0"/>
          <w:i/>
          <w:color w:val="595959"/>
          <w:sz w:val="22"/>
        </w:rPr>
        <w:t>Capstone 1 deliverable 4 - prepared for the Audit Committee</w:t>
      </w:r>
    </w:p>
    <w:p>
      <w:pPr>
        <w:spacing w:before="80"/>
      </w:pPr>
      <w:r>
        <w:rPr>
          <w:color w:val="595959"/>
          <w:sz w:val="17"/>
        </w:rPr>
        <w:t>Client: Mhondoro Manufacturing (Pvt) Ltd    |    Period: 1 January 2024 to 30 September 2025    |    Issued: 08 October 2025    |    Reference: MX-2025-FI01    |    Classification: Confidential</w:t>
      </w:r>
    </w:p>
    <w:p>
      <w:pPr>
        <w:spacing w:before="0" w:after="160"/>
        <w:pBdr>
          <w:bottom w:val="single" w:sz="8" w:color="008B8B"/>
        </w:pBdr>
      </w:pPr>
    </w:p>
    <w:p>
      <w:pPr>
        <w:pStyle w:val="Heading2"/>
      </w:pPr>
      <w:r>
        <w:t>1. Executive summary</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What we were asked to do</w:t>
            </w:r>
          </w:p>
        </w:tc>
        <w:tc>
          <w:tcPr>
            <w:tcW w:type="dxa" w:w="6803"/>
          </w:tcPr>
          <w:p>
            <w:r/>
            <w:r>
              <w:rPr>
                <w:sz w:val="19"/>
              </w:rPr>
              <w:t>Analyse the accounting data for 1 January 2024 to 30 September 2025, identify and quantify irregular transactions, and report to the Audit Committee.</w:t>
            </w:r>
          </w:p>
        </w:tc>
      </w:tr>
      <w:tr>
        <w:tc>
          <w:tcPr>
            <w:tcW w:type="dxa" w:w="2608"/>
            <w:shd w:val="clear" w:color="auto" w:fill="EAF1F6"/>
          </w:tcPr>
          <w:p>
            <w:r/>
            <w:r>
              <w:rPr>
                <w:b/>
                <w:sz w:val="19"/>
              </w:rPr>
              <w:t>What we did</w:t>
            </w:r>
          </w:p>
        </w:tc>
        <w:tc>
          <w:tcPr>
            <w:tcW w:type="dxa" w:w="6803"/>
          </w:tcPr>
          <w:p>
            <w:r/>
            <w:r>
              <w:rPr>
                <w:sz w:val="19"/>
              </w:rPr>
              <w:t>We proved the population (13,929 ledger lines; debits = credits = $122,878,886.54), then ran twelve analytics tests over 100% of it - no sampling.</w:t>
            </w:r>
          </w:p>
        </w:tc>
      </w:tr>
      <w:tr>
        <w:tc>
          <w:tcPr>
            <w:tcW w:type="dxa" w:w="2608"/>
            <w:shd w:val="clear" w:color="auto" w:fill="EAF1F6"/>
          </w:tcPr>
          <w:p>
            <w:r/>
            <w:r>
              <w:rPr>
                <w:b/>
                <w:sz w:val="19"/>
              </w:rPr>
              <w:t>What we found</w:t>
            </w:r>
          </w:p>
        </w:tc>
        <w:tc>
          <w:tcPr>
            <w:tcW w:type="dxa" w:w="6803"/>
          </w:tcPr>
          <w:p>
            <w:r/>
            <w:r>
              <w:rPr>
                <w:sz w:val="19"/>
              </w:rPr>
              <w:t>171 exceptions totalling $1,945,536.55 across seven patterns. The three largest: payments to four suppliers connected to employees ($406,300.00 of manual journals posted outside business hours; $445,568.39 to related-party vendors that bypassed approval; $368,023.48 of invoices paid twice).</w:t>
            </w:r>
          </w:p>
        </w:tc>
      </w:tr>
      <w:tr>
        <w:tc>
          <w:tcPr>
            <w:tcW w:type="dxa" w:w="2608"/>
            <w:shd w:val="clear" w:color="auto" w:fill="EAF1F6"/>
          </w:tcPr>
          <w:p>
            <w:r/>
            <w:r>
              <w:rPr>
                <w:b/>
                <w:sz w:val="19"/>
              </w:rPr>
              <w:t>What it is worth</w:t>
            </w:r>
          </w:p>
        </w:tc>
        <w:tc>
          <w:tcPr>
            <w:tcW w:type="dxa" w:w="6803"/>
          </w:tcPr>
          <w:p>
            <w:r/>
            <w:r>
              <w:rPr>
                <w:sz w:val="19"/>
              </w:rPr>
              <w:t>Total value $1,945,536.55. Amount at risk $1,761,524.81. Quantified loss: nil - no document-level corroboration has been performed, which we recommend as the next phase.</w:t>
            </w:r>
          </w:p>
        </w:tc>
      </w:tr>
      <w:tr>
        <w:tc>
          <w:tcPr>
            <w:tcW w:type="dxa" w:w="2608"/>
            <w:shd w:val="clear" w:color="auto" w:fill="EAF1F6"/>
          </w:tcPr>
          <w:p>
            <w:r/>
            <w:r>
              <w:rPr>
                <w:b/>
                <w:sz w:val="19"/>
              </w:rPr>
              <w:t>What we recommend</w:t>
            </w:r>
          </w:p>
        </w:tc>
        <w:tc>
          <w:tcPr>
            <w:tcW w:type="dxa" w:w="6803"/>
          </w:tcPr>
          <w:p>
            <w:r/>
            <w:r>
              <w:rPr>
                <w:sz w:val="19"/>
              </w:rPr>
              <w:t>1. Recover the duplicate payments this month (Financial Director). 2. Freeze the four employee-linked vendors and remove the value-based exception to the purchase-order requirement (CFO / Procurement). 3. Put the twelve tests on a monthly schedule so this is caught in month one next time (Maxhub / Financial Controller).</w:t>
            </w:r>
          </w:p>
        </w:tc>
      </w:tr>
      <w:tr>
        <w:tc>
          <w:tcPr>
            <w:tcW w:type="dxa" w:w="2608"/>
            <w:shd w:val="clear" w:color="auto" w:fill="EAF1F6"/>
          </w:tcPr>
          <w:p>
            <w:r/>
            <w:r>
              <w:rPr>
                <w:b/>
                <w:sz w:val="19"/>
              </w:rPr>
              <w:t>Limitation</w:t>
            </w:r>
          </w:p>
        </w:tc>
        <w:tc>
          <w:tcPr>
            <w:tcW w:type="dxa" w:w="6803"/>
          </w:tcPr>
          <w:p>
            <w:r/>
            <w:r>
              <w:rPr>
                <w:sz w:val="19"/>
              </w:rPr>
              <w:t>Our work is data analytics and document review. It identifies exceptions requiring management action; it is not an audit, and it does not express a legal opinion or determine intent.</w:t>
            </w:r>
          </w:p>
        </w:tc>
      </w:tr>
    </w:tbl>
    <w:p>
      <w:pPr>
        <w:spacing w:after="40"/>
      </w:pPr>
    </w:p>
    <w:p>
      <w:pPr>
        <w:pStyle w:val="Heading2"/>
      </w:pPr>
      <w:r>
        <w:t>2. Basis of our work</w:t>
      </w:r>
    </w:p>
    <w:p>
      <w:pPr>
        <w:pStyle w:val="Heading3"/>
      </w:pPr>
      <w:r>
        <w:t>2.1 Instruction</w:t>
      </w:r>
    </w:p>
    <w:p>
      <w:pPr>
        <w:spacing w:after="120"/>
      </w:pPr>
      <w:r>
        <w:rPr>
          <w:b w:val="0"/>
          <w:i w:val="0"/>
          <w:sz w:val="21"/>
        </w:rPr>
        <w:t>The Audit Committee instructed us in writing on 25 September 2025, following a whistle-blower report alleging that payments had been made to suppliers connected to employees and that journal entries had been used to conceal transactions. The instruction is on the engagement file.</w:t>
      </w:r>
    </w:p>
    <w:p>
      <w:pPr>
        <w:pStyle w:val="Heading3"/>
      </w:pPr>
      <w:r>
        <w:t>2.2 Scope</w:t>
      </w:r>
    </w:p>
    <w:p>
      <w:pPr>
        <w:spacing w:after="120"/>
      </w:pPr>
      <w:r>
        <w:rPr>
          <w:b w:val="0"/>
          <w:i w:val="0"/>
          <w:sz w:val="21"/>
        </w:rPr>
        <w:t>The procure-to-pay and journal-entry cycles for 1 January 2024 to 30 September 2025, covering 100% of the general ledger and the sub-ledgers provided. Excluded: other periods, tax, legal advice, recovery of funds, and any assurance opinion.</w:t>
      </w:r>
    </w:p>
    <w:p>
      <w:pPr>
        <w:pStyle w:val="Heading3"/>
      </w:pPr>
      <w:r>
        <w:t>2.3 Data received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10"/>
            <w:shd w:val="clear" w:color="auto" w:fill="0B2E4F"/>
          </w:tcPr>
          <w:p>
            <w:r/>
            <w:r>
              <w:rPr>
                <w:b/>
                <w:color w:val="FFFFFF"/>
                <w:sz w:val="17"/>
              </w:rPr>
              <w:t>#</w:t>
            </w:r>
          </w:p>
        </w:tc>
        <w:tc>
          <w:tcPr>
            <w:tcW w:type="dxa" w:w="3402"/>
            <w:shd w:val="clear" w:color="auto" w:fill="0B2E4F"/>
          </w:tcPr>
          <w:p>
            <w:r/>
            <w:r>
              <w:rPr>
                <w:b/>
                <w:color w:val="FFFFFF"/>
                <w:sz w:val="17"/>
              </w:rPr>
              <w:t>Data set</w:t>
            </w:r>
          </w:p>
        </w:tc>
        <w:tc>
          <w:tcPr>
            <w:tcW w:type="dxa" w:w="2835"/>
            <w:shd w:val="clear" w:color="auto" w:fill="0B2E4F"/>
          </w:tcPr>
          <w:p>
            <w:r/>
            <w:r>
              <w:rPr>
                <w:b/>
                <w:color w:val="FFFFFF"/>
                <w:sz w:val="17"/>
              </w:rPr>
              <w:t>Source</w:t>
            </w:r>
          </w:p>
        </w:tc>
        <w:tc>
          <w:tcPr>
            <w:tcW w:type="dxa" w:w="1701"/>
            <w:shd w:val="clear" w:color="auto" w:fill="0B2E4F"/>
          </w:tcPr>
          <w:p>
            <w:r/>
            <w:r>
              <w:rPr>
                <w:b/>
                <w:color w:val="FFFFFF"/>
                <w:sz w:val="17"/>
              </w:rPr>
              <w:t>Records</w:t>
            </w:r>
          </w:p>
        </w:tc>
      </w:tr>
      <w:tr>
        <w:tc>
          <w:tcPr>
            <w:tcW w:type="dxa" w:w="510"/>
          </w:tcPr>
          <w:p>
            <w:pPr>
              <w:spacing w:after="20"/>
            </w:pPr>
            <w:r/>
            <w:r>
              <w:rPr>
                <w:b w:val="0"/>
                <w:sz w:val="18"/>
              </w:rPr>
              <w:t>1</w:t>
            </w:r>
          </w:p>
        </w:tc>
        <w:tc>
          <w:tcPr>
            <w:tcW w:type="dxa" w:w="3402"/>
          </w:tcPr>
          <w:p>
            <w:pPr>
              <w:spacing w:after="20"/>
            </w:pPr>
            <w:r/>
            <w:r>
              <w:rPr>
                <w:b w:val="0"/>
                <w:sz w:val="18"/>
              </w:rPr>
              <w:t>General ledger</w:t>
            </w:r>
          </w:p>
        </w:tc>
        <w:tc>
          <w:tcPr>
            <w:tcW w:type="dxa" w:w="2835"/>
          </w:tcPr>
          <w:p>
            <w:pPr>
              <w:spacing w:after="20"/>
            </w:pPr>
            <w:r/>
            <w:r>
              <w:rPr>
                <w:b w:val="0"/>
                <w:sz w:val="18"/>
              </w:rPr>
              <w:t>ERP-GL / Manual-JE</w:t>
            </w:r>
          </w:p>
        </w:tc>
        <w:tc>
          <w:tcPr>
            <w:tcW w:type="dxa" w:w="1701"/>
          </w:tcPr>
          <w:p>
            <w:pPr>
              <w:spacing w:after="20"/>
            </w:pPr>
            <w:r/>
            <w:r>
              <w:rPr>
                <w:b w:val="0"/>
                <w:sz w:val="18"/>
              </w:rPr>
              <w:t>13,929</w:t>
            </w:r>
          </w:p>
        </w:tc>
      </w:tr>
      <w:tr>
        <w:tc>
          <w:tcPr>
            <w:tcW w:type="dxa" w:w="510"/>
            <w:shd w:val="clear" w:color="auto" w:fill="F5F8FA"/>
          </w:tcPr>
          <w:p>
            <w:pPr>
              <w:spacing w:after="20"/>
            </w:pPr>
            <w:r/>
            <w:r>
              <w:rPr>
                <w:b w:val="0"/>
                <w:sz w:val="18"/>
              </w:rPr>
              <w:t>2</w:t>
            </w:r>
          </w:p>
        </w:tc>
        <w:tc>
          <w:tcPr>
            <w:tcW w:type="dxa" w:w="3402"/>
            <w:shd w:val="clear" w:color="auto" w:fill="F5F8FA"/>
          </w:tcPr>
          <w:p>
            <w:pPr>
              <w:spacing w:after="20"/>
            </w:pPr>
            <w:r/>
            <w:r>
              <w:rPr>
                <w:b w:val="0"/>
                <w:sz w:val="18"/>
              </w:rPr>
              <w:t>Vendor master</w:t>
            </w:r>
          </w:p>
        </w:tc>
        <w:tc>
          <w:tcPr>
            <w:tcW w:type="dxa" w:w="2835"/>
            <w:shd w:val="clear" w:color="auto" w:fill="F5F8FA"/>
          </w:tcPr>
          <w:p>
            <w:pPr>
              <w:spacing w:after="20"/>
            </w:pPr>
            <w:r/>
            <w:r>
              <w:rPr>
                <w:b w:val="0"/>
                <w:sz w:val="18"/>
              </w:rPr>
              <w:t>ERP-AP</w:t>
            </w:r>
          </w:p>
        </w:tc>
        <w:tc>
          <w:tcPr>
            <w:tcW w:type="dxa" w:w="1701"/>
            <w:shd w:val="clear" w:color="auto" w:fill="F5F8FA"/>
          </w:tcPr>
          <w:p>
            <w:pPr>
              <w:spacing w:after="20"/>
            </w:pPr>
            <w:r/>
            <w:r>
              <w:rPr>
                <w:b w:val="0"/>
                <w:sz w:val="18"/>
              </w:rPr>
              <w:t>26</w:t>
            </w:r>
          </w:p>
        </w:tc>
      </w:tr>
      <w:tr>
        <w:tc>
          <w:tcPr>
            <w:tcW w:type="dxa" w:w="510"/>
          </w:tcPr>
          <w:p>
            <w:pPr>
              <w:spacing w:after="20"/>
            </w:pPr>
            <w:r/>
            <w:r>
              <w:rPr>
                <w:b w:val="0"/>
                <w:sz w:val="18"/>
              </w:rPr>
              <w:t>3</w:t>
            </w:r>
          </w:p>
        </w:tc>
        <w:tc>
          <w:tcPr>
            <w:tcW w:type="dxa" w:w="3402"/>
          </w:tcPr>
          <w:p>
            <w:pPr>
              <w:spacing w:after="20"/>
            </w:pPr>
            <w:r/>
            <w:r>
              <w:rPr>
                <w:b w:val="0"/>
                <w:sz w:val="18"/>
              </w:rPr>
              <w:t>Employee master</w:t>
            </w:r>
          </w:p>
        </w:tc>
        <w:tc>
          <w:tcPr>
            <w:tcW w:type="dxa" w:w="2835"/>
          </w:tcPr>
          <w:p>
            <w:pPr>
              <w:spacing w:after="20"/>
            </w:pPr>
            <w:r/>
            <w:r>
              <w:rPr>
                <w:b w:val="0"/>
                <w:sz w:val="18"/>
              </w:rPr>
              <w:t>Payroll</w:t>
            </w:r>
          </w:p>
        </w:tc>
        <w:tc>
          <w:tcPr>
            <w:tcW w:type="dxa" w:w="1701"/>
          </w:tcPr>
          <w:p>
            <w:pPr>
              <w:spacing w:after="20"/>
            </w:pPr>
            <w:r/>
            <w:r>
              <w:rPr>
                <w:b w:val="0"/>
                <w:sz w:val="18"/>
              </w:rPr>
              <w:t>63</w:t>
            </w:r>
          </w:p>
        </w:tc>
      </w:tr>
      <w:tr>
        <w:tc>
          <w:tcPr>
            <w:tcW w:type="dxa" w:w="510"/>
            <w:shd w:val="clear" w:color="auto" w:fill="F5F8FA"/>
          </w:tcPr>
          <w:p>
            <w:pPr>
              <w:spacing w:after="20"/>
            </w:pPr>
            <w:r/>
            <w:r>
              <w:rPr>
                <w:b w:val="0"/>
                <w:sz w:val="18"/>
              </w:rPr>
              <w:t>4</w:t>
            </w:r>
          </w:p>
        </w:tc>
        <w:tc>
          <w:tcPr>
            <w:tcW w:type="dxa" w:w="3402"/>
            <w:shd w:val="clear" w:color="auto" w:fill="F5F8FA"/>
          </w:tcPr>
          <w:p>
            <w:pPr>
              <w:spacing w:after="20"/>
            </w:pPr>
            <w:r/>
            <w:r>
              <w:rPr>
                <w:b w:val="0"/>
                <w:sz w:val="18"/>
              </w:rPr>
              <w:t>Creditor sub-ledger (sample)</w:t>
            </w:r>
          </w:p>
        </w:tc>
        <w:tc>
          <w:tcPr>
            <w:tcW w:type="dxa" w:w="2835"/>
            <w:shd w:val="clear" w:color="auto" w:fill="F5F8FA"/>
          </w:tcPr>
          <w:p>
            <w:pPr>
              <w:spacing w:after="20"/>
            </w:pPr>
            <w:r/>
            <w:r>
              <w:rPr>
                <w:b w:val="0"/>
                <w:sz w:val="18"/>
              </w:rPr>
              <w:t>ERP-AP</w:t>
            </w:r>
          </w:p>
        </w:tc>
        <w:tc>
          <w:tcPr>
            <w:tcW w:type="dxa" w:w="1701"/>
            <w:shd w:val="clear" w:color="auto" w:fill="F5F8FA"/>
          </w:tcPr>
          <w:p>
            <w:pPr>
              <w:spacing w:after="20"/>
            </w:pPr>
            <w:r/>
            <w:r>
              <w:rPr>
                <w:b w:val="0"/>
                <w:sz w:val="18"/>
              </w:rPr>
              <w:t>520</w:t>
            </w:r>
          </w:p>
        </w:tc>
      </w:tr>
      <w:tr>
        <w:tc>
          <w:tcPr>
            <w:tcW w:type="dxa" w:w="510"/>
          </w:tcPr>
          <w:p>
            <w:pPr>
              <w:spacing w:after="20"/>
            </w:pPr>
            <w:r/>
            <w:r>
              <w:rPr>
                <w:b w:val="0"/>
                <w:sz w:val="18"/>
              </w:rPr>
              <w:t>5</w:t>
            </w:r>
          </w:p>
        </w:tc>
        <w:tc>
          <w:tcPr>
            <w:tcW w:type="dxa" w:w="3402"/>
          </w:tcPr>
          <w:p>
            <w:pPr>
              <w:spacing w:after="20"/>
            </w:pPr>
            <w:r/>
            <w:r>
              <w:rPr>
                <w:b w:val="0"/>
                <w:sz w:val="18"/>
              </w:rPr>
              <w:t>Debtor ageing</w:t>
            </w:r>
          </w:p>
        </w:tc>
        <w:tc>
          <w:tcPr>
            <w:tcW w:type="dxa" w:w="2835"/>
          </w:tcPr>
          <w:p>
            <w:pPr>
              <w:spacing w:after="20"/>
            </w:pPr>
            <w:r/>
            <w:r>
              <w:rPr>
                <w:b w:val="0"/>
                <w:sz w:val="18"/>
              </w:rPr>
              <w:t>ERP-AR</w:t>
            </w:r>
          </w:p>
        </w:tc>
        <w:tc>
          <w:tcPr>
            <w:tcW w:type="dxa" w:w="1701"/>
          </w:tcPr>
          <w:p>
            <w:pPr>
              <w:spacing w:after="20"/>
            </w:pPr>
            <w:r/>
            <w:r>
              <w:rPr>
                <w:b w:val="0"/>
                <w:sz w:val="18"/>
              </w:rPr>
              <w:t>420</w:t>
            </w:r>
          </w:p>
        </w:tc>
      </w:tr>
      <w:tr>
        <w:tc>
          <w:tcPr>
            <w:tcW w:type="dxa" w:w="510"/>
            <w:shd w:val="clear" w:color="auto" w:fill="F5F8FA"/>
          </w:tcPr>
          <w:p>
            <w:pPr>
              <w:spacing w:after="20"/>
            </w:pPr>
            <w:r/>
            <w:r>
              <w:rPr>
                <w:b w:val="0"/>
                <w:sz w:val="18"/>
              </w:rPr>
              <w:t>6</w:t>
            </w:r>
          </w:p>
        </w:tc>
        <w:tc>
          <w:tcPr>
            <w:tcW w:type="dxa" w:w="3402"/>
            <w:shd w:val="clear" w:color="auto" w:fill="F5F8FA"/>
          </w:tcPr>
          <w:p>
            <w:pPr>
              <w:spacing w:after="20"/>
            </w:pPr>
            <w:r/>
            <w:r>
              <w:rPr>
                <w:b w:val="0"/>
                <w:sz w:val="18"/>
              </w:rPr>
              <w:t>Bank statements</w:t>
            </w:r>
          </w:p>
        </w:tc>
        <w:tc>
          <w:tcPr>
            <w:tcW w:type="dxa" w:w="2835"/>
            <w:shd w:val="clear" w:color="auto" w:fill="F5F8FA"/>
          </w:tcPr>
          <w:p>
            <w:pPr>
              <w:spacing w:after="20"/>
            </w:pPr>
            <w:r/>
            <w:r>
              <w:rPr>
                <w:b w:val="0"/>
                <w:sz w:val="18"/>
              </w:rPr>
              <w:t>Bank portal</w:t>
            </w:r>
          </w:p>
        </w:tc>
        <w:tc>
          <w:tcPr>
            <w:tcW w:type="dxa" w:w="1701"/>
            <w:shd w:val="clear" w:color="auto" w:fill="F5F8FA"/>
          </w:tcPr>
          <w:p>
            <w:pPr>
              <w:spacing w:after="20"/>
            </w:pPr>
            <w:r/>
            <w:r>
              <w:rPr>
                <w:b w:val="0"/>
                <w:sz w:val="18"/>
              </w:rPr>
              <w:t>1400</w:t>
            </w:r>
          </w:p>
        </w:tc>
      </w:tr>
      <w:tr>
        <w:tc>
          <w:tcPr>
            <w:tcW w:type="dxa" w:w="510"/>
          </w:tcPr>
          <w:p>
            <w:pPr>
              <w:spacing w:after="20"/>
            </w:pPr>
            <w:r/>
            <w:r>
              <w:rPr>
                <w:b w:val="0"/>
                <w:sz w:val="18"/>
              </w:rPr>
              <w:t>7</w:t>
            </w:r>
          </w:p>
        </w:tc>
        <w:tc>
          <w:tcPr>
            <w:tcW w:type="dxa" w:w="3402"/>
          </w:tcPr>
          <w:p>
            <w:pPr>
              <w:spacing w:after="20"/>
            </w:pPr>
            <w:r/>
            <w:r>
              <w:rPr>
                <w:b w:val="0"/>
                <w:sz w:val="18"/>
              </w:rPr>
              <w:t>Expense claims</w:t>
            </w:r>
          </w:p>
        </w:tc>
        <w:tc>
          <w:tcPr>
            <w:tcW w:type="dxa" w:w="2835"/>
          </w:tcPr>
          <w:p>
            <w:pPr>
              <w:spacing w:after="20"/>
            </w:pPr>
            <w:r/>
            <w:r>
              <w:rPr>
                <w:b w:val="0"/>
                <w:sz w:val="18"/>
              </w:rPr>
              <w:t>Expense system</w:t>
            </w:r>
          </w:p>
        </w:tc>
        <w:tc>
          <w:tcPr>
            <w:tcW w:type="dxa" w:w="1701"/>
          </w:tcPr>
          <w:p>
            <w:pPr>
              <w:spacing w:after="20"/>
            </w:pPr>
            <w:r/>
            <w:r>
              <w:rPr>
                <w:b w:val="0"/>
                <w:sz w:val="18"/>
              </w:rPr>
              <w:t>650</w:t>
            </w:r>
          </w:p>
        </w:tc>
      </w:tr>
      <w:tr>
        <w:tc>
          <w:tcPr>
            <w:tcW w:type="dxa" w:w="510"/>
            <w:shd w:val="clear" w:color="auto" w:fill="F5F8FA"/>
          </w:tcPr>
          <w:p>
            <w:pPr>
              <w:spacing w:after="20"/>
            </w:pPr>
            <w:r/>
            <w:r>
              <w:rPr>
                <w:b w:val="0"/>
                <w:sz w:val="18"/>
              </w:rPr>
              <w:t>8</w:t>
            </w:r>
          </w:p>
        </w:tc>
        <w:tc>
          <w:tcPr>
            <w:tcW w:type="dxa" w:w="3402"/>
            <w:shd w:val="clear" w:color="auto" w:fill="F5F8FA"/>
          </w:tcPr>
          <w:p>
            <w:pPr>
              <w:spacing w:after="20"/>
            </w:pPr>
            <w:r/>
            <w:r>
              <w:rPr>
                <w:b w:val="0"/>
                <w:sz w:val="18"/>
              </w:rPr>
              <w:t>Trial balance</w:t>
            </w:r>
          </w:p>
        </w:tc>
        <w:tc>
          <w:tcPr>
            <w:tcW w:type="dxa" w:w="2835"/>
            <w:shd w:val="clear" w:color="auto" w:fill="F5F8FA"/>
          </w:tcPr>
          <w:p>
            <w:pPr>
              <w:spacing w:after="20"/>
            </w:pPr>
            <w:r/>
            <w:r>
              <w:rPr>
                <w:b w:val="0"/>
                <w:sz w:val="18"/>
              </w:rPr>
              <w:t>ERP-GL</w:t>
            </w:r>
          </w:p>
        </w:tc>
        <w:tc>
          <w:tcPr>
            <w:tcW w:type="dxa" w:w="1701"/>
            <w:shd w:val="clear" w:color="auto" w:fill="F5F8FA"/>
          </w:tcPr>
          <w:p>
            <w:pPr>
              <w:spacing w:after="20"/>
            </w:pPr>
            <w:r/>
            <w:r>
              <w:rPr>
                <w:b w:val="0"/>
                <w:sz w:val="18"/>
              </w:rPr>
              <w:t>1,323</w:t>
            </w:r>
          </w:p>
        </w:tc>
      </w:tr>
    </w:tbl>
    <w:p>
      <w:pPr>
        <w:spacing w:after="40"/>
      </w:pPr>
    </w:p>
    <w:p>
      <w:pPr>
        <w:pStyle w:val="Heading3"/>
      </w:pPr>
      <w:r>
        <w:t>2.4 Data integrity procedures</w:t>
      </w:r>
    </w:p>
    <w:p>
      <w:pPr>
        <w:pStyle w:val="ListBullet"/>
        <w:spacing w:after="40"/>
      </w:pPr>
      <w:r>
        <w:rPr>
          <w:sz w:val="21"/>
        </w:rPr>
        <w:t>Originals stored unaltered; SHA-256 recorded for every file on receipt.</w:t>
      </w:r>
    </w:p>
    <w:p>
      <w:pPr>
        <w:pStyle w:val="ListBullet"/>
        <w:spacing w:after="40"/>
      </w:pPr>
      <w:r>
        <w:rPr>
          <w:sz w:val="21"/>
        </w:rPr>
        <w:t>Extract reconciled to the trial balance: debits and credits agree at $122,878,886.54 each.</w:t>
      </w:r>
    </w:p>
    <w:p>
      <w:pPr>
        <w:pStyle w:val="ListBullet"/>
        <w:spacing w:after="40"/>
      </w:pPr>
      <w:r>
        <w:rPr>
          <w:sz w:val="21"/>
        </w:rPr>
        <w:t>No orphan account keys; no orphan vendor keys; 0 unbalanced journals.</w:t>
      </w:r>
    </w:p>
    <w:p>
      <w:pPr>
        <w:pStyle w:val="ListBullet"/>
        <w:spacing w:after="40"/>
      </w:pPr>
      <w:r>
        <w:rPr>
          <w:sz w:val="21"/>
        </w:rPr>
        <w:t>GL-derived trial balance agrees to the client's trial balance on all 64 accounts used.</w:t>
      </w:r>
    </w:p>
    <w:p>
      <w:pPr>
        <w:pStyle w:val="ListBullet"/>
        <w:spacing w:after="40"/>
      </w:pPr>
      <w:r>
        <w:rPr>
          <w:sz w:val="21"/>
        </w:rPr>
        <w:t>The creditor extract is a sample of 520 invoices; a complete extract has been requested and the limitation is stated wherever three-way-match statistics appear.</w:t>
      </w:r>
    </w:p>
    <w:p>
      <w:pPr>
        <w:pStyle w:val="Heading3"/>
      </w:pPr>
      <w:r>
        <w:t>2.5 Procedures performed</w:t>
      </w:r>
    </w:p>
    <w:p>
      <w:pPr>
        <w:spacing w:after="120"/>
      </w:pPr>
      <w:r>
        <w:rPr>
          <w:b w:val="0"/>
          <w:i w:val="0"/>
          <w:sz w:val="21"/>
        </w:rPr>
        <w:t>Twelve tests over 100% of the population: duplicate payments, related-party vendors, threshold avoidance, split purchases, weekend and after-hours journals, segregation of duties, unreversed accruals, suspense integrity, maker-checker, backdating and period-end clustering, Benford first-digit analysis, and sub-ledger control reconciliation. 171 exceptions were raised, scored and ranked; the top 30 by risk-weighted value were investigated individually; 141 further exceptions were investigated and dismissed with reasons.</w:t>
      </w:r>
    </w:p>
    <w:p>
      <w:pPr>
        <w:pStyle w:val="Heading3"/>
      </w:pPr>
      <w:r>
        <w:t>2.6 Limitations</w:t>
      </w:r>
    </w:p>
    <w:p>
      <w:pPr>
        <w:pStyle w:val="ListBullet"/>
        <w:spacing w:after="40"/>
      </w:pPr>
      <w:r>
        <w:rPr>
          <w:sz w:val="21"/>
        </w:rPr>
        <w:t>Data analytics identifies exceptions; it does not establish intent or illegality.</w:t>
      </w:r>
    </w:p>
    <w:p>
      <w:pPr>
        <w:pStyle w:val="ListBullet"/>
        <w:spacing w:after="40"/>
      </w:pPr>
      <w:r>
        <w:rPr>
          <w:sz w:val="21"/>
        </w:rPr>
        <w:t>We have not verified the completeness of the systems that produced the extracts.</w:t>
      </w:r>
    </w:p>
    <w:p>
      <w:pPr>
        <w:pStyle w:val="ListBullet"/>
        <w:spacing w:after="40"/>
      </w:pPr>
      <w:r>
        <w:rPr>
          <w:sz w:val="21"/>
        </w:rPr>
        <w:t>Amounts described as 'amount at risk' are the full value of the exceptions; only amounts with documentary support would be reported as quantified loss, and none has been corroborated.</w:t>
      </w:r>
    </w:p>
    <w:p>
      <w:pPr>
        <w:pStyle w:val="ListBullet"/>
        <w:spacing w:after="40"/>
      </w:pPr>
      <w:r>
        <w:rPr>
          <w:sz w:val="21"/>
        </w:rPr>
        <w:t>No procedures were performed to identify subsequent events after the date of this report.</w:t>
      </w:r>
    </w:p>
    <w:p>
      <w:pPr>
        <w:pStyle w:val="Heading3"/>
      </w:pPr>
      <w:r>
        <w:t>2.7 Standards and independence</w:t>
      </w:r>
    </w:p>
    <w:p>
      <w:pPr>
        <w:spacing w:after="120"/>
      </w:pPr>
      <w:r>
        <w:rPr>
          <w:b w:val="0"/>
          <w:i w:val="0"/>
          <w:sz w:val="21"/>
        </w:rPr>
        <w:t>We performed this work in accordance with the IESBA Code of Ethics and Maxhub's internal quality-control standards. An independent Maxhub partner who did not build the work reviewed this report before issue. Maxhub does not keep the client's books and does not audit its financial statements.</w:t>
      </w:r>
    </w:p>
    <w:p>
      <w:r>
        <w:br w:type="page"/>
      </w:r>
    </w:p>
    <w:p>
      <w:pPr>
        <w:pStyle w:val="Heading2"/>
      </w:pPr>
      <w:r>
        <w:t>3. Findings</w:t>
      </w:r>
    </w:p>
    <w:p>
      <w:pPr>
        <w:spacing w:after="120"/>
      </w:pPr>
      <w:r>
        <w:rPr>
          <w:b w:val="0"/>
          <w:i/>
          <w:sz w:val="18"/>
        </w:rPr>
        <w:t>One finding per pattern, in descending order of value. Each states what we observed, how we tested it, the evidence, why it matters, the root cause and the recommendation.</w:t>
      </w:r>
    </w:p>
    <w:p>
      <w:pPr>
        <w:pStyle w:val="Heading3"/>
      </w:pPr>
      <w:r>
        <w:t>Finding 1 - Payments to suppliers connected to employees</w:t>
      </w:r>
    </w:p>
    <w:tbl>
      <w:tblPr>
        <w:tblStyle w:val="TableGrid"/>
        <w:tblW w:type="auto" w:w="0"/>
        <w:tblLook w:firstColumn="1" w:firstRow="1" w:lastColumn="0" w:lastRow="0" w:noHBand="0" w:noVBand="1" w:val="04A0"/>
      </w:tblPr>
      <w:tblGrid>
        <w:gridCol w:w="4986"/>
        <w:gridCol w:w="4986"/>
      </w:tblGrid>
      <w:tr>
        <w:tc>
          <w:tcPr>
            <w:tcW w:type="dxa" w:w="2041"/>
            <w:shd w:val="clear" w:color="auto" w:fill="EAF1F6"/>
          </w:tcPr>
          <w:p>
            <w:r/>
            <w:r>
              <w:rPr>
                <w:b/>
                <w:sz w:val="18"/>
              </w:rPr>
              <w:t>Amount at risk</w:t>
            </w:r>
          </w:p>
        </w:tc>
        <w:tc>
          <w:tcPr>
            <w:tcW w:type="dxa" w:w="7597"/>
          </w:tcPr>
          <w:p>
            <w:r/>
            <w:r>
              <w:rPr>
                <w:sz w:val="18"/>
              </w:rPr>
              <w:t>$445,568.39 across 15 journal lines</w:t>
            </w:r>
          </w:p>
        </w:tc>
      </w:tr>
      <w:tr>
        <w:tc>
          <w:tcPr>
            <w:tcW w:type="dxa" w:w="2041"/>
            <w:shd w:val="clear" w:color="auto" w:fill="EAF1F6"/>
          </w:tcPr>
          <w:p>
            <w:r/>
            <w:r>
              <w:rPr>
                <w:b/>
                <w:sz w:val="18"/>
              </w:rPr>
              <w:t>Total value</w:t>
            </w:r>
          </w:p>
        </w:tc>
        <w:tc>
          <w:tcPr>
            <w:tcW w:type="dxa" w:w="7597"/>
          </w:tcPr>
          <w:p>
            <w:r/>
            <w:r>
              <w:rPr>
                <w:sz w:val="18"/>
              </w:rPr>
              <w:t>$445,568.39</w:t>
            </w:r>
          </w:p>
        </w:tc>
      </w:tr>
      <w:tr>
        <w:tc>
          <w:tcPr>
            <w:tcW w:type="dxa" w:w="2041"/>
            <w:shd w:val="clear" w:color="auto" w:fill="EAF1F6"/>
          </w:tcPr>
          <w:p>
            <w:r/>
            <w:r>
              <w:rPr>
                <w:b/>
                <w:sz w:val="18"/>
              </w:rPr>
              <w:t>Estimated loss</w:t>
            </w:r>
          </w:p>
        </w:tc>
        <w:tc>
          <w:tcPr>
            <w:tcW w:type="dxa" w:w="7597"/>
          </w:tcPr>
          <w:p>
            <w:r/>
            <w:r>
              <w:rPr>
                <w:sz w:val="18"/>
              </w:rPr>
              <w:t>Not quantified; requires document-level corroboration, which we recommend as the next phase</w:t>
            </w:r>
          </w:p>
        </w:tc>
      </w:tr>
    </w:tbl>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041"/>
            <w:shd w:val="clear" w:color="auto" w:fill="0B2E4F"/>
          </w:tcPr>
          <w:p>
            <w:r/>
            <w:r>
              <w:rPr>
                <w:b/>
                <w:color w:val="FFFFFF"/>
                <w:sz w:val="17"/>
              </w:rPr>
            </w:r>
          </w:p>
        </w:tc>
        <w:tc>
          <w:tcPr>
            <w:tcW w:type="dxa" w:w="7597"/>
            <w:shd w:val="clear" w:color="auto" w:fill="0B2E4F"/>
          </w:tcPr>
          <w:p>
            <w:r/>
            <w:r>
              <w:rPr>
                <w:b/>
                <w:color w:val="FFFFFF"/>
                <w:sz w:val="17"/>
              </w:rPr>
            </w:r>
          </w:p>
        </w:tc>
      </w:tr>
      <w:tr>
        <w:tc>
          <w:tcPr>
            <w:tcW w:type="dxa" w:w="2041"/>
          </w:tcPr>
          <w:p>
            <w:pPr>
              <w:spacing w:after="20"/>
            </w:pPr>
            <w:r/>
            <w:r>
              <w:rPr>
                <w:b/>
                <w:sz w:val="17"/>
              </w:rPr>
              <w:t>What we observed</w:t>
            </w:r>
          </w:p>
        </w:tc>
        <w:tc>
          <w:tcPr>
            <w:tcW w:type="dxa" w:w="7597"/>
          </w:tcPr>
          <w:p>
            <w:pPr>
              <w:spacing w:after="20"/>
            </w:pPr>
            <w:r/>
            <w:r>
              <w:rPr>
                <w:b w:val="0"/>
                <w:sz w:val="17"/>
              </w:rPr>
              <w:t>The vendor master identifies four suppliers as employee-linked (SUP-771 to SUP-774: R Chikafu Trading Enterprises, Zhou Logistics &amp; Advisory, Gumbo General Suppliers and Meridian Consulting Group). All four were created in July and August 2024, none has a tax clearance number on file, and all four are on seven-day payment terms. Payments to them total $2,773,799.20, of which $445,568.39 was initiated outside the accounts-payable payment run by a single user with no approver recorded.</w:t>
            </w:r>
          </w:p>
        </w:tc>
      </w:tr>
      <w:tr>
        <w:tc>
          <w:tcPr>
            <w:tcW w:type="dxa" w:w="2041"/>
            <w:shd w:val="clear" w:color="auto" w:fill="F5F8FA"/>
          </w:tcPr>
          <w:p>
            <w:pPr>
              <w:spacing w:after="20"/>
            </w:pPr>
            <w:r/>
            <w:r>
              <w:rPr>
                <w:b/>
                <w:sz w:val="17"/>
              </w:rPr>
              <w:t>How we tested</w:t>
            </w:r>
          </w:p>
        </w:tc>
        <w:tc>
          <w:tcPr>
            <w:tcW w:type="dxa" w:w="7597"/>
            <w:shd w:val="clear" w:color="auto" w:fill="F5F8FA"/>
          </w:tcPr>
          <w:p>
            <w:pPr>
              <w:spacing w:after="20"/>
            </w:pPr>
            <w:r/>
            <w:r>
              <w:rPr>
                <w:b w:val="0"/>
                <w:sz w:val="17"/>
              </w:rPr>
              <w:t>Vendor master flagged employee-linked (name or bank detail matches the employee master), created within 180 days of first payment, no tax clearance and 7-day terms. Exception = a payment to such a vendor that bypassed the accounts-payable payment run and carries no approver. Population: 200 payments to the four related-party vendors. Exceptions: 15 lines, $445,568.39.</w:t>
            </w:r>
          </w:p>
        </w:tc>
      </w:tr>
      <w:tr>
        <w:tc>
          <w:tcPr>
            <w:tcW w:type="dxa" w:w="2041"/>
          </w:tcPr>
          <w:p>
            <w:pPr>
              <w:spacing w:after="20"/>
            </w:pPr>
            <w:r/>
            <w:r>
              <w:rPr>
                <w:b/>
                <w:sz w:val="17"/>
              </w:rPr>
              <w:t>Evidence</w:t>
            </w:r>
          </w:p>
        </w:tc>
        <w:tc>
          <w:tcPr>
            <w:tcW w:type="dxa" w:w="7597"/>
          </w:tcPr>
          <w:p>
            <w:pPr>
              <w:spacing w:after="20"/>
            </w:pPr>
            <w:r/>
            <w:r>
              <w:rPr>
                <w:b w:val="0"/>
                <w:sz w:val="17"/>
              </w:rPr>
              <w:t>Journal IDs JE202401-00255, JE202403-00792, JE202405-01320, JE202407-01841, JE202409-02366, JE202411-02916 and 9 further journals. Vendor master records: created R Chikafu Trading Enterprises 2024-08-20, Zhou Logistics &amp; Advisory 2024-07-09, Gumbo General Suppliers 2024-08-30, Meridian Consulting Group 2024-07-16. No tax clearance number on file for any of them.</w:t>
            </w:r>
          </w:p>
        </w:tc>
      </w:tr>
      <w:tr>
        <w:tc>
          <w:tcPr>
            <w:tcW w:type="dxa" w:w="2041"/>
            <w:shd w:val="clear" w:color="auto" w:fill="F5F8FA"/>
          </w:tcPr>
          <w:p>
            <w:pPr>
              <w:spacing w:after="20"/>
            </w:pPr>
            <w:r/>
            <w:r>
              <w:rPr>
                <w:b/>
                <w:sz w:val="17"/>
              </w:rPr>
              <w:t>Why it matters</w:t>
            </w:r>
          </w:p>
        </w:tc>
        <w:tc>
          <w:tcPr>
            <w:tcW w:type="dxa" w:w="7597"/>
            <w:shd w:val="clear" w:color="auto" w:fill="F5F8FA"/>
          </w:tcPr>
          <w:p>
            <w:pPr>
              <w:spacing w:after="20"/>
            </w:pPr>
            <w:r/>
            <w:r>
              <w:rPr>
                <w:b w:val="0"/>
                <w:sz w:val="17"/>
              </w:rPr>
              <w:t>It undermines the validity of the vendor; occurrence and authorisation of the payment assertion. If a supplier is controlled by an employee, every payment to it is a related-party transaction that requires disclosure and independent approval.</w:t>
            </w:r>
          </w:p>
        </w:tc>
      </w:tr>
      <w:tr>
        <w:tc>
          <w:tcPr>
            <w:tcW w:type="dxa" w:w="2041"/>
          </w:tcPr>
          <w:p>
            <w:pPr>
              <w:spacing w:after="20"/>
            </w:pPr>
            <w:r/>
            <w:r>
              <w:rPr>
                <w:b/>
                <w:sz w:val="17"/>
              </w:rPr>
              <w:t>Root cause</w:t>
            </w:r>
          </w:p>
        </w:tc>
        <w:tc>
          <w:tcPr>
            <w:tcW w:type="dxa" w:w="7597"/>
          </w:tcPr>
          <w:p>
            <w:pPr>
              <w:spacing w:after="20"/>
            </w:pPr>
            <w:r/>
            <w:r>
              <w:rPr>
                <w:b w:val="0"/>
                <w:sz w:val="17"/>
              </w:rPr>
              <w:t>Vendor onboarding has no independent verification of ownership, and the payment run can be bypassed without a second approver.</w:t>
            </w:r>
          </w:p>
        </w:tc>
      </w:tr>
      <w:tr>
        <w:tc>
          <w:tcPr>
            <w:tcW w:type="dxa" w:w="2041"/>
            <w:shd w:val="clear" w:color="auto" w:fill="F5F8FA"/>
          </w:tcPr>
          <w:p>
            <w:pPr>
              <w:spacing w:after="20"/>
            </w:pPr>
            <w:r/>
            <w:r>
              <w:rPr>
                <w:b/>
                <w:sz w:val="17"/>
              </w:rPr>
              <w:t>Recommendation</w:t>
            </w:r>
          </w:p>
        </w:tc>
        <w:tc>
          <w:tcPr>
            <w:tcW w:type="dxa" w:w="7597"/>
            <w:shd w:val="clear" w:color="auto" w:fill="F5F8FA"/>
          </w:tcPr>
          <w:p>
            <w:pPr>
              <w:spacing w:after="20"/>
            </w:pPr>
            <w:r/>
            <w:r>
              <w:rPr>
                <w:b w:val="0"/>
                <w:sz w:val="17"/>
              </w:rPr>
              <w:t>Freeze the four vendor accounts pending verification of ownership, contracts and deliverables; obtain the bank mandates and compare them to the employee master; require partner-level approval for any new vendor within 180 days of creation.</w:t>
            </w:r>
          </w:p>
        </w:tc>
      </w:tr>
    </w:tbl>
    <w:p>
      <w:pPr>
        <w:spacing w:after="40"/>
      </w:pPr>
    </w:p>
    <w:p>
      <w:pPr>
        <w:spacing w:after="120"/>
      </w:pPr>
      <w:r>
        <w:rPr>
          <w:b w:val="0"/>
          <w:i w:val="0"/>
          <w:sz w:val="8"/>
        </w:rPr>
      </w:r>
    </w:p>
    <w:p>
      <w:pPr>
        <w:pStyle w:val="Heading3"/>
      </w:pPr>
      <w:r>
        <w:t>Finding 2 - Manual journals posted outside business hours to the suspense account</w:t>
      </w:r>
    </w:p>
    <w:tbl>
      <w:tblPr>
        <w:tblStyle w:val="TableGrid"/>
        <w:tblW w:type="auto" w:w="0"/>
        <w:tblLook w:firstColumn="1" w:firstRow="1" w:lastColumn="0" w:lastRow="0" w:noHBand="0" w:noVBand="1" w:val="04A0"/>
      </w:tblPr>
      <w:tblGrid>
        <w:gridCol w:w="4986"/>
        <w:gridCol w:w="4986"/>
      </w:tblGrid>
      <w:tr>
        <w:tc>
          <w:tcPr>
            <w:tcW w:type="dxa" w:w="2041"/>
            <w:shd w:val="clear" w:color="auto" w:fill="EAF1F6"/>
          </w:tcPr>
          <w:p>
            <w:r/>
            <w:r>
              <w:rPr>
                <w:b/>
                <w:sz w:val="18"/>
              </w:rPr>
              <w:t>Amount at risk</w:t>
            </w:r>
          </w:p>
        </w:tc>
        <w:tc>
          <w:tcPr>
            <w:tcW w:type="dxa" w:w="7597"/>
          </w:tcPr>
          <w:p>
            <w:r/>
            <w:r>
              <w:rPr>
                <w:sz w:val="18"/>
              </w:rPr>
              <w:t>$406,300.00 across 21 journal lines</w:t>
            </w:r>
          </w:p>
        </w:tc>
      </w:tr>
      <w:tr>
        <w:tc>
          <w:tcPr>
            <w:tcW w:type="dxa" w:w="2041"/>
            <w:shd w:val="clear" w:color="auto" w:fill="EAF1F6"/>
          </w:tcPr>
          <w:p>
            <w:r/>
            <w:r>
              <w:rPr>
                <w:b/>
                <w:sz w:val="18"/>
              </w:rPr>
              <w:t>Total value</w:t>
            </w:r>
          </w:p>
        </w:tc>
        <w:tc>
          <w:tcPr>
            <w:tcW w:type="dxa" w:w="7597"/>
          </w:tcPr>
          <w:p>
            <w:r/>
            <w:r>
              <w:rPr>
                <w:sz w:val="18"/>
              </w:rPr>
              <w:t>$406,300.00</w:t>
            </w:r>
          </w:p>
        </w:tc>
      </w:tr>
      <w:tr>
        <w:tc>
          <w:tcPr>
            <w:tcW w:type="dxa" w:w="2041"/>
            <w:shd w:val="clear" w:color="auto" w:fill="EAF1F6"/>
          </w:tcPr>
          <w:p>
            <w:r/>
            <w:r>
              <w:rPr>
                <w:b/>
                <w:sz w:val="18"/>
              </w:rPr>
              <w:t>Estimated loss</w:t>
            </w:r>
          </w:p>
        </w:tc>
        <w:tc>
          <w:tcPr>
            <w:tcW w:type="dxa" w:w="7597"/>
          </w:tcPr>
          <w:p>
            <w:r/>
            <w:r>
              <w:rPr>
                <w:sz w:val="18"/>
              </w:rPr>
              <w:t>Not quantified; requires document-level corroboration, which we recommend as the next phase</w:t>
            </w:r>
          </w:p>
        </w:tc>
      </w:tr>
    </w:tbl>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041"/>
            <w:shd w:val="clear" w:color="auto" w:fill="0B2E4F"/>
          </w:tcPr>
          <w:p>
            <w:r/>
            <w:r>
              <w:rPr>
                <w:b/>
                <w:color w:val="FFFFFF"/>
                <w:sz w:val="17"/>
              </w:rPr>
            </w:r>
          </w:p>
        </w:tc>
        <w:tc>
          <w:tcPr>
            <w:tcW w:type="dxa" w:w="7597"/>
            <w:shd w:val="clear" w:color="auto" w:fill="0B2E4F"/>
          </w:tcPr>
          <w:p>
            <w:r/>
            <w:r>
              <w:rPr>
                <w:b/>
                <w:color w:val="FFFFFF"/>
                <w:sz w:val="17"/>
              </w:rPr>
            </w:r>
          </w:p>
        </w:tc>
      </w:tr>
      <w:tr>
        <w:tc>
          <w:tcPr>
            <w:tcW w:type="dxa" w:w="2041"/>
          </w:tcPr>
          <w:p>
            <w:pPr>
              <w:spacing w:after="20"/>
            </w:pPr>
            <w:r/>
            <w:r>
              <w:rPr>
                <w:b/>
                <w:sz w:val="17"/>
              </w:rPr>
              <w:t>What we observed</w:t>
            </w:r>
          </w:p>
        </w:tc>
        <w:tc>
          <w:tcPr>
            <w:tcW w:type="dxa" w:w="7597"/>
          </w:tcPr>
          <w:p>
            <w:pPr>
              <w:spacing w:after="20"/>
            </w:pPr>
            <w:r/>
            <w:r>
              <w:rPr>
                <w:b w:val="0"/>
                <w:sz w:val="17"/>
              </w:rPr>
              <w:t>Twenty-one manual journals were entered on Saturdays between 02:00 and 04:41 and between 22:00 and 23:31, by a single user (USR-012), with no approver recorded. Each debits an expense account and credits the suspense account, so an expense is recognised while the corresponding liability is parked in an unallocated clearing account.</w:t>
            </w:r>
          </w:p>
        </w:tc>
      </w:tr>
      <w:tr>
        <w:tc>
          <w:tcPr>
            <w:tcW w:type="dxa" w:w="2041"/>
            <w:shd w:val="clear" w:color="auto" w:fill="F5F8FA"/>
          </w:tcPr>
          <w:p>
            <w:pPr>
              <w:spacing w:after="20"/>
            </w:pPr>
            <w:r/>
            <w:r>
              <w:rPr>
                <w:b/>
                <w:sz w:val="17"/>
              </w:rPr>
              <w:t>How we tested</w:t>
            </w:r>
          </w:p>
        </w:tc>
        <w:tc>
          <w:tcPr>
            <w:tcW w:type="dxa" w:w="7597"/>
            <w:shd w:val="clear" w:color="auto" w:fill="F5F8FA"/>
          </w:tcPr>
          <w:p>
            <w:pPr>
              <w:spacing w:after="20"/>
            </w:pPr>
            <w:r/>
            <w:r>
              <w:rPr>
                <w:b w:val="0"/>
                <w:sz w:val="17"/>
              </w:rPr>
              <w:t>Manual journal entered on a Saturday or Sunday, or before 07:00 or after 22:00, with no approver recorded, that debits a P&amp;L account and credits the suspense account (1990). Population: 66 unapproved manual journals touching suspense. Exceptions: 21 lines, $406,300.00.</w:t>
            </w:r>
          </w:p>
        </w:tc>
      </w:tr>
      <w:tr>
        <w:tc>
          <w:tcPr>
            <w:tcW w:type="dxa" w:w="2041"/>
          </w:tcPr>
          <w:p>
            <w:pPr>
              <w:spacing w:after="20"/>
            </w:pPr>
            <w:r/>
            <w:r>
              <w:rPr>
                <w:b/>
                <w:sz w:val="17"/>
              </w:rPr>
              <w:t>Evidence</w:t>
            </w:r>
          </w:p>
        </w:tc>
        <w:tc>
          <w:tcPr>
            <w:tcW w:type="dxa" w:w="7597"/>
          </w:tcPr>
          <w:p>
            <w:pPr>
              <w:spacing w:after="20"/>
            </w:pPr>
            <w:r/>
            <w:r>
              <w:rPr>
                <w:b w:val="0"/>
                <w:sz w:val="17"/>
              </w:rPr>
              <w:t>Journal IDs JE202401-00256, JE202402-00524, JE202403-00793, JE202404-01058, JE202405-01321, JE202406-01583 and 15 further journals. Entry timestamps are recorded in EnteredOn; all twenty-one were entered by USR-012 with no approver.</w:t>
            </w:r>
          </w:p>
        </w:tc>
      </w:tr>
      <w:tr>
        <w:tc>
          <w:tcPr>
            <w:tcW w:type="dxa" w:w="2041"/>
            <w:shd w:val="clear" w:color="auto" w:fill="F5F8FA"/>
          </w:tcPr>
          <w:p>
            <w:pPr>
              <w:spacing w:after="20"/>
            </w:pPr>
            <w:r/>
            <w:r>
              <w:rPr>
                <w:b/>
                <w:sz w:val="17"/>
              </w:rPr>
              <w:t>Why it matters</w:t>
            </w:r>
          </w:p>
        </w:tc>
        <w:tc>
          <w:tcPr>
            <w:tcW w:type="dxa" w:w="7597"/>
            <w:shd w:val="clear" w:color="auto" w:fill="F5F8FA"/>
          </w:tcPr>
          <w:p>
            <w:pPr>
              <w:spacing w:after="20"/>
            </w:pPr>
            <w:r/>
            <w:r>
              <w:rPr>
                <w:b w:val="0"/>
                <w:sz w:val="17"/>
              </w:rPr>
              <w:t>It undermines the validity and cut-off of the journal entry assertion. Entries posted when nobody is supervising, with the credit parked in suspense, cannot be relied upon and are the classic concealment pattern.</w:t>
            </w:r>
          </w:p>
        </w:tc>
      </w:tr>
      <w:tr>
        <w:tc>
          <w:tcPr>
            <w:tcW w:type="dxa" w:w="2041"/>
          </w:tcPr>
          <w:p>
            <w:pPr>
              <w:spacing w:after="20"/>
            </w:pPr>
            <w:r/>
            <w:r>
              <w:rPr>
                <w:b/>
                <w:sz w:val="17"/>
              </w:rPr>
              <w:t>Root cause</w:t>
            </w:r>
          </w:p>
        </w:tc>
        <w:tc>
          <w:tcPr>
            <w:tcW w:type="dxa" w:w="7597"/>
          </w:tcPr>
          <w:p>
            <w:pPr>
              <w:spacing w:after="20"/>
            </w:pPr>
            <w:r/>
            <w:r>
              <w:rPr>
                <w:b w:val="0"/>
                <w:sz w:val="17"/>
              </w:rPr>
              <w:t>Manual journal posting is not restricted to business hours and does not require a second approver; the suspense account is not reviewed monthly.</w:t>
            </w:r>
          </w:p>
        </w:tc>
      </w:tr>
      <w:tr>
        <w:tc>
          <w:tcPr>
            <w:tcW w:type="dxa" w:w="2041"/>
            <w:shd w:val="clear" w:color="auto" w:fill="F5F8FA"/>
          </w:tcPr>
          <w:p>
            <w:pPr>
              <w:spacing w:after="20"/>
            </w:pPr>
            <w:r/>
            <w:r>
              <w:rPr>
                <w:b/>
                <w:sz w:val="17"/>
              </w:rPr>
              <w:t>Recommendation</w:t>
            </w:r>
          </w:p>
        </w:tc>
        <w:tc>
          <w:tcPr>
            <w:tcW w:type="dxa" w:w="7597"/>
            <w:shd w:val="clear" w:color="auto" w:fill="F5F8FA"/>
          </w:tcPr>
          <w:p>
            <w:pPr>
              <w:spacing w:after="20"/>
            </w:pPr>
            <w:r/>
            <w:r>
              <w:rPr>
                <w:b w:val="0"/>
                <w:sz w:val="17"/>
              </w:rPr>
              <w:t>Restrict manual journal posting to business hours; require a second approver for every manual entry; clear the suspense account monthly with a written allocation for each item.</w:t>
            </w:r>
          </w:p>
        </w:tc>
      </w:tr>
    </w:tbl>
    <w:p>
      <w:pPr>
        <w:spacing w:after="40"/>
      </w:pPr>
    </w:p>
    <w:p>
      <w:pPr>
        <w:spacing w:after="120"/>
      </w:pPr>
      <w:r>
        <w:rPr>
          <w:b w:val="0"/>
          <w:i w:val="0"/>
          <w:sz w:val="8"/>
        </w:rPr>
      </w:r>
    </w:p>
    <w:p>
      <w:pPr>
        <w:pStyle w:val="Heading3"/>
      </w:pPr>
      <w:r>
        <w:t>Finding 3 - Supplier invoices paid twice</w:t>
      </w:r>
    </w:p>
    <w:tbl>
      <w:tblPr>
        <w:tblStyle w:val="TableGrid"/>
        <w:tblW w:type="auto" w:w="0"/>
        <w:tblLook w:firstColumn="1" w:firstRow="1" w:lastColumn="0" w:lastRow="0" w:noHBand="0" w:noVBand="1" w:val="04A0"/>
      </w:tblPr>
      <w:tblGrid>
        <w:gridCol w:w="4986"/>
        <w:gridCol w:w="4986"/>
      </w:tblGrid>
      <w:tr>
        <w:tc>
          <w:tcPr>
            <w:tcW w:type="dxa" w:w="2041"/>
            <w:shd w:val="clear" w:color="auto" w:fill="EAF1F6"/>
          </w:tcPr>
          <w:p>
            <w:r/>
            <w:r>
              <w:rPr>
                <w:b/>
                <w:sz w:val="18"/>
              </w:rPr>
              <w:t>Amount at risk</w:t>
            </w:r>
          </w:p>
        </w:tc>
        <w:tc>
          <w:tcPr>
            <w:tcW w:type="dxa" w:w="7597"/>
          </w:tcPr>
          <w:p>
            <w:r/>
            <w:r>
              <w:rPr>
                <w:sz w:val="18"/>
              </w:rPr>
              <w:t>$184,011.74 across 42 journal lines</w:t>
            </w:r>
          </w:p>
        </w:tc>
      </w:tr>
      <w:tr>
        <w:tc>
          <w:tcPr>
            <w:tcW w:type="dxa" w:w="2041"/>
            <w:shd w:val="clear" w:color="auto" w:fill="EAF1F6"/>
          </w:tcPr>
          <w:p>
            <w:r/>
            <w:r>
              <w:rPr>
                <w:b/>
                <w:sz w:val="18"/>
              </w:rPr>
              <w:t>Total value</w:t>
            </w:r>
          </w:p>
        </w:tc>
        <w:tc>
          <w:tcPr>
            <w:tcW w:type="dxa" w:w="7597"/>
          </w:tcPr>
          <w:p>
            <w:r/>
            <w:r>
              <w:rPr>
                <w:sz w:val="18"/>
              </w:rPr>
              <w:t>$368,023.48</w:t>
            </w:r>
          </w:p>
        </w:tc>
      </w:tr>
      <w:tr>
        <w:tc>
          <w:tcPr>
            <w:tcW w:type="dxa" w:w="2041"/>
            <w:shd w:val="clear" w:color="auto" w:fill="EAF1F6"/>
          </w:tcPr>
          <w:p>
            <w:r/>
            <w:r>
              <w:rPr>
                <w:b/>
                <w:sz w:val="18"/>
              </w:rPr>
              <w:t>Estimated loss</w:t>
            </w:r>
          </w:p>
        </w:tc>
        <w:tc>
          <w:tcPr>
            <w:tcW w:type="dxa" w:w="7597"/>
          </w:tcPr>
          <w:p>
            <w:r/>
            <w:r>
              <w:rPr>
                <w:sz w:val="18"/>
              </w:rPr>
              <w:t>Not quantified; requires document-level corroboration, which we recommend as the next phase</w:t>
            </w:r>
          </w:p>
        </w:tc>
      </w:tr>
    </w:tbl>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041"/>
            <w:shd w:val="clear" w:color="auto" w:fill="0B2E4F"/>
          </w:tcPr>
          <w:p>
            <w:r/>
            <w:r>
              <w:rPr>
                <w:b/>
                <w:color w:val="FFFFFF"/>
                <w:sz w:val="17"/>
              </w:rPr>
            </w:r>
          </w:p>
        </w:tc>
        <w:tc>
          <w:tcPr>
            <w:tcW w:type="dxa" w:w="7597"/>
            <w:shd w:val="clear" w:color="auto" w:fill="0B2E4F"/>
          </w:tcPr>
          <w:p>
            <w:r/>
            <w:r>
              <w:rPr>
                <w:b/>
                <w:color w:val="FFFFFF"/>
                <w:sz w:val="17"/>
              </w:rPr>
            </w:r>
          </w:p>
        </w:tc>
      </w:tr>
      <w:tr>
        <w:tc>
          <w:tcPr>
            <w:tcW w:type="dxa" w:w="2041"/>
          </w:tcPr>
          <w:p>
            <w:pPr>
              <w:spacing w:after="20"/>
            </w:pPr>
            <w:r/>
            <w:r>
              <w:rPr>
                <w:b/>
                <w:sz w:val="17"/>
              </w:rPr>
              <w:t>What we observed</w:t>
            </w:r>
          </w:p>
        </w:tc>
        <w:tc>
          <w:tcPr>
            <w:tcW w:type="dxa" w:w="7597"/>
          </w:tcPr>
          <w:p>
            <w:pPr>
              <w:spacing w:after="20"/>
            </w:pPr>
            <w:r/>
            <w:r>
              <w:rPr>
                <w:b w:val="0"/>
                <w:sz w:val="17"/>
              </w:rPr>
              <w:t>Twenty-one supplier invoices were paid twice. In each pair the vendor, the amount to the cent and the invoice reference in the journal description are identical, and the two payments are between four and twelve days apart. The second payment in each pair is the improper portion.</w:t>
            </w:r>
          </w:p>
        </w:tc>
      </w:tr>
      <w:tr>
        <w:tc>
          <w:tcPr>
            <w:tcW w:type="dxa" w:w="2041"/>
            <w:shd w:val="clear" w:color="auto" w:fill="F5F8FA"/>
          </w:tcPr>
          <w:p>
            <w:pPr>
              <w:spacing w:after="20"/>
            </w:pPr>
            <w:r/>
            <w:r>
              <w:rPr>
                <w:b/>
                <w:sz w:val="17"/>
              </w:rPr>
              <w:t>How we tested</w:t>
            </w:r>
          </w:p>
        </w:tc>
        <w:tc>
          <w:tcPr>
            <w:tcW w:type="dxa" w:w="7597"/>
            <w:shd w:val="clear" w:color="auto" w:fill="F5F8FA"/>
          </w:tcPr>
          <w:p>
            <w:pPr>
              <w:spacing w:after="20"/>
            </w:pPr>
            <w:r/>
            <w:r>
              <w:rPr>
                <w:b w:val="0"/>
                <w:sz w:val="17"/>
              </w:rPr>
              <w:t>Same VendorID + identical debit amount (to the cent) + identical invoice reference in the journal description + posting dates within 30 days; reversal pairs excluded. Population: 3,076 vendor payment lines. Exceptions: 42 lines, $368,023.48.</w:t>
            </w:r>
          </w:p>
        </w:tc>
      </w:tr>
      <w:tr>
        <w:tc>
          <w:tcPr>
            <w:tcW w:type="dxa" w:w="2041"/>
          </w:tcPr>
          <w:p>
            <w:pPr>
              <w:spacing w:after="20"/>
            </w:pPr>
            <w:r/>
            <w:r>
              <w:rPr>
                <w:b/>
                <w:sz w:val="17"/>
              </w:rPr>
              <w:t>Evidence</w:t>
            </w:r>
          </w:p>
        </w:tc>
        <w:tc>
          <w:tcPr>
            <w:tcW w:type="dxa" w:w="7597"/>
          </w:tcPr>
          <w:p>
            <w:pPr>
              <w:spacing w:after="20"/>
            </w:pPr>
            <w:r/>
            <w:r>
              <w:rPr>
                <w:b w:val="0"/>
                <w:sz w:val="17"/>
              </w:rPr>
              <w:t>Journal IDs JE202401-00251, JE202401-00252, JE202402-00520, JE202402-00521, JE202403-00789, JE202403-00790 and 36 further journals. Each pair shares the same supplier invoice reference; see the duplicate-payment pairs sheet in the evidence register.</w:t>
            </w:r>
          </w:p>
        </w:tc>
      </w:tr>
      <w:tr>
        <w:tc>
          <w:tcPr>
            <w:tcW w:type="dxa" w:w="2041"/>
            <w:shd w:val="clear" w:color="auto" w:fill="F5F8FA"/>
          </w:tcPr>
          <w:p>
            <w:pPr>
              <w:spacing w:after="20"/>
            </w:pPr>
            <w:r/>
            <w:r>
              <w:rPr>
                <w:b/>
                <w:sz w:val="17"/>
              </w:rPr>
              <w:t>Why it matters</w:t>
            </w:r>
          </w:p>
        </w:tc>
        <w:tc>
          <w:tcPr>
            <w:tcW w:type="dxa" w:w="7597"/>
            <w:shd w:val="clear" w:color="auto" w:fill="F5F8FA"/>
          </w:tcPr>
          <w:p>
            <w:pPr>
              <w:spacing w:after="20"/>
            </w:pPr>
            <w:r/>
            <w:r>
              <w:rPr>
                <w:b w:val="0"/>
                <w:sz w:val="17"/>
              </w:rPr>
              <w:t>It undermines the occurrence and existence of the payment assertion. Cash has left the business twice for one obligation, and the creditor ledger no longer agrees to the supplier's statement.</w:t>
            </w:r>
          </w:p>
        </w:tc>
      </w:tr>
      <w:tr>
        <w:tc>
          <w:tcPr>
            <w:tcW w:type="dxa" w:w="2041"/>
          </w:tcPr>
          <w:p>
            <w:pPr>
              <w:spacing w:after="20"/>
            </w:pPr>
            <w:r/>
            <w:r>
              <w:rPr>
                <w:b/>
                <w:sz w:val="17"/>
              </w:rPr>
              <w:t>Root cause</w:t>
            </w:r>
          </w:p>
        </w:tc>
        <w:tc>
          <w:tcPr>
            <w:tcW w:type="dxa" w:w="7597"/>
          </w:tcPr>
          <w:p>
            <w:pPr>
              <w:spacing w:after="20"/>
            </w:pPr>
            <w:r/>
            <w:r>
              <w:rPr>
                <w:b w:val="0"/>
                <w:sz w:val="17"/>
              </w:rPr>
              <w:t>There is no duplicate-invoice block in the payment process, and no reconciliation of supplier statements to the creditor ledger.</w:t>
            </w:r>
          </w:p>
        </w:tc>
      </w:tr>
      <w:tr>
        <w:tc>
          <w:tcPr>
            <w:tcW w:type="dxa" w:w="2041"/>
            <w:shd w:val="clear" w:color="auto" w:fill="F5F8FA"/>
          </w:tcPr>
          <w:p>
            <w:pPr>
              <w:spacing w:after="20"/>
            </w:pPr>
            <w:r/>
            <w:r>
              <w:rPr>
                <w:b/>
                <w:sz w:val="17"/>
              </w:rPr>
              <w:t>Recommendation</w:t>
            </w:r>
          </w:p>
        </w:tc>
        <w:tc>
          <w:tcPr>
            <w:tcW w:type="dxa" w:w="7597"/>
            <w:shd w:val="clear" w:color="auto" w:fill="F5F8FA"/>
          </w:tcPr>
          <w:p>
            <w:pPr>
              <w:spacing w:after="20"/>
            </w:pPr>
            <w:r/>
            <w:r>
              <w:rPr>
                <w:b w:val="0"/>
                <w:sz w:val="17"/>
              </w:rPr>
              <w:t>Issue credit-note requests to the suppliers this month with the evidence attached; implement a duplicate-invoice block on vendor plus invoice reference; reconcile supplier statements monthly.</w:t>
            </w:r>
          </w:p>
        </w:tc>
      </w:tr>
    </w:tbl>
    <w:p>
      <w:pPr>
        <w:spacing w:after="40"/>
      </w:pPr>
    </w:p>
    <w:p>
      <w:pPr>
        <w:spacing w:after="120"/>
      </w:pPr>
      <w:r>
        <w:rPr>
          <w:b w:val="0"/>
          <w:i w:val="0"/>
          <w:sz w:val="8"/>
        </w:rPr>
      </w:r>
    </w:p>
    <w:p>
      <w:pPr>
        <w:pStyle w:val="Heading3"/>
      </w:pPr>
      <w:r>
        <w:t>Finding 4 - Revenue credit notes posted by the accounts-payable clerk</w:t>
      </w:r>
    </w:p>
    <w:tbl>
      <w:tblPr>
        <w:tblStyle w:val="TableGrid"/>
        <w:tblW w:type="auto" w:w="0"/>
        <w:tblLook w:firstColumn="1" w:firstRow="1" w:lastColumn="0" w:lastRow="0" w:noHBand="0" w:noVBand="1" w:val="04A0"/>
      </w:tblPr>
      <w:tblGrid>
        <w:gridCol w:w="4986"/>
        <w:gridCol w:w="4986"/>
      </w:tblGrid>
      <w:tr>
        <w:tc>
          <w:tcPr>
            <w:tcW w:type="dxa" w:w="2041"/>
            <w:shd w:val="clear" w:color="auto" w:fill="EAF1F6"/>
          </w:tcPr>
          <w:p>
            <w:r/>
            <w:r>
              <w:rPr>
                <w:b/>
                <w:sz w:val="18"/>
              </w:rPr>
              <w:t>Amount at risk</w:t>
            </w:r>
          </w:p>
        </w:tc>
        <w:tc>
          <w:tcPr>
            <w:tcW w:type="dxa" w:w="7597"/>
          </w:tcPr>
          <w:p>
            <w:r/>
            <w:r>
              <w:rPr>
                <w:sz w:val="18"/>
              </w:rPr>
              <w:t>$279,600.00 across 15 journal lines</w:t>
            </w:r>
          </w:p>
        </w:tc>
      </w:tr>
      <w:tr>
        <w:tc>
          <w:tcPr>
            <w:tcW w:type="dxa" w:w="2041"/>
            <w:shd w:val="clear" w:color="auto" w:fill="EAF1F6"/>
          </w:tcPr>
          <w:p>
            <w:r/>
            <w:r>
              <w:rPr>
                <w:b/>
                <w:sz w:val="18"/>
              </w:rPr>
              <w:t>Total value</w:t>
            </w:r>
          </w:p>
        </w:tc>
        <w:tc>
          <w:tcPr>
            <w:tcW w:type="dxa" w:w="7597"/>
          </w:tcPr>
          <w:p>
            <w:r/>
            <w:r>
              <w:rPr>
                <w:sz w:val="18"/>
              </w:rPr>
              <w:t>$279,600.00</w:t>
            </w:r>
          </w:p>
        </w:tc>
      </w:tr>
      <w:tr>
        <w:tc>
          <w:tcPr>
            <w:tcW w:type="dxa" w:w="2041"/>
            <w:shd w:val="clear" w:color="auto" w:fill="EAF1F6"/>
          </w:tcPr>
          <w:p>
            <w:r/>
            <w:r>
              <w:rPr>
                <w:b/>
                <w:sz w:val="18"/>
              </w:rPr>
              <w:t>Estimated loss</w:t>
            </w:r>
          </w:p>
        </w:tc>
        <w:tc>
          <w:tcPr>
            <w:tcW w:type="dxa" w:w="7597"/>
          </w:tcPr>
          <w:p>
            <w:r/>
            <w:r>
              <w:rPr>
                <w:sz w:val="18"/>
              </w:rPr>
              <w:t>Not quantified; requires document-level corroboration, which we recommend as the next phase</w:t>
            </w:r>
          </w:p>
        </w:tc>
      </w:tr>
    </w:tbl>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041"/>
            <w:shd w:val="clear" w:color="auto" w:fill="0B2E4F"/>
          </w:tcPr>
          <w:p>
            <w:r/>
            <w:r>
              <w:rPr>
                <w:b/>
                <w:color w:val="FFFFFF"/>
                <w:sz w:val="17"/>
              </w:rPr>
            </w:r>
          </w:p>
        </w:tc>
        <w:tc>
          <w:tcPr>
            <w:tcW w:type="dxa" w:w="7597"/>
            <w:shd w:val="clear" w:color="auto" w:fill="0B2E4F"/>
          </w:tcPr>
          <w:p>
            <w:r/>
            <w:r>
              <w:rPr>
                <w:b/>
                <w:color w:val="FFFFFF"/>
                <w:sz w:val="17"/>
              </w:rPr>
            </w:r>
          </w:p>
        </w:tc>
      </w:tr>
      <w:tr>
        <w:tc>
          <w:tcPr>
            <w:tcW w:type="dxa" w:w="2041"/>
          </w:tcPr>
          <w:p>
            <w:pPr>
              <w:spacing w:after="20"/>
            </w:pPr>
            <w:r/>
            <w:r>
              <w:rPr>
                <w:b/>
                <w:sz w:val="17"/>
              </w:rPr>
              <w:t>What we observed</w:t>
            </w:r>
          </w:p>
        </w:tc>
        <w:tc>
          <w:tcPr>
            <w:tcW w:type="dxa" w:w="7597"/>
          </w:tcPr>
          <w:p>
            <w:pPr>
              <w:spacing w:after="20"/>
            </w:pPr>
            <w:r/>
            <w:r>
              <w:rPr>
                <w:b w:val="0"/>
                <w:sz w:val="17"/>
              </w:rPr>
              <w:t>Fifteen revenue credit notes totalling $279,600.00 were posted by the user whose role is Accounts Payable Clerk (USR-002), debiting revenue and crediting trade receivables. Posting revenue adjustments is not within that role.</w:t>
            </w:r>
          </w:p>
        </w:tc>
      </w:tr>
      <w:tr>
        <w:tc>
          <w:tcPr>
            <w:tcW w:type="dxa" w:w="2041"/>
            <w:shd w:val="clear" w:color="auto" w:fill="F5F8FA"/>
          </w:tcPr>
          <w:p>
            <w:pPr>
              <w:spacing w:after="20"/>
            </w:pPr>
            <w:r/>
            <w:r>
              <w:rPr>
                <w:b/>
                <w:sz w:val="17"/>
              </w:rPr>
              <w:t>How we tested</w:t>
            </w:r>
          </w:p>
        </w:tc>
        <w:tc>
          <w:tcPr>
            <w:tcW w:type="dxa" w:w="7597"/>
            <w:shd w:val="clear" w:color="auto" w:fill="F5F8FA"/>
          </w:tcPr>
          <w:p>
            <w:pPr>
              <w:spacing w:after="20"/>
            </w:pPr>
            <w:r/>
            <w:r>
              <w:rPr>
                <w:b w:val="0"/>
                <w:sz w:val="17"/>
              </w:rPr>
              <w:t>Journal prepared by a user whose role is 'Accounts Payable Clerk' containing a line posted to a Revenue account. Population: 5,242 lines by the AP clerk. Exceptions: 15 lines, $279,600.00.</w:t>
            </w:r>
          </w:p>
        </w:tc>
      </w:tr>
      <w:tr>
        <w:tc>
          <w:tcPr>
            <w:tcW w:type="dxa" w:w="2041"/>
          </w:tcPr>
          <w:p>
            <w:pPr>
              <w:spacing w:after="20"/>
            </w:pPr>
            <w:r/>
            <w:r>
              <w:rPr>
                <w:b/>
                <w:sz w:val="17"/>
              </w:rPr>
              <w:t>Evidence</w:t>
            </w:r>
          </w:p>
        </w:tc>
        <w:tc>
          <w:tcPr>
            <w:tcW w:type="dxa" w:w="7597"/>
          </w:tcPr>
          <w:p>
            <w:pPr>
              <w:spacing w:after="20"/>
            </w:pPr>
            <w:r/>
            <w:r>
              <w:rPr>
                <w:b w:val="0"/>
                <w:sz w:val="17"/>
              </w:rPr>
              <w:t>Journal IDs JE202401-00259, JE202402-00527, JE202403-00796, JE202404-01061, JE202405-01324, JE202406-01586 and 9 further journals.</w:t>
            </w:r>
          </w:p>
        </w:tc>
      </w:tr>
      <w:tr>
        <w:tc>
          <w:tcPr>
            <w:tcW w:type="dxa" w:w="2041"/>
            <w:shd w:val="clear" w:color="auto" w:fill="F5F8FA"/>
          </w:tcPr>
          <w:p>
            <w:pPr>
              <w:spacing w:after="20"/>
            </w:pPr>
            <w:r/>
            <w:r>
              <w:rPr>
                <w:b/>
                <w:sz w:val="17"/>
              </w:rPr>
              <w:t>Why it matters</w:t>
            </w:r>
          </w:p>
        </w:tc>
        <w:tc>
          <w:tcPr>
            <w:tcW w:type="dxa" w:w="7597"/>
            <w:shd w:val="clear" w:color="auto" w:fill="F5F8FA"/>
          </w:tcPr>
          <w:p>
            <w:pPr>
              <w:spacing w:after="20"/>
            </w:pPr>
            <w:r/>
            <w:r>
              <w:rPr>
                <w:b w:val="0"/>
                <w:sz w:val="17"/>
              </w:rPr>
              <w:t>It undermines the authorisation and validity; segregation of duties assertion. One person can both initiate a payment obligation and reduce revenue, which removes the check that would detect it.</w:t>
            </w:r>
          </w:p>
        </w:tc>
      </w:tr>
      <w:tr>
        <w:tc>
          <w:tcPr>
            <w:tcW w:type="dxa" w:w="2041"/>
          </w:tcPr>
          <w:p>
            <w:pPr>
              <w:spacing w:after="20"/>
            </w:pPr>
            <w:r/>
            <w:r>
              <w:rPr>
                <w:b/>
                <w:sz w:val="17"/>
              </w:rPr>
              <w:t>Root cause</w:t>
            </w:r>
          </w:p>
        </w:tc>
        <w:tc>
          <w:tcPr>
            <w:tcW w:type="dxa" w:w="7597"/>
          </w:tcPr>
          <w:p>
            <w:pPr>
              <w:spacing w:after="20"/>
            </w:pPr>
            <w:r/>
            <w:r>
              <w:rPr>
                <w:b w:val="0"/>
                <w:sz w:val="17"/>
              </w:rPr>
              <w:t>System rights allow an accounts-payable user to post to revenue accounts, and no monitoring reviews postings by role.</w:t>
            </w:r>
          </w:p>
        </w:tc>
      </w:tr>
      <w:tr>
        <w:tc>
          <w:tcPr>
            <w:tcW w:type="dxa" w:w="2041"/>
            <w:shd w:val="clear" w:color="auto" w:fill="F5F8FA"/>
          </w:tcPr>
          <w:p>
            <w:pPr>
              <w:spacing w:after="20"/>
            </w:pPr>
            <w:r/>
            <w:r>
              <w:rPr>
                <w:b/>
                <w:sz w:val="17"/>
              </w:rPr>
              <w:t>Recommendation</w:t>
            </w:r>
          </w:p>
        </w:tc>
        <w:tc>
          <w:tcPr>
            <w:tcW w:type="dxa" w:w="7597"/>
            <w:shd w:val="clear" w:color="auto" w:fill="F5F8FA"/>
          </w:tcPr>
          <w:p>
            <w:pPr>
              <w:spacing w:after="20"/>
            </w:pPr>
            <w:r/>
            <w:r>
              <w:rPr>
                <w:b w:val="0"/>
                <w:sz w:val="17"/>
              </w:rPr>
              <w:t>Remove the revenue-posting right from accounts-payable roles; obtain the documentation for the fifteen credit notes and re-perform them; run the user-by-account-type matrix monthly.</w:t>
            </w:r>
          </w:p>
        </w:tc>
      </w:tr>
    </w:tbl>
    <w:p>
      <w:pPr>
        <w:spacing w:after="40"/>
      </w:pPr>
    </w:p>
    <w:p>
      <w:pPr>
        <w:spacing w:after="120"/>
      </w:pPr>
      <w:r>
        <w:rPr>
          <w:b w:val="0"/>
          <w:i w:val="0"/>
          <w:sz w:val="8"/>
        </w:rPr>
      </w:r>
    </w:p>
    <w:p>
      <w:pPr>
        <w:pStyle w:val="Heading3"/>
      </w:pPr>
      <w:r>
        <w:t>Finding 5 - Purchases split into two invoices below the approval threshold</w:t>
      </w:r>
    </w:p>
    <w:tbl>
      <w:tblPr>
        <w:tblStyle w:val="TableGrid"/>
        <w:tblW w:type="auto" w:w="0"/>
        <w:tblLook w:firstColumn="1" w:firstRow="1" w:lastColumn="0" w:lastRow="0" w:noHBand="0" w:noVBand="1" w:val="04A0"/>
      </w:tblPr>
      <w:tblGrid>
        <w:gridCol w:w="4986"/>
        <w:gridCol w:w="4986"/>
      </w:tblGrid>
      <w:tr>
        <w:tc>
          <w:tcPr>
            <w:tcW w:type="dxa" w:w="2041"/>
            <w:shd w:val="clear" w:color="auto" w:fill="EAF1F6"/>
          </w:tcPr>
          <w:p>
            <w:r/>
            <w:r>
              <w:rPr>
                <w:b/>
                <w:sz w:val="18"/>
              </w:rPr>
              <w:t>Amount at risk</w:t>
            </w:r>
          </w:p>
        </w:tc>
        <w:tc>
          <w:tcPr>
            <w:tcW w:type="dxa" w:w="7597"/>
          </w:tcPr>
          <w:p>
            <w:r/>
            <w:r>
              <w:rPr>
                <w:sz w:val="18"/>
              </w:rPr>
              <w:t>$223,924.68 across 42 journal lines</w:t>
            </w:r>
          </w:p>
        </w:tc>
      </w:tr>
      <w:tr>
        <w:tc>
          <w:tcPr>
            <w:tcW w:type="dxa" w:w="2041"/>
            <w:shd w:val="clear" w:color="auto" w:fill="EAF1F6"/>
          </w:tcPr>
          <w:p>
            <w:r/>
            <w:r>
              <w:rPr>
                <w:b/>
                <w:sz w:val="18"/>
              </w:rPr>
              <w:t>Total value</w:t>
            </w:r>
          </w:p>
        </w:tc>
        <w:tc>
          <w:tcPr>
            <w:tcW w:type="dxa" w:w="7597"/>
          </w:tcPr>
          <w:p>
            <w:r/>
            <w:r>
              <w:rPr>
                <w:sz w:val="18"/>
              </w:rPr>
              <w:t>$223,924.68</w:t>
            </w:r>
          </w:p>
        </w:tc>
      </w:tr>
      <w:tr>
        <w:tc>
          <w:tcPr>
            <w:tcW w:type="dxa" w:w="2041"/>
            <w:shd w:val="clear" w:color="auto" w:fill="EAF1F6"/>
          </w:tcPr>
          <w:p>
            <w:r/>
            <w:r>
              <w:rPr>
                <w:b/>
                <w:sz w:val="18"/>
              </w:rPr>
              <w:t>Estimated loss</w:t>
            </w:r>
          </w:p>
        </w:tc>
        <w:tc>
          <w:tcPr>
            <w:tcW w:type="dxa" w:w="7597"/>
          </w:tcPr>
          <w:p>
            <w:r/>
            <w:r>
              <w:rPr>
                <w:sz w:val="18"/>
              </w:rPr>
              <w:t>Not quantified; requires document-level corroboration, which we recommend as the next phase</w:t>
            </w:r>
          </w:p>
        </w:tc>
      </w:tr>
    </w:tbl>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041"/>
            <w:shd w:val="clear" w:color="auto" w:fill="0B2E4F"/>
          </w:tcPr>
          <w:p>
            <w:r/>
            <w:r>
              <w:rPr>
                <w:b/>
                <w:color w:val="FFFFFF"/>
                <w:sz w:val="17"/>
              </w:rPr>
            </w:r>
          </w:p>
        </w:tc>
        <w:tc>
          <w:tcPr>
            <w:tcW w:type="dxa" w:w="7597"/>
            <w:shd w:val="clear" w:color="auto" w:fill="0B2E4F"/>
          </w:tcPr>
          <w:p>
            <w:r/>
            <w:r>
              <w:rPr>
                <w:b/>
                <w:color w:val="FFFFFF"/>
                <w:sz w:val="17"/>
              </w:rPr>
            </w:r>
          </w:p>
        </w:tc>
      </w:tr>
      <w:tr>
        <w:tc>
          <w:tcPr>
            <w:tcW w:type="dxa" w:w="2041"/>
          </w:tcPr>
          <w:p>
            <w:pPr>
              <w:spacing w:after="20"/>
            </w:pPr>
            <w:r/>
            <w:r>
              <w:rPr>
                <w:b/>
                <w:sz w:val="17"/>
              </w:rPr>
              <w:t>What we observed</w:t>
            </w:r>
          </w:p>
        </w:tc>
        <w:tc>
          <w:tcPr>
            <w:tcW w:type="dxa" w:w="7597"/>
          </w:tcPr>
          <w:p>
            <w:pPr>
              <w:spacing w:after="20"/>
            </w:pPr>
            <w:r/>
            <w:r>
              <w:rPr>
                <w:b w:val="0"/>
                <w:sz w:val="17"/>
              </w:rPr>
              <w:t>Twenty-one purchases were each divided into two identical invoices posted to the same vendor and the same expense account within two to five days. Each invoice is below the $10,000 approval limit; each pair is above it. No approval for the combined commitment was identified.</w:t>
            </w:r>
          </w:p>
        </w:tc>
      </w:tr>
      <w:tr>
        <w:tc>
          <w:tcPr>
            <w:tcW w:type="dxa" w:w="2041"/>
            <w:shd w:val="clear" w:color="auto" w:fill="F5F8FA"/>
          </w:tcPr>
          <w:p>
            <w:pPr>
              <w:spacing w:after="20"/>
            </w:pPr>
            <w:r/>
            <w:r>
              <w:rPr>
                <w:b/>
                <w:sz w:val="17"/>
              </w:rPr>
              <w:t>How we tested</w:t>
            </w:r>
          </w:p>
        </w:tc>
        <w:tc>
          <w:tcPr>
            <w:tcW w:type="dxa" w:w="7597"/>
            <w:shd w:val="clear" w:color="auto" w:fill="F5F8FA"/>
          </w:tcPr>
          <w:p>
            <w:pPr>
              <w:spacing w:after="20"/>
            </w:pPr>
            <w:r/>
            <w:r>
              <w:rPr>
                <w:b w:val="0"/>
                <w:sz w:val="17"/>
              </w:rPr>
              <w:t>Two or more payments to the same vendor, same expense account, identical amount to the cent, posted within 5 days, each between $3,000 and $7,000, where the pair exceeds the $5,000 purchase-order threshold. Population: 600 vendor lines between $3,000 and $7,000. Exceptions: 42 lines, $223,924.68.</w:t>
            </w:r>
          </w:p>
        </w:tc>
      </w:tr>
      <w:tr>
        <w:tc>
          <w:tcPr>
            <w:tcW w:type="dxa" w:w="2041"/>
          </w:tcPr>
          <w:p>
            <w:pPr>
              <w:spacing w:after="20"/>
            </w:pPr>
            <w:r/>
            <w:r>
              <w:rPr>
                <w:b/>
                <w:sz w:val="17"/>
              </w:rPr>
              <w:t>Evidence</w:t>
            </w:r>
          </w:p>
        </w:tc>
        <w:tc>
          <w:tcPr>
            <w:tcW w:type="dxa" w:w="7597"/>
          </w:tcPr>
          <w:p>
            <w:pPr>
              <w:spacing w:after="20"/>
            </w:pPr>
            <w:r/>
            <w:r>
              <w:rPr>
                <w:b w:val="0"/>
                <w:sz w:val="17"/>
              </w:rPr>
              <w:t>Journal IDs JE202401-00257, JE202401-00258, JE202402-00525, JE202402-00526, JE202403-00794, JE202403-00795 and 36 further journals.</w:t>
            </w:r>
          </w:p>
        </w:tc>
      </w:tr>
      <w:tr>
        <w:tc>
          <w:tcPr>
            <w:tcW w:type="dxa" w:w="2041"/>
            <w:shd w:val="clear" w:color="auto" w:fill="F5F8FA"/>
          </w:tcPr>
          <w:p>
            <w:pPr>
              <w:spacing w:after="20"/>
            </w:pPr>
            <w:r/>
            <w:r>
              <w:rPr>
                <w:b/>
                <w:sz w:val="17"/>
              </w:rPr>
              <w:t>Why it matters</w:t>
            </w:r>
          </w:p>
        </w:tc>
        <w:tc>
          <w:tcPr>
            <w:tcW w:type="dxa" w:w="7597"/>
            <w:shd w:val="clear" w:color="auto" w:fill="F5F8FA"/>
          </w:tcPr>
          <w:p>
            <w:pPr>
              <w:spacing w:after="20"/>
            </w:pPr>
            <w:r/>
            <w:r>
              <w:rPr>
                <w:b w:val="0"/>
                <w:sz w:val="17"/>
              </w:rPr>
              <w:t>It undermines the authorisation assertion. The commitment exceeds the approval threshold but was never approved as a whole.</w:t>
            </w:r>
          </w:p>
        </w:tc>
      </w:tr>
      <w:tr>
        <w:tc>
          <w:tcPr>
            <w:tcW w:type="dxa" w:w="2041"/>
          </w:tcPr>
          <w:p>
            <w:pPr>
              <w:spacing w:after="20"/>
            </w:pPr>
            <w:r/>
            <w:r>
              <w:rPr>
                <w:b/>
                <w:sz w:val="17"/>
              </w:rPr>
              <w:t>Root cause</w:t>
            </w:r>
          </w:p>
        </w:tc>
        <w:tc>
          <w:tcPr>
            <w:tcW w:type="dxa" w:w="7597"/>
          </w:tcPr>
          <w:p>
            <w:pPr>
              <w:spacing w:after="20"/>
            </w:pPr>
            <w:r/>
            <w:r>
              <w:rPr>
                <w:b w:val="0"/>
                <w:sz w:val="17"/>
              </w:rPr>
              <w:t>The approval control operates on the invoice, not on the commitment, so structuring defeats it.</w:t>
            </w:r>
          </w:p>
        </w:tc>
      </w:tr>
      <w:tr>
        <w:tc>
          <w:tcPr>
            <w:tcW w:type="dxa" w:w="2041"/>
            <w:shd w:val="clear" w:color="auto" w:fill="F5F8FA"/>
          </w:tcPr>
          <w:p>
            <w:pPr>
              <w:spacing w:after="20"/>
            </w:pPr>
            <w:r/>
            <w:r>
              <w:rPr>
                <w:b/>
                <w:sz w:val="17"/>
              </w:rPr>
              <w:t>Recommendation</w:t>
            </w:r>
          </w:p>
        </w:tc>
        <w:tc>
          <w:tcPr>
            <w:tcW w:type="dxa" w:w="7597"/>
            <w:shd w:val="clear" w:color="auto" w:fill="F5F8FA"/>
          </w:tcPr>
          <w:p>
            <w:pPr>
              <w:spacing w:after="20"/>
            </w:pPr>
            <w:r/>
            <w:r>
              <w:rPr>
                <w:b w:val="0"/>
                <w:sz w:val="17"/>
              </w:rPr>
              <w:t>Require a purchase order for every purchase regardless of value; test for aggregation by vendor and week in the monthly exception report.</w:t>
            </w:r>
          </w:p>
        </w:tc>
      </w:tr>
    </w:tbl>
    <w:p>
      <w:pPr>
        <w:spacing w:after="40"/>
      </w:pPr>
    </w:p>
    <w:p>
      <w:pPr>
        <w:spacing w:after="120"/>
      </w:pPr>
      <w:r>
        <w:rPr>
          <w:b w:val="0"/>
          <w:i w:val="0"/>
          <w:sz w:val="8"/>
        </w:rPr>
      </w:r>
    </w:p>
    <w:p>
      <w:pPr>
        <w:pStyle w:val="Heading3"/>
      </w:pPr>
      <w:r>
        <w:t>Finding 6 - Payments siting just below the purchase-order and approval limits</w:t>
      </w:r>
    </w:p>
    <w:tbl>
      <w:tblPr>
        <w:tblStyle w:val="TableGrid"/>
        <w:tblW w:type="auto" w:w="0"/>
        <w:tblLook w:firstColumn="1" w:firstRow="1" w:lastColumn="0" w:lastRow="0" w:noHBand="0" w:noVBand="1" w:val="04A0"/>
      </w:tblPr>
      <w:tblGrid>
        <w:gridCol w:w="4986"/>
        <w:gridCol w:w="4986"/>
      </w:tblGrid>
      <w:tr>
        <w:tc>
          <w:tcPr>
            <w:tcW w:type="dxa" w:w="2041"/>
            <w:shd w:val="clear" w:color="auto" w:fill="EAF1F6"/>
          </w:tcPr>
          <w:p>
            <w:r/>
            <w:r>
              <w:rPr>
                <w:b/>
                <w:sz w:val="18"/>
              </w:rPr>
              <w:t>Amount at risk</w:t>
            </w:r>
          </w:p>
        </w:tc>
        <w:tc>
          <w:tcPr>
            <w:tcW w:type="dxa" w:w="7597"/>
          </w:tcPr>
          <w:p>
            <w:r/>
            <w:r>
              <w:rPr>
                <w:sz w:val="18"/>
              </w:rPr>
              <w:t>$207,720.00 across 30 journal lines</w:t>
            </w:r>
          </w:p>
        </w:tc>
      </w:tr>
      <w:tr>
        <w:tc>
          <w:tcPr>
            <w:tcW w:type="dxa" w:w="2041"/>
            <w:shd w:val="clear" w:color="auto" w:fill="EAF1F6"/>
          </w:tcPr>
          <w:p>
            <w:r/>
            <w:r>
              <w:rPr>
                <w:b/>
                <w:sz w:val="18"/>
              </w:rPr>
              <w:t>Total value</w:t>
            </w:r>
          </w:p>
        </w:tc>
        <w:tc>
          <w:tcPr>
            <w:tcW w:type="dxa" w:w="7597"/>
          </w:tcPr>
          <w:p>
            <w:r/>
            <w:r>
              <w:rPr>
                <w:sz w:val="18"/>
              </w:rPr>
              <w:t>$207,720.00</w:t>
            </w:r>
          </w:p>
        </w:tc>
      </w:tr>
      <w:tr>
        <w:tc>
          <w:tcPr>
            <w:tcW w:type="dxa" w:w="2041"/>
            <w:shd w:val="clear" w:color="auto" w:fill="EAF1F6"/>
          </w:tcPr>
          <w:p>
            <w:r/>
            <w:r>
              <w:rPr>
                <w:b/>
                <w:sz w:val="18"/>
              </w:rPr>
              <w:t>Estimated loss</w:t>
            </w:r>
          </w:p>
        </w:tc>
        <w:tc>
          <w:tcPr>
            <w:tcW w:type="dxa" w:w="7597"/>
          </w:tcPr>
          <w:p>
            <w:r/>
            <w:r>
              <w:rPr>
                <w:sz w:val="18"/>
              </w:rPr>
              <w:t>Not quantified; requires document-level corroboration, which we recommend as the next phase</w:t>
            </w:r>
          </w:p>
        </w:tc>
      </w:tr>
    </w:tbl>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041"/>
            <w:shd w:val="clear" w:color="auto" w:fill="0B2E4F"/>
          </w:tcPr>
          <w:p>
            <w:r/>
            <w:r>
              <w:rPr>
                <w:b/>
                <w:color w:val="FFFFFF"/>
                <w:sz w:val="17"/>
              </w:rPr>
            </w:r>
          </w:p>
        </w:tc>
        <w:tc>
          <w:tcPr>
            <w:tcW w:type="dxa" w:w="7597"/>
            <w:shd w:val="clear" w:color="auto" w:fill="0B2E4F"/>
          </w:tcPr>
          <w:p>
            <w:r/>
            <w:r>
              <w:rPr>
                <w:b/>
                <w:color w:val="FFFFFF"/>
                <w:sz w:val="17"/>
              </w:rPr>
            </w:r>
          </w:p>
        </w:tc>
      </w:tr>
      <w:tr>
        <w:tc>
          <w:tcPr>
            <w:tcW w:type="dxa" w:w="2041"/>
          </w:tcPr>
          <w:p>
            <w:pPr>
              <w:spacing w:after="20"/>
            </w:pPr>
            <w:r/>
            <w:r>
              <w:rPr>
                <w:b/>
                <w:sz w:val="17"/>
              </w:rPr>
              <w:t>What we observed</w:t>
            </w:r>
          </w:p>
        </w:tc>
        <w:tc>
          <w:tcPr>
            <w:tcW w:type="dxa" w:w="7597"/>
          </w:tcPr>
          <w:p>
            <w:pPr>
              <w:spacing w:after="20"/>
            </w:pPr>
            <w:r/>
            <w:r>
              <w:rPr>
                <w:b w:val="0"/>
                <w:sz w:val="17"/>
              </w:rPr>
              <w:t>Thirty procurement payments of exactly $4,985, $4,990, $4,995, $9,750 or $9,900 were posted to consumables and packaging against named vendors, with no purchase order on file. The amounts are round to the dollar and sit immediately below the $5,000 purchase-order threshold and the $10,000 approval limit.</w:t>
            </w:r>
          </w:p>
        </w:tc>
      </w:tr>
      <w:tr>
        <w:tc>
          <w:tcPr>
            <w:tcW w:type="dxa" w:w="2041"/>
            <w:shd w:val="clear" w:color="auto" w:fill="F5F8FA"/>
          </w:tcPr>
          <w:p>
            <w:pPr>
              <w:spacing w:after="20"/>
            </w:pPr>
            <w:r/>
            <w:r>
              <w:rPr>
                <w:b/>
                <w:sz w:val="17"/>
              </w:rPr>
              <w:t>How we tested</w:t>
            </w:r>
          </w:p>
        </w:tc>
        <w:tc>
          <w:tcPr>
            <w:tcW w:type="dxa" w:w="7597"/>
            <w:shd w:val="clear" w:color="auto" w:fill="F5F8FA"/>
          </w:tcPr>
          <w:p>
            <w:pPr>
              <w:spacing w:after="20"/>
            </w:pPr>
            <w:r/>
            <w:r>
              <w:rPr>
                <w:b w:val="0"/>
                <w:sz w:val="17"/>
              </w:rPr>
              <w:t>Debit of $4,985-$4,995 or $9,750-$9,999 posted to a procurement expense account (payroll excluded) against a named vendor, where the amount is a round number (no cents, multiple of $5). Population: 111 lines in the two threshold bands. Exceptions: 30 lines, $207,720.00.</w:t>
            </w:r>
          </w:p>
        </w:tc>
      </w:tr>
      <w:tr>
        <w:tc>
          <w:tcPr>
            <w:tcW w:type="dxa" w:w="2041"/>
          </w:tcPr>
          <w:p>
            <w:pPr>
              <w:spacing w:after="20"/>
            </w:pPr>
            <w:r/>
            <w:r>
              <w:rPr>
                <w:b/>
                <w:sz w:val="17"/>
              </w:rPr>
              <w:t>Evidence</w:t>
            </w:r>
          </w:p>
        </w:tc>
        <w:tc>
          <w:tcPr>
            <w:tcW w:type="dxa" w:w="7597"/>
          </w:tcPr>
          <w:p>
            <w:pPr>
              <w:spacing w:after="20"/>
            </w:pPr>
            <w:r/>
            <w:r>
              <w:rPr>
                <w:b w:val="0"/>
                <w:sz w:val="17"/>
              </w:rPr>
              <w:t>Journal IDs JE202401-00253, JE202401-00254, JE202402-00522, JE202402-00523, JE202403-00791, JE202404-01057 and 24 further journals.</w:t>
            </w:r>
          </w:p>
        </w:tc>
      </w:tr>
      <w:tr>
        <w:tc>
          <w:tcPr>
            <w:tcW w:type="dxa" w:w="2041"/>
            <w:shd w:val="clear" w:color="auto" w:fill="F5F8FA"/>
          </w:tcPr>
          <w:p>
            <w:pPr>
              <w:spacing w:after="20"/>
            </w:pPr>
            <w:r/>
            <w:r>
              <w:rPr>
                <w:b/>
                <w:sz w:val="17"/>
              </w:rPr>
              <w:t>Why it matters</w:t>
            </w:r>
          </w:p>
        </w:tc>
        <w:tc>
          <w:tcPr>
            <w:tcW w:type="dxa" w:w="7597"/>
            <w:shd w:val="clear" w:color="auto" w:fill="F5F8FA"/>
          </w:tcPr>
          <w:p>
            <w:pPr>
              <w:spacing w:after="20"/>
            </w:pPr>
            <w:r/>
            <w:r>
              <w:rPr>
                <w:b w:val="0"/>
                <w:sz w:val="17"/>
              </w:rPr>
              <w:t>It undermines the authorisation assertion. The approval control is defeated by structuring, so spend above the limit is being incurred without authorisation.</w:t>
            </w:r>
          </w:p>
        </w:tc>
      </w:tr>
      <w:tr>
        <w:tc>
          <w:tcPr>
            <w:tcW w:type="dxa" w:w="2041"/>
          </w:tcPr>
          <w:p>
            <w:pPr>
              <w:spacing w:after="20"/>
            </w:pPr>
            <w:r/>
            <w:r>
              <w:rPr>
                <w:b/>
                <w:sz w:val="17"/>
              </w:rPr>
              <w:t>Root cause</w:t>
            </w:r>
          </w:p>
        </w:tc>
        <w:tc>
          <w:tcPr>
            <w:tcW w:type="dxa" w:w="7597"/>
          </w:tcPr>
          <w:p>
            <w:pPr>
              <w:spacing w:after="20"/>
            </w:pPr>
            <w:r/>
            <w:r>
              <w:rPr>
                <w:b w:val="0"/>
                <w:sz w:val="17"/>
              </w:rPr>
              <w:t>The value-based exception to the purchase-order requirement creates an incentive to structure amounts below the threshold, and nothing tests for it.</w:t>
            </w:r>
          </w:p>
        </w:tc>
      </w:tr>
      <w:tr>
        <w:tc>
          <w:tcPr>
            <w:tcW w:type="dxa" w:w="2041"/>
            <w:shd w:val="clear" w:color="auto" w:fill="F5F8FA"/>
          </w:tcPr>
          <w:p>
            <w:pPr>
              <w:spacing w:after="20"/>
            </w:pPr>
            <w:r/>
            <w:r>
              <w:rPr>
                <w:b/>
                <w:sz w:val="17"/>
              </w:rPr>
              <w:t>Recommendation</w:t>
            </w:r>
          </w:p>
        </w:tc>
        <w:tc>
          <w:tcPr>
            <w:tcW w:type="dxa" w:w="7597"/>
            <w:shd w:val="clear" w:color="auto" w:fill="F5F8FA"/>
          </w:tcPr>
          <w:p>
            <w:pPr>
              <w:spacing w:after="20"/>
            </w:pPr>
            <w:r/>
            <w:r>
              <w:rPr>
                <w:b w:val="0"/>
                <w:sz w:val="17"/>
              </w:rPr>
              <w:t>Remove the value-based exception; test the distribution of payment amounts monthly for a wall below each limit; require a purchase order for every purchase.</w:t>
            </w:r>
          </w:p>
        </w:tc>
      </w:tr>
    </w:tbl>
    <w:p>
      <w:pPr>
        <w:spacing w:after="40"/>
      </w:pPr>
    </w:p>
    <w:p>
      <w:pPr>
        <w:spacing w:after="120"/>
      </w:pPr>
      <w:r>
        <w:rPr>
          <w:b w:val="0"/>
          <w:i w:val="0"/>
          <w:sz w:val="8"/>
        </w:rPr>
      </w:r>
    </w:p>
    <w:p>
      <w:pPr>
        <w:pStyle w:val="Heading3"/>
      </w:pPr>
      <w:r>
        <w:t>Finding 7 - Prepayment amortisation entries never reversed</w:t>
      </w:r>
    </w:p>
    <w:tbl>
      <w:tblPr>
        <w:tblStyle w:val="TableGrid"/>
        <w:tblW w:type="auto" w:w="0"/>
        <w:tblLook w:firstColumn="1" w:firstRow="1" w:lastColumn="0" w:lastRow="0" w:noHBand="0" w:noVBand="1" w:val="04A0"/>
      </w:tblPr>
      <w:tblGrid>
        <w:gridCol w:w="4986"/>
        <w:gridCol w:w="4986"/>
      </w:tblGrid>
      <w:tr>
        <w:tc>
          <w:tcPr>
            <w:tcW w:type="dxa" w:w="2041"/>
            <w:shd w:val="clear" w:color="auto" w:fill="EAF1F6"/>
          </w:tcPr>
          <w:p>
            <w:r/>
            <w:r>
              <w:rPr>
                <w:b/>
                <w:sz w:val="18"/>
              </w:rPr>
              <w:t>Amount at risk</w:t>
            </w:r>
          </w:p>
        </w:tc>
        <w:tc>
          <w:tcPr>
            <w:tcW w:type="dxa" w:w="7597"/>
          </w:tcPr>
          <w:p>
            <w:r/>
            <w:r>
              <w:rPr>
                <w:sz w:val="18"/>
              </w:rPr>
              <w:t>$14,400.00 across 6 journal lines</w:t>
            </w:r>
          </w:p>
        </w:tc>
      </w:tr>
      <w:tr>
        <w:tc>
          <w:tcPr>
            <w:tcW w:type="dxa" w:w="2041"/>
            <w:shd w:val="clear" w:color="auto" w:fill="EAF1F6"/>
          </w:tcPr>
          <w:p>
            <w:r/>
            <w:r>
              <w:rPr>
                <w:b/>
                <w:sz w:val="18"/>
              </w:rPr>
              <w:t>Total value</w:t>
            </w:r>
          </w:p>
        </w:tc>
        <w:tc>
          <w:tcPr>
            <w:tcW w:type="dxa" w:w="7597"/>
          </w:tcPr>
          <w:p>
            <w:r/>
            <w:r>
              <w:rPr>
                <w:sz w:val="18"/>
              </w:rPr>
              <w:t>$14,400.00</w:t>
            </w:r>
          </w:p>
        </w:tc>
      </w:tr>
      <w:tr>
        <w:tc>
          <w:tcPr>
            <w:tcW w:type="dxa" w:w="2041"/>
            <w:shd w:val="clear" w:color="auto" w:fill="EAF1F6"/>
          </w:tcPr>
          <w:p>
            <w:r/>
            <w:r>
              <w:rPr>
                <w:b/>
                <w:sz w:val="18"/>
              </w:rPr>
              <w:t>Estimated loss</w:t>
            </w:r>
          </w:p>
        </w:tc>
        <w:tc>
          <w:tcPr>
            <w:tcW w:type="dxa" w:w="7597"/>
          </w:tcPr>
          <w:p>
            <w:r/>
            <w:r>
              <w:rPr>
                <w:sz w:val="18"/>
              </w:rPr>
              <w:t>Not quantified; requires document-level corroboration, which we recommend as the next phase</w:t>
            </w:r>
          </w:p>
        </w:tc>
      </w:tr>
    </w:tbl>
    <w:p>
      <w:pPr>
        <w:spacing w:after="40"/>
      </w:pPr>
    </w:p>
    <w:tbl>
      <w:tblPr>
        <w:tblStyle w:val="TableGrid"/>
        <w:tblW w:type="auto" w:w="0"/>
        <w:jc w:val="center"/>
        <w:tblLook w:firstColumn="1" w:firstRow="1" w:lastColumn="0" w:lastRow="0" w:noHBand="0" w:noVBand="1" w:val="04A0"/>
      </w:tblPr>
      <w:tblGrid>
        <w:gridCol w:w="4986"/>
        <w:gridCol w:w="4986"/>
      </w:tblGrid>
      <w:tr>
        <w:tc>
          <w:tcPr>
            <w:tcW w:type="dxa" w:w="2041"/>
            <w:shd w:val="clear" w:color="auto" w:fill="0B2E4F"/>
          </w:tcPr>
          <w:p>
            <w:r/>
            <w:r>
              <w:rPr>
                <w:b/>
                <w:color w:val="FFFFFF"/>
                <w:sz w:val="17"/>
              </w:rPr>
            </w:r>
          </w:p>
        </w:tc>
        <w:tc>
          <w:tcPr>
            <w:tcW w:type="dxa" w:w="7597"/>
            <w:shd w:val="clear" w:color="auto" w:fill="0B2E4F"/>
          </w:tcPr>
          <w:p>
            <w:r/>
            <w:r>
              <w:rPr>
                <w:b/>
                <w:color w:val="FFFFFF"/>
                <w:sz w:val="17"/>
              </w:rPr>
            </w:r>
          </w:p>
        </w:tc>
      </w:tr>
      <w:tr>
        <w:tc>
          <w:tcPr>
            <w:tcW w:type="dxa" w:w="2041"/>
          </w:tcPr>
          <w:p>
            <w:pPr>
              <w:spacing w:after="20"/>
            </w:pPr>
            <w:r/>
            <w:r>
              <w:rPr>
                <w:b/>
                <w:sz w:val="17"/>
              </w:rPr>
              <w:t>What we observed</w:t>
            </w:r>
          </w:p>
        </w:tc>
        <w:tc>
          <w:tcPr>
            <w:tcW w:type="dxa" w:w="7597"/>
          </w:tcPr>
          <w:p>
            <w:pPr>
              <w:spacing w:after="20"/>
            </w:pPr>
            <w:r/>
            <w:r>
              <w:rPr>
                <w:b w:val="0"/>
                <w:sz w:val="17"/>
              </w:rPr>
              <w:t>Six monthly journals debit prepayments and credit insurance expense by $2,400 each, with no reversal in the following period. The same pattern appears in fifteen further months; the prepayment account only ever increases, which is the opposite of an amortisation.</w:t>
            </w:r>
          </w:p>
        </w:tc>
      </w:tr>
      <w:tr>
        <w:tc>
          <w:tcPr>
            <w:tcW w:type="dxa" w:w="2041"/>
            <w:shd w:val="clear" w:color="auto" w:fill="F5F8FA"/>
          </w:tcPr>
          <w:p>
            <w:pPr>
              <w:spacing w:after="20"/>
            </w:pPr>
            <w:r/>
            <w:r>
              <w:rPr>
                <w:b/>
                <w:sz w:val="17"/>
              </w:rPr>
              <w:t>How we tested</w:t>
            </w:r>
          </w:p>
        </w:tc>
        <w:tc>
          <w:tcPr>
            <w:tcW w:type="dxa" w:w="7597"/>
            <w:shd w:val="clear" w:color="auto" w:fill="F5F8FA"/>
          </w:tcPr>
          <w:p>
            <w:pPr>
              <w:spacing w:after="20"/>
            </w:pPr>
            <w:r/>
            <w:r>
              <w:rPr>
                <w:b w:val="0"/>
                <w:sz w:val="17"/>
              </w:rPr>
              <w:t>Manual journal that debits a prepayment account (1300) and credits an expense account, with no opposite entry of the same amount in the following 60 days. Population: 21 journals with the prepayment pattern. Exceptions: 6 lines, $14,400.00.</w:t>
            </w:r>
          </w:p>
        </w:tc>
      </w:tr>
      <w:tr>
        <w:tc>
          <w:tcPr>
            <w:tcW w:type="dxa" w:w="2041"/>
          </w:tcPr>
          <w:p>
            <w:pPr>
              <w:spacing w:after="20"/>
            </w:pPr>
            <w:r/>
            <w:r>
              <w:rPr>
                <w:b/>
                <w:sz w:val="17"/>
              </w:rPr>
              <w:t>Evidence</w:t>
            </w:r>
          </w:p>
        </w:tc>
        <w:tc>
          <w:tcPr>
            <w:tcW w:type="dxa" w:w="7597"/>
          </w:tcPr>
          <w:p>
            <w:pPr>
              <w:spacing w:after="20"/>
            </w:pPr>
            <w:r/>
            <w:r>
              <w:rPr>
                <w:b w:val="0"/>
                <w:sz w:val="17"/>
              </w:rPr>
              <w:t>Journal IDs JE202410-02624, JE202411-02890, JE202412-03138, JE202501-03387, JE202504-04166, JE202507-04965.</w:t>
            </w:r>
          </w:p>
        </w:tc>
      </w:tr>
      <w:tr>
        <w:tc>
          <w:tcPr>
            <w:tcW w:type="dxa" w:w="2041"/>
            <w:shd w:val="clear" w:color="auto" w:fill="F5F8FA"/>
          </w:tcPr>
          <w:p>
            <w:pPr>
              <w:spacing w:after="20"/>
            </w:pPr>
            <w:r/>
            <w:r>
              <w:rPr>
                <w:b/>
                <w:sz w:val="17"/>
              </w:rPr>
              <w:t>Why it matters</w:t>
            </w:r>
          </w:p>
        </w:tc>
        <w:tc>
          <w:tcPr>
            <w:tcW w:type="dxa" w:w="7597"/>
            <w:shd w:val="clear" w:color="auto" w:fill="F5F8FA"/>
          </w:tcPr>
          <w:p>
            <w:pPr>
              <w:spacing w:after="20"/>
            </w:pPr>
            <w:r/>
            <w:r>
              <w:rPr>
                <w:b w:val="0"/>
                <w:sz w:val="17"/>
              </w:rPr>
              <w:t>It undermines the cut-off and accuracy assertion. Expenses and assets are misstated until the prepayment is either released or reversed.</w:t>
            </w:r>
          </w:p>
        </w:tc>
      </w:tr>
      <w:tr>
        <w:tc>
          <w:tcPr>
            <w:tcW w:type="dxa" w:w="2041"/>
          </w:tcPr>
          <w:p>
            <w:pPr>
              <w:spacing w:after="20"/>
            </w:pPr>
            <w:r/>
            <w:r>
              <w:rPr>
                <w:b/>
                <w:sz w:val="17"/>
              </w:rPr>
              <w:t>Root cause</w:t>
            </w:r>
          </w:p>
        </w:tc>
        <w:tc>
          <w:tcPr>
            <w:tcW w:type="dxa" w:w="7597"/>
          </w:tcPr>
          <w:p>
            <w:pPr>
              <w:spacing w:after="20"/>
            </w:pPr>
            <w:r/>
            <w:r>
              <w:rPr>
                <w:b w:val="0"/>
                <w:sz w:val="17"/>
              </w:rPr>
              <w:t>There is no prepayment schedule reconciled to the ledger, and no review of recurring manual entries.</w:t>
            </w:r>
          </w:p>
        </w:tc>
      </w:tr>
      <w:tr>
        <w:tc>
          <w:tcPr>
            <w:tcW w:type="dxa" w:w="2041"/>
            <w:shd w:val="clear" w:color="auto" w:fill="F5F8FA"/>
          </w:tcPr>
          <w:p>
            <w:pPr>
              <w:spacing w:after="20"/>
            </w:pPr>
            <w:r/>
            <w:r>
              <w:rPr>
                <w:b/>
                <w:sz w:val="17"/>
              </w:rPr>
              <w:t>Recommendation</w:t>
            </w:r>
          </w:p>
        </w:tc>
        <w:tc>
          <w:tcPr>
            <w:tcW w:type="dxa" w:w="7597"/>
            <w:shd w:val="clear" w:color="auto" w:fill="F5F8FA"/>
          </w:tcPr>
          <w:p>
            <w:pPr>
              <w:spacing w:after="20"/>
            </w:pPr>
            <w:r/>
            <w:r>
              <w:rPr>
                <w:b w:val="0"/>
                <w:sz w:val="17"/>
              </w:rPr>
              <w:t>Agree the prepayment schedule to the underlying contracts; reverse the entries with no supporting asset; schedule an automatic review of recurring manual journals.</w:t>
            </w:r>
          </w:p>
        </w:tc>
      </w:tr>
    </w:tbl>
    <w:p>
      <w:pPr>
        <w:spacing w:after="40"/>
      </w:pPr>
    </w:p>
    <w:p>
      <w:r>
        <w:br w:type="page"/>
      </w:r>
    </w:p>
    <w:p>
      <w:pPr>
        <w:pStyle w:val="Heading2"/>
      </w:pPr>
      <w:r>
        <w:t>4. Aggregate quantification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494"/>
            <w:shd w:val="clear" w:color="auto" w:fill="0B2E4F"/>
          </w:tcPr>
          <w:p>
            <w:r/>
            <w:r>
              <w:rPr>
                <w:b/>
                <w:color w:val="FFFFFF"/>
                <w:sz w:val="17"/>
              </w:rPr>
              <w:t>Scheme</w:t>
            </w:r>
          </w:p>
        </w:tc>
        <w:tc>
          <w:tcPr>
            <w:tcW w:type="dxa" w:w="794"/>
            <w:shd w:val="clear" w:color="auto" w:fill="0B2E4F"/>
          </w:tcPr>
          <w:p>
            <w:r/>
            <w:r>
              <w:rPr>
                <w:b/>
                <w:color w:val="FFFFFF"/>
                <w:sz w:val="17"/>
              </w:rPr>
              <w:t>Lines</w:t>
            </w:r>
          </w:p>
        </w:tc>
        <w:tc>
          <w:tcPr>
            <w:tcW w:type="dxa" w:w="1474"/>
            <w:shd w:val="clear" w:color="auto" w:fill="0B2E4F"/>
          </w:tcPr>
          <w:p>
            <w:r/>
            <w:r>
              <w:rPr>
                <w:b/>
                <w:color w:val="FFFFFF"/>
                <w:sz w:val="17"/>
              </w:rPr>
              <w:t>Total value</w:t>
            </w:r>
          </w:p>
        </w:tc>
        <w:tc>
          <w:tcPr>
            <w:tcW w:type="dxa" w:w="1474"/>
            <w:shd w:val="clear" w:color="auto" w:fill="0B2E4F"/>
          </w:tcPr>
          <w:p>
            <w:r/>
            <w:r>
              <w:rPr>
                <w:b/>
                <w:color w:val="FFFFFF"/>
                <w:sz w:val="17"/>
              </w:rPr>
              <w:t>Amount at risk</w:t>
            </w:r>
          </w:p>
        </w:tc>
        <w:tc>
          <w:tcPr>
            <w:tcW w:type="dxa" w:w="1474"/>
            <w:shd w:val="clear" w:color="auto" w:fill="0B2E4F"/>
          </w:tcPr>
          <w:p>
            <w:r/>
            <w:r>
              <w:rPr>
                <w:b/>
                <w:color w:val="FFFFFF"/>
                <w:sz w:val="17"/>
              </w:rPr>
              <w:t>Quantified loss</w:t>
            </w:r>
          </w:p>
        </w:tc>
        <w:tc>
          <w:tcPr>
            <w:tcW w:type="dxa" w:w="1928"/>
            <w:shd w:val="clear" w:color="auto" w:fill="0B2E4F"/>
          </w:tcPr>
          <w:p>
            <w:r/>
            <w:r>
              <w:rPr>
                <w:b/>
                <w:color w:val="FFFFFF"/>
                <w:sz w:val="17"/>
              </w:rPr>
              <w:t>Basis</w:t>
            </w:r>
          </w:p>
        </w:tc>
      </w:tr>
      <w:tr>
        <w:tc>
          <w:tcPr>
            <w:tcW w:type="dxa" w:w="2494"/>
          </w:tcPr>
          <w:p>
            <w:pPr>
              <w:spacing w:after="20"/>
            </w:pPr>
            <w:r/>
            <w:r>
              <w:rPr>
                <w:b w:val="0"/>
                <w:sz w:val="17"/>
              </w:rPr>
              <w:t>Related-party / ghost vendors</w:t>
            </w:r>
          </w:p>
        </w:tc>
        <w:tc>
          <w:tcPr>
            <w:tcW w:type="dxa" w:w="794"/>
          </w:tcPr>
          <w:p>
            <w:pPr>
              <w:spacing w:after="20"/>
              <w:jc w:val="right"/>
            </w:pPr>
            <w:r/>
            <w:r>
              <w:rPr>
                <w:b w:val="0"/>
                <w:sz w:val="17"/>
              </w:rPr>
              <w:t>15</w:t>
            </w:r>
          </w:p>
        </w:tc>
        <w:tc>
          <w:tcPr>
            <w:tcW w:type="dxa" w:w="1474"/>
          </w:tcPr>
          <w:p>
            <w:pPr>
              <w:spacing w:after="20"/>
              <w:jc w:val="right"/>
            </w:pPr>
            <w:r/>
            <w:r>
              <w:rPr>
                <w:b w:val="0"/>
                <w:sz w:val="17"/>
              </w:rPr>
              <w:t>$445,568.39</w:t>
            </w:r>
          </w:p>
        </w:tc>
        <w:tc>
          <w:tcPr>
            <w:tcW w:type="dxa" w:w="1474"/>
          </w:tcPr>
          <w:p>
            <w:pPr>
              <w:spacing w:after="20"/>
              <w:jc w:val="right"/>
            </w:pPr>
            <w:r/>
            <w:r>
              <w:rPr>
                <w:b w:val="0"/>
                <w:sz w:val="17"/>
              </w:rPr>
              <w:t>$445,568.39</w:t>
            </w:r>
          </w:p>
        </w:tc>
        <w:tc>
          <w:tcPr>
            <w:tcW w:type="dxa" w:w="1474"/>
          </w:tcPr>
          <w:p>
            <w:pPr>
              <w:spacing w:after="20"/>
              <w:jc w:val="right"/>
            </w:pPr>
            <w:r/>
            <w:r>
              <w:rPr>
                <w:b w:val="0"/>
                <w:sz w:val="17"/>
              </w:rPr>
              <w:t>Nil - not corroborated</w:t>
            </w:r>
          </w:p>
        </w:tc>
        <w:tc>
          <w:tcPr>
            <w:tcW w:type="dxa" w:w="1928"/>
          </w:tcPr>
          <w:p>
            <w:pPr>
              <w:spacing w:after="20"/>
            </w:pPr>
            <w:r/>
            <w:r>
              <w:rPr>
                <w:b w:val="0"/>
                <w:sz w:val="17"/>
              </w:rPr>
              <w:t>Full value of payments that bypassed the payment run and approval</w:t>
            </w:r>
          </w:p>
        </w:tc>
      </w:tr>
      <w:tr>
        <w:tc>
          <w:tcPr>
            <w:tcW w:type="dxa" w:w="2494"/>
            <w:shd w:val="clear" w:color="auto" w:fill="F5F8FA"/>
          </w:tcPr>
          <w:p>
            <w:pPr>
              <w:spacing w:after="20"/>
            </w:pPr>
            <w:r/>
            <w:r>
              <w:rPr>
                <w:b w:val="0"/>
                <w:sz w:val="17"/>
              </w:rPr>
              <w:t>Weekend and after-hours journals</w:t>
            </w:r>
          </w:p>
        </w:tc>
        <w:tc>
          <w:tcPr>
            <w:tcW w:type="dxa" w:w="794"/>
            <w:shd w:val="clear" w:color="auto" w:fill="F5F8FA"/>
          </w:tcPr>
          <w:p>
            <w:pPr>
              <w:spacing w:after="20"/>
              <w:jc w:val="right"/>
            </w:pPr>
            <w:r/>
            <w:r>
              <w:rPr>
                <w:b w:val="0"/>
                <w:sz w:val="17"/>
              </w:rPr>
              <w:t>21</w:t>
            </w:r>
          </w:p>
        </w:tc>
        <w:tc>
          <w:tcPr>
            <w:tcW w:type="dxa" w:w="1474"/>
            <w:shd w:val="clear" w:color="auto" w:fill="F5F8FA"/>
          </w:tcPr>
          <w:p>
            <w:pPr>
              <w:spacing w:after="20"/>
              <w:jc w:val="right"/>
            </w:pPr>
            <w:r/>
            <w:r>
              <w:rPr>
                <w:b w:val="0"/>
                <w:sz w:val="17"/>
              </w:rPr>
              <w:t>$406,300.00</w:t>
            </w:r>
          </w:p>
        </w:tc>
        <w:tc>
          <w:tcPr>
            <w:tcW w:type="dxa" w:w="1474"/>
            <w:shd w:val="clear" w:color="auto" w:fill="F5F8FA"/>
          </w:tcPr>
          <w:p>
            <w:pPr>
              <w:spacing w:after="20"/>
              <w:jc w:val="right"/>
            </w:pPr>
            <w:r/>
            <w:r>
              <w:rPr>
                <w:b w:val="0"/>
                <w:sz w:val="17"/>
              </w:rPr>
              <w:t>$406,300.00</w:t>
            </w:r>
          </w:p>
        </w:tc>
        <w:tc>
          <w:tcPr>
            <w:tcW w:type="dxa" w:w="1474"/>
            <w:shd w:val="clear" w:color="auto" w:fill="F5F8FA"/>
          </w:tcPr>
          <w:p>
            <w:pPr>
              <w:spacing w:after="20"/>
              <w:jc w:val="right"/>
            </w:pPr>
            <w:r/>
            <w:r>
              <w:rPr>
                <w:b w:val="0"/>
                <w:sz w:val="17"/>
              </w:rPr>
              <w:t>Nil - not corroborated</w:t>
            </w:r>
          </w:p>
        </w:tc>
        <w:tc>
          <w:tcPr>
            <w:tcW w:type="dxa" w:w="1928"/>
            <w:shd w:val="clear" w:color="auto" w:fill="F5F8FA"/>
          </w:tcPr>
          <w:p>
            <w:pPr>
              <w:spacing w:after="20"/>
            </w:pPr>
            <w:r/>
            <w:r>
              <w:rPr>
                <w:b w:val="0"/>
                <w:sz w:val="17"/>
              </w:rPr>
              <w:t>Full value; no supporting document or approver identified</w:t>
            </w:r>
          </w:p>
        </w:tc>
      </w:tr>
      <w:tr>
        <w:tc>
          <w:tcPr>
            <w:tcW w:type="dxa" w:w="2494"/>
          </w:tcPr>
          <w:p>
            <w:pPr>
              <w:spacing w:after="20"/>
            </w:pPr>
            <w:r/>
            <w:r>
              <w:rPr>
                <w:b w:val="0"/>
                <w:sz w:val="17"/>
              </w:rPr>
              <w:t>Duplicate payments</w:t>
            </w:r>
          </w:p>
        </w:tc>
        <w:tc>
          <w:tcPr>
            <w:tcW w:type="dxa" w:w="794"/>
          </w:tcPr>
          <w:p>
            <w:pPr>
              <w:spacing w:after="20"/>
              <w:jc w:val="right"/>
            </w:pPr>
            <w:r/>
            <w:r>
              <w:rPr>
                <w:b w:val="0"/>
                <w:sz w:val="17"/>
              </w:rPr>
              <w:t>42</w:t>
            </w:r>
          </w:p>
        </w:tc>
        <w:tc>
          <w:tcPr>
            <w:tcW w:type="dxa" w:w="1474"/>
          </w:tcPr>
          <w:p>
            <w:pPr>
              <w:spacing w:after="20"/>
              <w:jc w:val="right"/>
            </w:pPr>
            <w:r/>
            <w:r>
              <w:rPr>
                <w:b w:val="0"/>
                <w:sz w:val="17"/>
              </w:rPr>
              <w:t>$368,023.48</w:t>
            </w:r>
          </w:p>
        </w:tc>
        <w:tc>
          <w:tcPr>
            <w:tcW w:type="dxa" w:w="1474"/>
          </w:tcPr>
          <w:p>
            <w:pPr>
              <w:spacing w:after="20"/>
              <w:jc w:val="right"/>
            </w:pPr>
            <w:r/>
            <w:r>
              <w:rPr>
                <w:b w:val="0"/>
                <w:sz w:val="17"/>
              </w:rPr>
              <w:t>$184,011.74</w:t>
            </w:r>
          </w:p>
        </w:tc>
        <w:tc>
          <w:tcPr>
            <w:tcW w:type="dxa" w:w="1474"/>
          </w:tcPr>
          <w:p>
            <w:pPr>
              <w:spacing w:after="20"/>
              <w:jc w:val="right"/>
            </w:pPr>
            <w:r/>
            <w:r>
              <w:rPr>
                <w:b w:val="0"/>
                <w:sz w:val="17"/>
              </w:rPr>
              <w:t>Nil - not corroborated</w:t>
            </w:r>
          </w:p>
        </w:tc>
        <w:tc>
          <w:tcPr>
            <w:tcW w:type="dxa" w:w="1928"/>
          </w:tcPr>
          <w:p>
            <w:pPr>
              <w:spacing w:after="20"/>
            </w:pPr>
            <w:r/>
            <w:r>
              <w:rPr>
                <w:b w:val="0"/>
                <w:sz w:val="17"/>
              </w:rPr>
              <w:t>Second payment of each duplicate pair is the improper portion</w:t>
            </w:r>
          </w:p>
        </w:tc>
      </w:tr>
      <w:tr>
        <w:tc>
          <w:tcPr>
            <w:tcW w:type="dxa" w:w="2494"/>
            <w:shd w:val="clear" w:color="auto" w:fill="F5F8FA"/>
          </w:tcPr>
          <w:p>
            <w:pPr>
              <w:spacing w:after="20"/>
            </w:pPr>
            <w:r/>
            <w:r>
              <w:rPr>
                <w:b w:val="0"/>
                <w:sz w:val="17"/>
              </w:rPr>
              <w:t>Segregation of duties - user / account matrix</w:t>
            </w:r>
          </w:p>
        </w:tc>
        <w:tc>
          <w:tcPr>
            <w:tcW w:type="dxa" w:w="794"/>
            <w:shd w:val="clear" w:color="auto" w:fill="F5F8FA"/>
          </w:tcPr>
          <w:p>
            <w:pPr>
              <w:spacing w:after="20"/>
              <w:jc w:val="right"/>
            </w:pPr>
            <w:r/>
            <w:r>
              <w:rPr>
                <w:b w:val="0"/>
                <w:sz w:val="17"/>
              </w:rPr>
              <w:t>15</w:t>
            </w:r>
          </w:p>
        </w:tc>
        <w:tc>
          <w:tcPr>
            <w:tcW w:type="dxa" w:w="1474"/>
            <w:shd w:val="clear" w:color="auto" w:fill="F5F8FA"/>
          </w:tcPr>
          <w:p>
            <w:pPr>
              <w:spacing w:after="20"/>
              <w:jc w:val="right"/>
            </w:pPr>
            <w:r/>
            <w:r>
              <w:rPr>
                <w:b w:val="0"/>
                <w:sz w:val="17"/>
              </w:rPr>
              <w:t>$279,600.00</w:t>
            </w:r>
          </w:p>
        </w:tc>
        <w:tc>
          <w:tcPr>
            <w:tcW w:type="dxa" w:w="1474"/>
            <w:shd w:val="clear" w:color="auto" w:fill="F5F8FA"/>
          </w:tcPr>
          <w:p>
            <w:pPr>
              <w:spacing w:after="20"/>
              <w:jc w:val="right"/>
            </w:pPr>
            <w:r/>
            <w:r>
              <w:rPr>
                <w:b w:val="0"/>
                <w:sz w:val="17"/>
              </w:rPr>
              <w:t>$279,600.00</w:t>
            </w:r>
          </w:p>
        </w:tc>
        <w:tc>
          <w:tcPr>
            <w:tcW w:type="dxa" w:w="1474"/>
            <w:shd w:val="clear" w:color="auto" w:fill="F5F8FA"/>
          </w:tcPr>
          <w:p>
            <w:pPr>
              <w:spacing w:after="20"/>
              <w:jc w:val="right"/>
            </w:pPr>
            <w:r/>
            <w:r>
              <w:rPr>
                <w:b w:val="0"/>
                <w:sz w:val="17"/>
              </w:rPr>
              <w:t>Nil - not corroborated</w:t>
            </w:r>
          </w:p>
        </w:tc>
        <w:tc>
          <w:tcPr>
            <w:tcW w:type="dxa" w:w="1928"/>
            <w:shd w:val="clear" w:color="auto" w:fill="F5F8FA"/>
          </w:tcPr>
          <w:p>
            <w:pPr>
              <w:spacing w:after="20"/>
            </w:pPr>
            <w:r/>
            <w:r>
              <w:rPr>
                <w:b w:val="0"/>
                <w:sz w:val="17"/>
              </w:rPr>
              <w:t>Full value of the credit notes posted outside role</w:t>
            </w:r>
          </w:p>
        </w:tc>
      </w:tr>
      <w:tr>
        <w:tc>
          <w:tcPr>
            <w:tcW w:type="dxa" w:w="2494"/>
          </w:tcPr>
          <w:p>
            <w:pPr>
              <w:spacing w:after="20"/>
            </w:pPr>
            <w:r/>
            <w:r>
              <w:rPr>
                <w:b w:val="0"/>
                <w:sz w:val="17"/>
              </w:rPr>
              <w:t>Split purchases (structuring)</w:t>
            </w:r>
          </w:p>
        </w:tc>
        <w:tc>
          <w:tcPr>
            <w:tcW w:type="dxa" w:w="794"/>
          </w:tcPr>
          <w:p>
            <w:pPr>
              <w:spacing w:after="20"/>
              <w:jc w:val="right"/>
            </w:pPr>
            <w:r/>
            <w:r>
              <w:rPr>
                <w:b w:val="0"/>
                <w:sz w:val="17"/>
              </w:rPr>
              <w:t>42</w:t>
            </w:r>
          </w:p>
        </w:tc>
        <w:tc>
          <w:tcPr>
            <w:tcW w:type="dxa" w:w="1474"/>
          </w:tcPr>
          <w:p>
            <w:pPr>
              <w:spacing w:after="20"/>
              <w:jc w:val="right"/>
            </w:pPr>
            <w:r/>
            <w:r>
              <w:rPr>
                <w:b w:val="0"/>
                <w:sz w:val="17"/>
              </w:rPr>
              <w:t>$223,924.68</w:t>
            </w:r>
          </w:p>
        </w:tc>
        <w:tc>
          <w:tcPr>
            <w:tcW w:type="dxa" w:w="1474"/>
          </w:tcPr>
          <w:p>
            <w:pPr>
              <w:spacing w:after="20"/>
              <w:jc w:val="right"/>
            </w:pPr>
            <w:r/>
            <w:r>
              <w:rPr>
                <w:b w:val="0"/>
                <w:sz w:val="17"/>
              </w:rPr>
              <w:t>$223,924.68</w:t>
            </w:r>
          </w:p>
        </w:tc>
        <w:tc>
          <w:tcPr>
            <w:tcW w:type="dxa" w:w="1474"/>
          </w:tcPr>
          <w:p>
            <w:pPr>
              <w:spacing w:after="20"/>
              <w:jc w:val="right"/>
            </w:pPr>
            <w:r/>
            <w:r>
              <w:rPr>
                <w:b w:val="0"/>
                <w:sz w:val="17"/>
              </w:rPr>
              <w:t>Nil - not corroborated</w:t>
            </w:r>
          </w:p>
        </w:tc>
        <w:tc>
          <w:tcPr>
            <w:tcW w:type="dxa" w:w="1928"/>
          </w:tcPr>
          <w:p>
            <w:pPr>
              <w:spacing w:after="20"/>
            </w:pPr>
            <w:r/>
            <w:r>
              <w:rPr>
                <w:b w:val="0"/>
                <w:sz w:val="17"/>
              </w:rPr>
              <w:t>Full value of both invoices in each pair</w:t>
            </w:r>
          </w:p>
        </w:tc>
      </w:tr>
      <w:tr>
        <w:tc>
          <w:tcPr>
            <w:tcW w:type="dxa" w:w="2494"/>
            <w:shd w:val="clear" w:color="auto" w:fill="F5F8FA"/>
          </w:tcPr>
          <w:p>
            <w:pPr>
              <w:spacing w:after="20"/>
            </w:pPr>
            <w:r/>
            <w:r>
              <w:rPr>
                <w:b w:val="0"/>
                <w:sz w:val="17"/>
              </w:rPr>
              <w:t>Approval-threshold avoidance</w:t>
            </w:r>
          </w:p>
        </w:tc>
        <w:tc>
          <w:tcPr>
            <w:tcW w:type="dxa" w:w="794"/>
            <w:shd w:val="clear" w:color="auto" w:fill="F5F8FA"/>
          </w:tcPr>
          <w:p>
            <w:pPr>
              <w:spacing w:after="20"/>
              <w:jc w:val="right"/>
            </w:pPr>
            <w:r/>
            <w:r>
              <w:rPr>
                <w:b w:val="0"/>
                <w:sz w:val="17"/>
              </w:rPr>
              <w:t>30</w:t>
            </w:r>
          </w:p>
        </w:tc>
        <w:tc>
          <w:tcPr>
            <w:tcW w:type="dxa" w:w="1474"/>
            <w:shd w:val="clear" w:color="auto" w:fill="F5F8FA"/>
          </w:tcPr>
          <w:p>
            <w:pPr>
              <w:spacing w:after="20"/>
              <w:jc w:val="right"/>
            </w:pPr>
            <w:r/>
            <w:r>
              <w:rPr>
                <w:b w:val="0"/>
                <w:sz w:val="17"/>
              </w:rPr>
              <w:t>$207,720.00</w:t>
            </w:r>
          </w:p>
        </w:tc>
        <w:tc>
          <w:tcPr>
            <w:tcW w:type="dxa" w:w="1474"/>
            <w:shd w:val="clear" w:color="auto" w:fill="F5F8FA"/>
          </w:tcPr>
          <w:p>
            <w:pPr>
              <w:spacing w:after="20"/>
              <w:jc w:val="right"/>
            </w:pPr>
            <w:r/>
            <w:r>
              <w:rPr>
                <w:b w:val="0"/>
                <w:sz w:val="17"/>
              </w:rPr>
              <w:t>$207,720.00</w:t>
            </w:r>
          </w:p>
        </w:tc>
        <w:tc>
          <w:tcPr>
            <w:tcW w:type="dxa" w:w="1474"/>
            <w:shd w:val="clear" w:color="auto" w:fill="F5F8FA"/>
          </w:tcPr>
          <w:p>
            <w:pPr>
              <w:spacing w:after="20"/>
              <w:jc w:val="right"/>
            </w:pPr>
            <w:r/>
            <w:r>
              <w:rPr>
                <w:b w:val="0"/>
                <w:sz w:val="17"/>
              </w:rPr>
              <w:t>Nil - not corroborated</w:t>
            </w:r>
          </w:p>
        </w:tc>
        <w:tc>
          <w:tcPr>
            <w:tcW w:type="dxa" w:w="1928"/>
            <w:shd w:val="clear" w:color="auto" w:fill="F5F8FA"/>
          </w:tcPr>
          <w:p>
            <w:pPr>
              <w:spacing w:after="20"/>
            </w:pPr>
            <w:r/>
            <w:r>
              <w:rPr>
                <w:b w:val="0"/>
                <w:sz w:val="17"/>
              </w:rPr>
              <w:t>Full value; no purchase order or approval identified</w:t>
            </w:r>
          </w:p>
        </w:tc>
      </w:tr>
      <w:tr>
        <w:tc>
          <w:tcPr>
            <w:tcW w:type="dxa" w:w="2494"/>
          </w:tcPr>
          <w:p>
            <w:pPr>
              <w:spacing w:after="20"/>
            </w:pPr>
            <w:r/>
            <w:r>
              <w:rPr>
                <w:b w:val="0"/>
                <w:sz w:val="17"/>
              </w:rPr>
              <w:t>Unreversed accruals and prepayment amortisation</w:t>
            </w:r>
          </w:p>
        </w:tc>
        <w:tc>
          <w:tcPr>
            <w:tcW w:type="dxa" w:w="794"/>
          </w:tcPr>
          <w:p>
            <w:pPr>
              <w:spacing w:after="20"/>
              <w:jc w:val="right"/>
            </w:pPr>
            <w:r/>
            <w:r>
              <w:rPr>
                <w:b w:val="0"/>
                <w:sz w:val="17"/>
              </w:rPr>
              <w:t>6</w:t>
            </w:r>
          </w:p>
        </w:tc>
        <w:tc>
          <w:tcPr>
            <w:tcW w:type="dxa" w:w="1474"/>
          </w:tcPr>
          <w:p>
            <w:pPr>
              <w:spacing w:after="20"/>
              <w:jc w:val="right"/>
            </w:pPr>
            <w:r/>
            <w:r>
              <w:rPr>
                <w:b w:val="0"/>
                <w:sz w:val="17"/>
              </w:rPr>
              <w:t>$14,400.00</w:t>
            </w:r>
          </w:p>
        </w:tc>
        <w:tc>
          <w:tcPr>
            <w:tcW w:type="dxa" w:w="1474"/>
          </w:tcPr>
          <w:p>
            <w:pPr>
              <w:spacing w:after="20"/>
              <w:jc w:val="right"/>
            </w:pPr>
            <w:r/>
            <w:r>
              <w:rPr>
                <w:b w:val="0"/>
                <w:sz w:val="17"/>
              </w:rPr>
              <w:t>$14,400.00</w:t>
            </w:r>
          </w:p>
        </w:tc>
        <w:tc>
          <w:tcPr>
            <w:tcW w:type="dxa" w:w="1474"/>
          </w:tcPr>
          <w:p>
            <w:pPr>
              <w:spacing w:after="20"/>
              <w:jc w:val="right"/>
            </w:pPr>
            <w:r/>
            <w:r>
              <w:rPr>
                <w:b w:val="0"/>
                <w:sz w:val="17"/>
              </w:rPr>
              <w:t>Nil - not corroborated</w:t>
            </w:r>
          </w:p>
        </w:tc>
        <w:tc>
          <w:tcPr>
            <w:tcW w:type="dxa" w:w="1928"/>
          </w:tcPr>
          <w:p>
            <w:pPr>
              <w:spacing w:after="20"/>
            </w:pPr>
            <w:r/>
            <w:r>
              <w:rPr>
                <w:b w:val="0"/>
                <w:sz w:val="17"/>
              </w:rPr>
              <w:t>Value of the prepayment leg never released or reversed</w:t>
            </w:r>
          </w:p>
        </w:tc>
      </w:tr>
      <w:tr>
        <w:tc>
          <w:tcPr>
            <w:tcW w:type="dxa" w:w="2494"/>
            <w:shd w:val="clear" w:color="auto" w:fill="F5F8FA"/>
            <w:shd w:val="clear" w:color="auto" w:fill="FDECEA"/>
          </w:tcPr>
          <w:p>
            <w:pPr>
              <w:spacing w:after="20"/>
            </w:pPr>
            <w:r/>
            <w:r>
              <w:rPr>
                <w:b/>
                <w:sz w:val="17"/>
              </w:rPr>
              <w:t>Total</w:t>
            </w:r>
          </w:p>
        </w:tc>
        <w:tc>
          <w:tcPr>
            <w:tcW w:type="dxa" w:w="794"/>
            <w:shd w:val="clear" w:color="auto" w:fill="F5F8FA"/>
            <w:shd w:val="clear" w:color="auto" w:fill="FDECEA"/>
          </w:tcPr>
          <w:p>
            <w:pPr>
              <w:spacing w:after="20"/>
              <w:jc w:val="right"/>
            </w:pPr>
            <w:r/>
            <w:r>
              <w:rPr>
                <w:b/>
                <w:sz w:val="17"/>
              </w:rPr>
              <w:t>171</w:t>
            </w:r>
          </w:p>
        </w:tc>
        <w:tc>
          <w:tcPr>
            <w:tcW w:type="dxa" w:w="1474"/>
            <w:shd w:val="clear" w:color="auto" w:fill="F5F8FA"/>
            <w:shd w:val="clear" w:color="auto" w:fill="FDECEA"/>
          </w:tcPr>
          <w:p>
            <w:pPr>
              <w:spacing w:after="20"/>
              <w:jc w:val="right"/>
            </w:pPr>
            <w:r/>
            <w:r>
              <w:rPr>
                <w:b/>
                <w:sz w:val="17"/>
              </w:rPr>
              <w:t>$1,945,536.55</w:t>
            </w:r>
          </w:p>
        </w:tc>
        <w:tc>
          <w:tcPr>
            <w:tcW w:type="dxa" w:w="1474"/>
            <w:shd w:val="clear" w:color="auto" w:fill="F5F8FA"/>
            <w:shd w:val="clear" w:color="auto" w:fill="FDECEA"/>
          </w:tcPr>
          <w:p>
            <w:pPr>
              <w:spacing w:after="20"/>
              <w:jc w:val="right"/>
            </w:pPr>
            <w:r/>
            <w:r>
              <w:rPr>
                <w:b/>
                <w:sz w:val="17"/>
              </w:rPr>
              <w:t>$1,761,524.81</w:t>
            </w:r>
          </w:p>
        </w:tc>
        <w:tc>
          <w:tcPr>
            <w:tcW w:type="dxa" w:w="1474"/>
            <w:shd w:val="clear" w:color="auto" w:fill="F5F8FA"/>
            <w:shd w:val="clear" w:color="auto" w:fill="FDECEA"/>
          </w:tcPr>
          <w:p>
            <w:pPr>
              <w:spacing w:after="20"/>
              <w:jc w:val="right"/>
            </w:pPr>
            <w:r/>
            <w:r>
              <w:rPr>
                <w:b/>
                <w:sz w:val="17"/>
              </w:rPr>
              <w:t>Nil</w:t>
            </w:r>
          </w:p>
        </w:tc>
        <w:tc>
          <w:tcPr>
            <w:tcW w:type="dxa" w:w="1928"/>
            <w:shd w:val="clear" w:color="auto" w:fill="F5F8FA"/>
            <w:shd w:val="clear" w:color="auto" w:fill="FDECEA"/>
          </w:tcPr>
          <w:p>
            <w:pPr>
              <w:spacing w:after="20"/>
            </w:pPr>
            <w:r/>
            <w:r>
              <w:rPr>
                <w:b w:val="0"/>
                <w:sz w:val="17"/>
              </w:rPr>
            </w:r>
          </w:p>
        </w:tc>
      </w:tr>
    </w:tbl>
    <w:p>
      <w:pPr>
        <w:spacing w:after="40"/>
      </w:pPr>
    </w:p>
    <w:p>
      <w:pPr>
        <w:spacing w:after="120"/>
      </w:pPr>
      <w:r>
        <w:rPr>
          <w:b w:val="0"/>
          <w:i w:val="0"/>
          <w:sz w:val="21"/>
        </w:rPr>
        <w:t>Amount at risk is the value that would be lost if the exception is not explained: for duplicate payments it is the second payment of each pair; for every other pattern it is the full value, because no documentary corroboration has been obtained. What would convert amount at risk into quantified loss: supplier statements and remittance advices (duplicates); contracts, deliverables and bank mandates (related-party vendors); purchase orders and approvals (thresholds and split purchases); supporting documents and authorisation (after-hours journals and credit notes); the prepayment schedule (accruals).</w:t>
      </w:r>
    </w:p>
    <w:p>
      <w:pPr>
        <w:pStyle w:val="Heading2"/>
      </w:pPr>
      <w:r>
        <w:t>5. Control environment observations</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val="clear" w:color="auto" w:fill="0B2E4F"/>
          </w:tcPr>
          <w:p>
            <w:r/>
            <w:r>
              <w:rPr>
                <w:b/>
                <w:color w:val="FFFFFF"/>
                <w:sz w:val="17"/>
              </w:rPr>
              <w:t>Observation</w:t>
            </w:r>
          </w:p>
        </w:tc>
        <w:tc>
          <w:tcPr>
            <w:tcW w:type="dxa" w:w="3515"/>
            <w:shd w:val="clear" w:color="auto" w:fill="0B2E4F"/>
          </w:tcPr>
          <w:p>
            <w:r/>
            <w:r>
              <w:rPr>
                <w:b/>
                <w:color w:val="FFFFFF"/>
                <w:sz w:val="17"/>
              </w:rPr>
              <w:t>Value / count</w:t>
            </w:r>
          </w:p>
        </w:tc>
        <w:tc>
          <w:tcPr>
            <w:tcW w:type="dxa" w:w="3515"/>
            <w:shd w:val="clear" w:color="auto" w:fill="0B2E4F"/>
          </w:tcPr>
          <w:p>
            <w:r/>
            <w:r>
              <w:rPr>
                <w:b/>
                <w:color w:val="FFFFFF"/>
                <w:sz w:val="17"/>
              </w:rPr>
              <w:t>Implication</w:t>
            </w:r>
          </w:p>
        </w:tc>
      </w:tr>
      <w:tr>
        <w:tc>
          <w:tcPr>
            <w:tcW w:type="dxa" w:w="2608"/>
          </w:tcPr>
          <w:p>
            <w:pPr>
              <w:spacing w:after="20"/>
            </w:pPr>
            <w:r/>
            <w:r>
              <w:rPr>
                <w:b w:val="0"/>
                <w:sz w:val="17"/>
              </w:rPr>
              <w:t>Suspense account balance</w:t>
            </w:r>
          </w:p>
        </w:tc>
        <w:tc>
          <w:tcPr>
            <w:tcW w:type="dxa" w:w="3515"/>
          </w:tcPr>
          <w:p>
            <w:pPr>
              <w:spacing w:after="20"/>
            </w:pPr>
            <w:r/>
            <w:r>
              <w:rPr>
                <w:b w:val="0"/>
                <w:sz w:val="17"/>
              </w:rPr>
              <w:t>$51,058.87</w:t>
            </w:r>
          </w:p>
        </w:tc>
        <w:tc>
          <w:tcPr>
            <w:tcW w:type="dxa" w:w="3515"/>
          </w:tcPr>
          <w:p>
            <w:pPr>
              <w:spacing w:after="20"/>
            </w:pPr>
            <w:r/>
            <w:r>
              <w:rPr>
                <w:b w:val="0"/>
                <w:sz w:val="17"/>
              </w:rPr>
              <w:t>An unresolved clearing account that only grows</w:t>
            </w:r>
          </w:p>
        </w:tc>
      </w:tr>
      <w:tr>
        <w:tc>
          <w:tcPr>
            <w:tcW w:type="dxa" w:w="2608"/>
            <w:shd w:val="clear" w:color="auto" w:fill="F5F8FA"/>
          </w:tcPr>
          <w:p>
            <w:pPr>
              <w:spacing w:after="20"/>
            </w:pPr>
            <w:r/>
            <w:r>
              <w:rPr>
                <w:b w:val="0"/>
                <w:sz w:val="17"/>
              </w:rPr>
              <w:t>Unreconciled bank items</w:t>
            </w:r>
          </w:p>
        </w:tc>
        <w:tc>
          <w:tcPr>
            <w:tcW w:type="dxa" w:w="3515"/>
            <w:shd w:val="clear" w:color="auto" w:fill="F5F8FA"/>
          </w:tcPr>
          <w:p>
            <w:pPr>
              <w:spacing w:after="20"/>
            </w:pPr>
            <w:r/>
            <w:r>
              <w:rPr>
                <w:b w:val="0"/>
                <w:sz w:val="17"/>
              </w:rPr>
              <w:t>129 of 1400 ($1,884,271.16); oldest 210 days</w:t>
            </w:r>
          </w:p>
        </w:tc>
        <w:tc>
          <w:tcPr>
            <w:tcW w:type="dxa" w:w="3515"/>
            <w:shd w:val="clear" w:color="auto" w:fill="F5F8FA"/>
          </w:tcPr>
          <w:p>
            <w:pPr>
              <w:spacing w:after="20"/>
            </w:pPr>
            <w:r/>
            <w:r>
              <w:rPr>
                <w:b w:val="0"/>
                <w:sz w:val="17"/>
              </w:rPr>
              <w:t>Payments may be unrecorded or duplicated</w:t>
            </w:r>
          </w:p>
        </w:tc>
      </w:tr>
      <w:tr>
        <w:tc>
          <w:tcPr>
            <w:tcW w:type="dxa" w:w="2608"/>
          </w:tcPr>
          <w:p>
            <w:pPr>
              <w:spacing w:after="20"/>
            </w:pPr>
            <w:r/>
            <w:r>
              <w:rPr>
                <w:b w:val="0"/>
                <w:sz w:val="17"/>
              </w:rPr>
              <w:t>AP invoices failing the three-way match</w:t>
            </w:r>
          </w:p>
        </w:tc>
        <w:tc>
          <w:tcPr>
            <w:tcW w:type="dxa" w:w="3515"/>
          </w:tcPr>
          <w:p>
            <w:pPr>
              <w:spacing w:after="20"/>
            </w:pPr>
            <w:r/>
            <w:r>
              <w:rPr>
                <w:b w:val="0"/>
                <w:sz w:val="17"/>
              </w:rPr>
              <w:t>168 of 520 (32%)</w:t>
            </w:r>
          </w:p>
        </w:tc>
        <w:tc>
          <w:tcPr>
            <w:tcW w:type="dxa" w:w="3515"/>
          </w:tcPr>
          <w:p>
            <w:pPr>
              <w:spacing w:after="20"/>
            </w:pPr>
            <w:r/>
            <w:r>
              <w:rPr>
                <w:b w:val="0"/>
                <w:sz w:val="17"/>
              </w:rPr>
              <w:t>Purchases may not be properly authorised or received</w:t>
            </w:r>
          </w:p>
        </w:tc>
      </w:tr>
      <w:tr>
        <w:tc>
          <w:tcPr>
            <w:tcW w:type="dxa" w:w="2608"/>
            <w:shd w:val="clear" w:color="auto" w:fill="F5F8FA"/>
          </w:tcPr>
          <w:p>
            <w:pPr>
              <w:spacing w:after="20"/>
            </w:pPr>
            <w:r/>
            <w:r>
              <w:rPr>
                <w:b w:val="0"/>
                <w:sz w:val="17"/>
              </w:rPr>
              <w:t>AP invoices with no purchase order</w:t>
            </w:r>
          </w:p>
        </w:tc>
        <w:tc>
          <w:tcPr>
            <w:tcW w:type="dxa" w:w="3515"/>
            <w:shd w:val="clear" w:color="auto" w:fill="F5F8FA"/>
          </w:tcPr>
          <w:p>
            <w:pPr>
              <w:spacing w:after="20"/>
            </w:pPr>
            <w:r/>
            <w:r>
              <w:rPr>
                <w:b w:val="0"/>
                <w:sz w:val="17"/>
              </w:rPr>
              <w:t>109 of 520</w:t>
            </w:r>
          </w:p>
        </w:tc>
        <w:tc>
          <w:tcPr>
            <w:tcW w:type="dxa" w:w="3515"/>
            <w:shd w:val="clear" w:color="auto" w:fill="F5F8FA"/>
          </w:tcPr>
          <w:p>
            <w:pPr>
              <w:spacing w:after="20"/>
            </w:pPr>
            <w:r/>
            <w:r>
              <w:rPr>
                <w:b w:val="0"/>
                <w:sz w:val="17"/>
              </w:rPr>
              <w:t>The purchase-order control is not operating</w:t>
            </w:r>
          </w:p>
        </w:tc>
      </w:tr>
      <w:tr>
        <w:tc>
          <w:tcPr>
            <w:tcW w:type="dxa" w:w="2608"/>
          </w:tcPr>
          <w:p>
            <w:pPr>
              <w:spacing w:after="20"/>
            </w:pPr>
            <w:r/>
            <w:r>
              <w:rPr>
                <w:b w:val="0"/>
                <w:sz w:val="17"/>
              </w:rPr>
              <w:t>Expense claims without a receipt</w:t>
            </w:r>
          </w:p>
        </w:tc>
        <w:tc>
          <w:tcPr>
            <w:tcW w:type="dxa" w:w="3515"/>
          </w:tcPr>
          <w:p>
            <w:pPr>
              <w:spacing w:after="20"/>
            </w:pPr>
            <w:r/>
            <w:r>
              <w:rPr>
                <w:b w:val="0"/>
                <w:sz w:val="17"/>
              </w:rPr>
              <w:t>81 of 650 ($117,897.70)</w:t>
            </w:r>
          </w:p>
        </w:tc>
        <w:tc>
          <w:tcPr>
            <w:tcW w:type="dxa" w:w="3515"/>
          </w:tcPr>
          <w:p>
            <w:pPr>
              <w:spacing w:after="20"/>
            </w:pPr>
            <w:r/>
            <w:r>
              <w:rPr>
                <w:b w:val="0"/>
                <w:sz w:val="17"/>
              </w:rPr>
              <w:t>Weak substantiation; an audit-adjustment risk</w:t>
            </w:r>
          </w:p>
        </w:tc>
      </w:tr>
      <w:tr>
        <w:tc>
          <w:tcPr>
            <w:tcW w:type="dxa" w:w="2608"/>
            <w:shd w:val="clear" w:color="auto" w:fill="F5F8FA"/>
          </w:tcPr>
          <w:p>
            <w:pPr>
              <w:spacing w:after="20"/>
            </w:pPr>
            <w:r/>
            <w:r>
              <w:rPr>
                <w:b w:val="0"/>
                <w:sz w:val="17"/>
              </w:rPr>
              <w:t>Trade receivables against nine-month revenue</w:t>
            </w:r>
          </w:p>
        </w:tc>
        <w:tc>
          <w:tcPr>
            <w:tcW w:type="dxa" w:w="3515"/>
            <w:shd w:val="clear" w:color="auto" w:fill="F5F8FA"/>
          </w:tcPr>
          <w:p>
            <w:pPr>
              <w:spacing w:after="20"/>
            </w:pPr>
            <w:r/>
            <w:r>
              <w:rPr>
                <w:b w:val="0"/>
                <w:sz w:val="17"/>
              </w:rPr>
              <w:t>$3,790,173.74 against $10,543,059.22 (DSO 98 days)</w:t>
            </w:r>
          </w:p>
        </w:tc>
        <w:tc>
          <w:tcPr>
            <w:tcW w:type="dxa" w:w="3515"/>
            <w:shd w:val="clear" w:color="auto" w:fill="F5F8FA"/>
          </w:tcPr>
          <w:p>
            <w:pPr>
              <w:spacing w:after="20"/>
            </w:pPr>
            <w:r/>
            <w:r>
              <w:rPr>
                <w:b w:val="0"/>
                <w:sz w:val="17"/>
              </w:rPr>
              <w:t>Collections are slow; credit control needs attention</w:t>
            </w:r>
          </w:p>
        </w:tc>
      </w:tr>
      <w:tr>
        <w:tc>
          <w:tcPr>
            <w:tcW w:type="dxa" w:w="2608"/>
          </w:tcPr>
          <w:p>
            <w:pPr>
              <w:spacing w:after="20"/>
            </w:pPr>
            <w:r/>
            <w:r>
              <w:rPr>
                <w:b w:val="0"/>
                <w:sz w:val="17"/>
              </w:rPr>
              <w:t>Manual journals with no approver above $10,000</w:t>
            </w:r>
          </w:p>
        </w:tc>
        <w:tc>
          <w:tcPr>
            <w:tcW w:type="dxa" w:w="3515"/>
          </w:tcPr>
          <w:p>
            <w:pPr>
              <w:spacing w:after="20"/>
            </w:pPr>
            <w:r/>
            <w:r>
              <w:rPr>
                <w:b w:val="0"/>
                <w:sz w:val="17"/>
              </w:rPr>
              <w:t>163 journals ($3,646,946.58)</w:t>
            </w:r>
          </w:p>
        </w:tc>
        <w:tc>
          <w:tcPr>
            <w:tcW w:type="dxa" w:w="3515"/>
          </w:tcPr>
          <w:p>
            <w:pPr>
              <w:spacing w:after="20"/>
            </w:pPr>
            <w:r/>
            <w:r>
              <w:rPr>
                <w:b w:val="0"/>
                <w:sz w:val="17"/>
              </w:rPr>
              <w:t>Maker-checker is not operating on manual entries</w:t>
            </w:r>
          </w:p>
        </w:tc>
      </w:tr>
    </w:tbl>
    <w:p>
      <w:pPr>
        <w:spacing w:after="40"/>
      </w:pPr>
    </w:p>
    <w:p>
      <w:pPr>
        <w:pStyle w:val="Heading2"/>
      </w:pPr>
      <w:r>
        <w:t>6. Recommendations and remediation plan</w:t>
      </w:r>
    </w:p>
    <w:p>
      <w:pPr>
        <w:spacing w:after="120"/>
      </w:pPr>
      <w:r>
        <w:rPr>
          <w:b w:val="0"/>
          <w:i w:val="0"/>
          <w:sz w:val="21"/>
        </w:rPr>
        <w:t>The full plan, with owner, due date, indicative cost and the test that proves it worked, is in Remediation_Plan.xlsx. The five that matter most: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454"/>
            <w:shd w:val="clear" w:color="auto" w:fill="0B2E4F"/>
          </w:tcPr>
          <w:p>
            <w:r/>
            <w:r>
              <w:rPr>
                <w:b/>
                <w:color w:val="FFFFFF"/>
                <w:sz w:val="17"/>
              </w:rPr>
              <w:t>#</w:t>
            </w:r>
          </w:p>
        </w:tc>
        <w:tc>
          <w:tcPr>
            <w:tcW w:type="dxa" w:w="4649"/>
            <w:shd w:val="clear" w:color="auto" w:fill="0B2E4F"/>
          </w:tcPr>
          <w:p>
            <w:r/>
            <w:r>
              <w:rPr>
                <w:b/>
                <w:color w:val="FFFFFF"/>
                <w:sz w:val="17"/>
              </w:rPr>
              <w:t>Recommendation</w:t>
            </w:r>
          </w:p>
        </w:tc>
        <w:tc>
          <w:tcPr>
            <w:tcW w:type="dxa" w:w="2041"/>
            <w:shd w:val="clear" w:color="auto" w:fill="0B2E4F"/>
          </w:tcPr>
          <w:p>
            <w:r/>
            <w:r>
              <w:rPr>
                <w:b/>
                <w:color w:val="FFFFFF"/>
                <w:sz w:val="17"/>
              </w:rPr>
              <w:t>Owner</w:t>
            </w:r>
          </w:p>
        </w:tc>
        <w:tc>
          <w:tcPr>
            <w:tcW w:type="dxa" w:w="1474"/>
            <w:shd w:val="clear" w:color="auto" w:fill="0B2E4F"/>
          </w:tcPr>
          <w:p>
            <w:r/>
            <w:r>
              <w:rPr>
                <w:b/>
                <w:color w:val="FFFFFF"/>
                <w:sz w:val="17"/>
              </w:rPr>
              <w:t>Due</w:t>
            </w:r>
          </w:p>
        </w:tc>
        <w:tc>
          <w:tcPr>
            <w:tcW w:type="dxa" w:w="1020"/>
            <w:shd w:val="clear" w:color="auto" w:fill="0B2E4F"/>
          </w:tcPr>
          <w:p>
            <w:r/>
            <w:r>
              <w:rPr>
                <w:b/>
                <w:color w:val="FFFFFF"/>
                <w:sz w:val="17"/>
              </w:rPr>
              <w:t>Priority</w:t>
            </w:r>
          </w:p>
        </w:tc>
      </w:tr>
      <w:tr>
        <w:tc>
          <w:tcPr>
            <w:tcW w:type="dxa" w:w="454"/>
          </w:tcPr>
          <w:p>
            <w:pPr>
              <w:spacing w:after="20"/>
            </w:pPr>
            <w:r/>
            <w:r>
              <w:rPr>
                <w:b w:val="0"/>
                <w:sz w:val="18"/>
              </w:rPr>
              <w:t>1</w:t>
            </w:r>
          </w:p>
        </w:tc>
        <w:tc>
          <w:tcPr>
            <w:tcW w:type="dxa" w:w="4649"/>
          </w:tcPr>
          <w:p>
            <w:pPr>
              <w:spacing w:after="20"/>
            </w:pPr>
            <w:r/>
            <w:r>
              <w:rPr>
                <w:b w:val="0"/>
                <w:sz w:val="18"/>
              </w:rPr>
              <w:t>Recover $184,011.74 of duplicate payments</w:t>
            </w:r>
          </w:p>
        </w:tc>
        <w:tc>
          <w:tcPr>
            <w:tcW w:type="dxa" w:w="2041"/>
          </w:tcPr>
          <w:p>
            <w:pPr>
              <w:spacing w:after="20"/>
            </w:pPr>
            <w:r/>
            <w:r>
              <w:rPr>
                <w:b w:val="0"/>
                <w:sz w:val="18"/>
              </w:rPr>
              <w:t>Financial Director</w:t>
            </w:r>
          </w:p>
        </w:tc>
        <w:tc>
          <w:tcPr>
            <w:tcW w:type="dxa" w:w="1474"/>
          </w:tcPr>
          <w:p>
            <w:pPr>
              <w:spacing w:after="20"/>
            </w:pPr>
            <w:r/>
            <w:r>
              <w:rPr>
                <w:b w:val="0"/>
                <w:sz w:val="18"/>
              </w:rPr>
              <w:t>10 working days</w:t>
            </w:r>
          </w:p>
        </w:tc>
        <w:tc>
          <w:tcPr>
            <w:tcW w:type="dxa" w:w="1020"/>
          </w:tcPr>
          <w:p>
            <w:pPr>
              <w:spacing w:after="20"/>
            </w:pPr>
            <w:r/>
            <w:r>
              <w:rPr>
                <w:b w:val="0"/>
                <w:sz w:val="18"/>
              </w:rPr>
              <w:t>High</w:t>
            </w:r>
          </w:p>
        </w:tc>
      </w:tr>
      <w:tr>
        <w:tc>
          <w:tcPr>
            <w:tcW w:type="dxa" w:w="454"/>
            <w:shd w:val="clear" w:color="auto" w:fill="F5F8FA"/>
          </w:tcPr>
          <w:p>
            <w:pPr>
              <w:spacing w:after="20"/>
            </w:pPr>
            <w:r/>
            <w:r>
              <w:rPr>
                <w:b w:val="0"/>
                <w:sz w:val="18"/>
              </w:rPr>
              <w:t>2</w:t>
            </w:r>
          </w:p>
        </w:tc>
        <w:tc>
          <w:tcPr>
            <w:tcW w:type="dxa" w:w="4649"/>
            <w:shd w:val="clear" w:color="auto" w:fill="F5F8FA"/>
          </w:tcPr>
          <w:p>
            <w:pPr>
              <w:spacing w:after="20"/>
            </w:pPr>
            <w:r/>
            <w:r>
              <w:rPr>
                <w:b w:val="0"/>
                <w:sz w:val="18"/>
              </w:rPr>
              <w:t>Freeze the four employee-linked vendor accounts pending verification</w:t>
            </w:r>
          </w:p>
        </w:tc>
        <w:tc>
          <w:tcPr>
            <w:tcW w:type="dxa" w:w="2041"/>
            <w:shd w:val="clear" w:color="auto" w:fill="F5F8FA"/>
          </w:tcPr>
          <w:p>
            <w:pPr>
              <w:spacing w:after="20"/>
            </w:pPr>
            <w:r/>
            <w:r>
              <w:rPr>
                <w:b w:val="0"/>
                <w:sz w:val="18"/>
              </w:rPr>
              <w:t>CFO</w:t>
            </w:r>
          </w:p>
        </w:tc>
        <w:tc>
          <w:tcPr>
            <w:tcW w:type="dxa" w:w="1474"/>
            <w:shd w:val="clear" w:color="auto" w:fill="F5F8FA"/>
          </w:tcPr>
          <w:p>
            <w:pPr>
              <w:spacing w:after="20"/>
            </w:pPr>
            <w:r/>
            <w:r>
              <w:rPr>
                <w:b w:val="0"/>
                <w:sz w:val="18"/>
              </w:rPr>
              <w:t>5 working days</w:t>
            </w:r>
          </w:p>
        </w:tc>
        <w:tc>
          <w:tcPr>
            <w:tcW w:type="dxa" w:w="1020"/>
            <w:shd w:val="clear" w:color="auto" w:fill="F5F8FA"/>
          </w:tcPr>
          <w:p>
            <w:pPr>
              <w:spacing w:after="20"/>
            </w:pPr>
            <w:r/>
            <w:r>
              <w:rPr>
                <w:b w:val="0"/>
                <w:sz w:val="18"/>
              </w:rPr>
              <w:t>High</w:t>
            </w:r>
          </w:p>
        </w:tc>
      </w:tr>
      <w:tr>
        <w:tc>
          <w:tcPr>
            <w:tcW w:type="dxa" w:w="454"/>
          </w:tcPr>
          <w:p>
            <w:pPr>
              <w:spacing w:after="20"/>
            </w:pPr>
            <w:r/>
            <w:r>
              <w:rPr>
                <w:b w:val="0"/>
                <w:sz w:val="18"/>
              </w:rPr>
              <w:t>3</w:t>
            </w:r>
          </w:p>
        </w:tc>
        <w:tc>
          <w:tcPr>
            <w:tcW w:type="dxa" w:w="4649"/>
          </w:tcPr>
          <w:p>
            <w:pPr>
              <w:spacing w:after="20"/>
            </w:pPr>
            <w:r/>
            <w:r>
              <w:rPr>
                <w:b w:val="0"/>
                <w:sz w:val="18"/>
              </w:rPr>
              <w:t>Mandate a purchase order for every purchase; remove the value-based exception</w:t>
            </w:r>
          </w:p>
        </w:tc>
        <w:tc>
          <w:tcPr>
            <w:tcW w:type="dxa" w:w="2041"/>
          </w:tcPr>
          <w:p>
            <w:pPr>
              <w:spacing w:after="20"/>
            </w:pPr>
            <w:r/>
            <w:r>
              <w:rPr>
                <w:b w:val="0"/>
                <w:sz w:val="18"/>
              </w:rPr>
              <w:t>Procurement Manager</w:t>
            </w:r>
          </w:p>
        </w:tc>
        <w:tc>
          <w:tcPr>
            <w:tcW w:type="dxa" w:w="1474"/>
          </w:tcPr>
          <w:p>
            <w:pPr>
              <w:spacing w:after="20"/>
            </w:pPr>
            <w:r/>
            <w:r>
              <w:rPr>
                <w:b w:val="0"/>
                <w:sz w:val="18"/>
              </w:rPr>
              <w:t>30 days</w:t>
            </w:r>
          </w:p>
        </w:tc>
        <w:tc>
          <w:tcPr>
            <w:tcW w:type="dxa" w:w="1020"/>
          </w:tcPr>
          <w:p>
            <w:pPr>
              <w:spacing w:after="20"/>
            </w:pPr>
            <w:r/>
            <w:r>
              <w:rPr>
                <w:b w:val="0"/>
                <w:sz w:val="18"/>
              </w:rPr>
              <w:t>High</w:t>
            </w:r>
          </w:p>
        </w:tc>
      </w:tr>
      <w:tr>
        <w:tc>
          <w:tcPr>
            <w:tcW w:type="dxa" w:w="454"/>
            <w:shd w:val="clear" w:color="auto" w:fill="F5F8FA"/>
          </w:tcPr>
          <w:p>
            <w:pPr>
              <w:spacing w:after="20"/>
            </w:pPr>
            <w:r/>
            <w:r>
              <w:rPr>
                <w:b w:val="0"/>
                <w:sz w:val="18"/>
              </w:rPr>
              <w:t>4</w:t>
            </w:r>
          </w:p>
        </w:tc>
        <w:tc>
          <w:tcPr>
            <w:tcW w:type="dxa" w:w="4649"/>
            <w:shd w:val="clear" w:color="auto" w:fill="F5F8FA"/>
          </w:tcPr>
          <w:p>
            <w:pPr>
              <w:spacing w:after="20"/>
            </w:pPr>
            <w:r/>
            <w:r>
              <w:rPr>
                <w:b w:val="0"/>
                <w:sz w:val="18"/>
              </w:rPr>
              <w:t>Restrict manual journals to business hours with a second approver</w:t>
            </w:r>
          </w:p>
        </w:tc>
        <w:tc>
          <w:tcPr>
            <w:tcW w:type="dxa" w:w="2041"/>
            <w:shd w:val="clear" w:color="auto" w:fill="F5F8FA"/>
          </w:tcPr>
          <w:p>
            <w:pPr>
              <w:spacing w:after="20"/>
            </w:pPr>
            <w:r/>
            <w:r>
              <w:rPr>
                <w:b w:val="0"/>
                <w:sz w:val="18"/>
              </w:rPr>
              <w:t>Financial Controller</w:t>
            </w:r>
          </w:p>
        </w:tc>
        <w:tc>
          <w:tcPr>
            <w:tcW w:type="dxa" w:w="1474"/>
            <w:shd w:val="clear" w:color="auto" w:fill="F5F8FA"/>
          </w:tcPr>
          <w:p>
            <w:pPr>
              <w:spacing w:after="20"/>
            </w:pPr>
            <w:r/>
            <w:r>
              <w:rPr>
                <w:b w:val="0"/>
                <w:sz w:val="18"/>
              </w:rPr>
              <w:t>30 days</w:t>
            </w:r>
          </w:p>
        </w:tc>
        <w:tc>
          <w:tcPr>
            <w:tcW w:type="dxa" w:w="1020"/>
            <w:shd w:val="clear" w:color="auto" w:fill="F5F8FA"/>
          </w:tcPr>
          <w:p>
            <w:pPr>
              <w:spacing w:after="20"/>
            </w:pPr>
            <w:r/>
            <w:r>
              <w:rPr>
                <w:b w:val="0"/>
                <w:sz w:val="18"/>
              </w:rPr>
              <w:t>High</w:t>
            </w:r>
          </w:p>
        </w:tc>
      </w:tr>
      <w:tr>
        <w:tc>
          <w:tcPr>
            <w:tcW w:type="dxa" w:w="454"/>
          </w:tcPr>
          <w:p>
            <w:pPr>
              <w:spacing w:after="20"/>
            </w:pPr>
            <w:r/>
            <w:r>
              <w:rPr>
                <w:b w:val="0"/>
                <w:sz w:val="18"/>
              </w:rPr>
              <w:t>5</w:t>
            </w:r>
          </w:p>
        </w:tc>
        <w:tc>
          <w:tcPr>
            <w:tcW w:type="dxa" w:w="4649"/>
          </w:tcPr>
          <w:p>
            <w:pPr>
              <w:spacing w:after="20"/>
            </w:pPr>
            <w:r/>
            <w:r>
              <w:rPr>
                <w:b w:val="0"/>
                <w:sz w:val="18"/>
              </w:rPr>
              <w:t>Monthly twelve-test exception report on the client's own data</w:t>
            </w:r>
          </w:p>
        </w:tc>
        <w:tc>
          <w:tcPr>
            <w:tcW w:type="dxa" w:w="2041"/>
          </w:tcPr>
          <w:p>
            <w:pPr>
              <w:spacing w:after="20"/>
            </w:pPr>
            <w:r/>
            <w:r>
              <w:rPr>
                <w:b w:val="0"/>
                <w:sz w:val="18"/>
              </w:rPr>
              <w:t>Maxhub / Financial Controller</w:t>
            </w:r>
          </w:p>
        </w:tc>
        <w:tc>
          <w:tcPr>
            <w:tcW w:type="dxa" w:w="1474"/>
          </w:tcPr>
          <w:p>
            <w:pPr>
              <w:spacing w:after="20"/>
            </w:pPr>
            <w:r/>
            <w:r>
              <w:rPr>
                <w:b w:val="0"/>
                <w:sz w:val="18"/>
              </w:rPr>
              <w:t>Month 2</w:t>
            </w:r>
          </w:p>
        </w:tc>
        <w:tc>
          <w:tcPr>
            <w:tcW w:type="dxa" w:w="1020"/>
          </w:tcPr>
          <w:p>
            <w:pPr>
              <w:spacing w:after="20"/>
            </w:pPr>
            <w:r/>
            <w:r>
              <w:rPr>
                <w:b w:val="0"/>
                <w:sz w:val="18"/>
              </w:rPr>
              <w:t>Medium</w:t>
            </w:r>
          </w:p>
        </w:tc>
      </w:tr>
    </w:tbl>
    <w:p>
      <w:pPr>
        <w:spacing w:after="40"/>
      </w:pPr>
    </w:p>
    <w:p>
      <w:pPr>
        <w:pStyle w:val="Heading2"/>
      </w:pPr>
      <w:r>
        <w:t>7. Appendices</w:t>
      </w:r>
    </w:p>
    <w:p>
      <w:pPr>
        <w:pStyle w:val="ListBullet"/>
        <w:spacing w:after="40"/>
      </w:pPr>
      <w:r>
        <w:rPr>
          <w:sz w:val="21"/>
        </w:rPr>
        <w:t>A - Test programme: Appendix_A_Test_Programme.xlsx (12 tests with population, assertion, expectation, exception rule and follow-up).</w:t>
      </w:r>
    </w:p>
    <w:p>
      <w:pPr>
        <w:pStyle w:val="ListBullet"/>
        <w:spacing w:after="40"/>
      </w:pPr>
      <w:r>
        <w:rPr>
          <w:sz w:val="21"/>
        </w:rPr>
        <w:t>B - Evidence register: Evidence_Register.xlsx (171 scored lines, the top-50 shortlist, 141 dismissed exceptions with reasons, and the duplicate-payment recovery schedule).</w:t>
      </w:r>
    </w:p>
    <w:p>
      <w:pPr>
        <w:pStyle w:val="ListBullet"/>
        <w:spacing w:after="40"/>
      </w:pPr>
      <w:r>
        <w:rPr>
          <w:sz w:val="21"/>
        </w:rPr>
        <w:t>C - Data lineage and integrity record: 01_Data_Governance/.</w:t>
      </w:r>
    </w:p>
    <w:p>
      <w:pPr>
        <w:pStyle w:val="ListBullet"/>
        <w:spacing w:after="40"/>
      </w:pPr>
      <w:r>
        <w:rPr>
          <w:sz w:val="21"/>
        </w:rPr>
        <w:t>D - Methodology note for the analytics model: 02_Practical_Exam_1/Methodology_Note.docx.</w:t>
      </w:r>
    </w:p>
    <w:p>
      <w:pPr>
        <w:pStyle w:val="ListBullet"/>
        <w:spacing w:after="40"/>
      </w:pPr>
      <w:r>
        <w:rPr>
          <w:sz w:val="21"/>
        </w:rPr>
        <w:t>E - Glossary: reference/Glossary_Accounting_and_PowerBI.md in the course repository.</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val="0"/>
          <w:sz w:val="18"/>
        </w:rPr>
        <w:t>Issued to: The Audit Committee and the Chief Financial Officer, Mhondoro Manufacturing (Pvt) Ltd</w:t>
      </w:r>
    </w:p>
    <w:p>
      <w:pPr>
        <w:spacing w:after="120"/>
      </w:pPr>
      <w:r>
        <w:rPr>
          <w:b w:val="0"/>
          <w:i w:val="0"/>
          <w:sz w:val="18"/>
        </w:rPr>
        <w:t>Next review: On completion of the remediation plan, or in 90 days</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findings report MX-2025-FI01 - Confidential and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